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9D52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spacing w:val="26"/>
          <w:kern w:val="2"/>
          <w:sz w:val="36"/>
          <w:szCs w:val="36"/>
          <w:highlight w:val="none"/>
          <w:lang w:val="en-US" w:eastAsia="zh-CN" w:bidi="ar"/>
        </w:rPr>
      </w:pPr>
    </w:p>
    <w:p w14:paraId="68BF484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spacing w:val="26"/>
          <w:kern w:val="2"/>
          <w:sz w:val="36"/>
          <w:szCs w:val="36"/>
          <w:highlight w:val="none"/>
          <w:lang w:val="en-US" w:eastAsia="zh-CN" w:bidi="ar"/>
        </w:rPr>
      </w:pPr>
    </w:p>
    <w:p w14:paraId="6432963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spacing w:val="26"/>
          <w:kern w:val="2"/>
          <w:sz w:val="60"/>
          <w:szCs w:val="60"/>
          <w:highlight w:val="none"/>
        </w:rPr>
      </w:pPr>
      <w:r>
        <w:rPr>
          <w:rFonts w:hint="eastAsia" w:ascii="宋体" w:hAnsi="宋体" w:eastAsia="宋体" w:cs="宋体"/>
          <w:b/>
          <w:color w:val="auto"/>
          <w:spacing w:val="26"/>
          <w:kern w:val="2"/>
          <w:sz w:val="36"/>
          <w:szCs w:val="36"/>
          <w:highlight w:val="none"/>
          <w:lang w:val="en-US" w:eastAsia="zh-CN" w:bidi="ar"/>
        </w:rPr>
        <w:t>第十五届全运会广东奥林匹克体育中心升级改造项目、第十五届全运会广东省人民体育场改造项目体育工艺（设备类）采购及相关服务</w:t>
      </w:r>
    </w:p>
    <w:p w14:paraId="4460B86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spacing w:val="26"/>
          <w:kern w:val="2"/>
          <w:sz w:val="110"/>
          <w:szCs w:val="110"/>
          <w:highlight w:val="none"/>
        </w:rPr>
      </w:pPr>
      <w:r>
        <w:rPr>
          <w:rFonts w:hint="eastAsia" w:ascii="宋体" w:hAnsi="宋体" w:eastAsia="宋体" w:cs="宋体"/>
          <w:b/>
          <w:color w:val="auto"/>
          <w:spacing w:val="26"/>
          <w:kern w:val="2"/>
          <w:sz w:val="110"/>
          <w:szCs w:val="110"/>
          <w:highlight w:val="none"/>
          <w:lang w:val="en-US" w:eastAsia="zh-CN" w:bidi="ar"/>
        </w:rPr>
        <w:t xml:space="preserve"> </w:t>
      </w:r>
    </w:p>
    <w:p w14:paraId="0233F63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spacing w:val="26"/>
          <w:kern w:val="2"/>
          <w:sz w:val="110"/>
          <w:szCs w:val="110"/>
          <w:highlight w:val="none"/>
        </w:rPr>
      </w:pPr>
      <w:r>
        <w:rPr>
          <w:rFonts w:hint="eastAsia" w:ascii="宋体" w:hAnsi="宋体" w:eastAsia="宋体" w:cs="宋体"/>
          <w:b/>
          <w:color w:val="auto"/>
          <w:spacing w:val="26"/>
          <w:kern w:val="2"/>
          <w:sz w:val="110"/>
          <w:szCs w:val="110"/>
          <w:highlight w:val="none"/>
          <w:lang w:val="en-US" w:eastAsia="zh-CN" w:bidi="ar"/>
        </w:rPr>
        <w:t xml:space="preserve"> </w:t>
      </w:r>
    </w:p>
    <w:p w14:paraId="2C52326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spacing w:val="26"/>
          <w:kern w:val="2"/>
          <w:sz w:val="110"/>
          <w:szCs w:val="110"/>
          <w:highlight w:val="none"/>
        </w:rPr>
      </w:pPr>
      <w:r>
        <w:rPr>
          <w:rFonts w:hint="eastAsia" w:ascii="宋体" w:hAnsi="宋体" w:eastAsia="宋体" w:cs="宋体"/>
          <w:b/>
          <w:color w:val="auto"/>
          <w:spacing w:val="26"/>
          <w:kern w:val="2"/>
          <w:sz w:val="110"/>
          <w:szCs w:val="110"/>
          <w:highlight w:val="none"/>
          <w:lang w:val="en-US" w:eastAsia="zh-CN" w:bidi="ar"/>
        </w:rPr>
        <w:t>招标文件</w:t>
      </w:r>
    </w:p>
    <w:p w14:paraId="3235CD0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 xml:space="preserve"> </w:t>
      </w:r>
    </w:p>
    <w:p w14:paraId="2823E8D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 xml:space="preserve"> </w:t>
      </w:r>
    </w:p>
    <w:p w14:paraId="0985A1E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 xml:space="preserve"> </w:t>
      </w:r>
    </w:p>
    <w:p w14:paraId="11627AB1">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lang w:val="en-US" w:eastAsia="zh-CN" w:bidi="ar"/>
        </w:rPr>
        <w:t>招  标 单 位：广州市重点公共建设项目管理中心</w:t>
      </w:r>
    </w:p>
    <w:p w14:paraId="20B9D686">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lang w:val="en-US" w:eastAsia="zh-CN" w:bidi="ar"/>
        </w:rPr>
        <w:t>招标代理机构：</w:t>
      </w:r>
      <w:r>
        <w:rPr>
          <w:rFonts w:hint="eastAsia" w:ascii="宋体" w:hAnsi="宋体" w:eastAsia="宋体" w:cs="宋体"/>
          <w:color w:val="auto"/>
          <w:kern w:val="2"/>
          <w:sz w:val="30"/>
          <w:szCs w:val="30"/>
          <w:highlight w:val="none"/>
          <w:u w:val="single"/>
          <w:lang w:val="en-US" w:eastAsia="zh-CN" w:bidi="ar"/>
        </w:rPr>
        <w:t>广东重工建设监理有限公司</w:t>
      </w:r>
    </w:p>
    <w:p w14:paraId="0E009EB5">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日       期：</w:t>
      </w:r>
      <w:r>
        <w:rPr>
          <w:rFonts w:hint="eastAsia" w:ascii="宋体" w:hAnsi="宋体" w:eastAsia="宋体" w:cs="宋体"/>
          <w:color w:val="auto"/>
          <w:kern w:val="2"/>
          <w:sz w:val="30"/>
          <w:szCs w:val="30"/>
          <w:highlight w:val="none"/>
          <w:u w:val="single"/>
          <w:lang w:val="en-US" w:eastAsia="zh-CN" w:bidi="ar"/>
        </w:rPr>
        <w:t>2024</w:t>
      </w:r>
      <w:r>
        <w:rPr>
          <w:rFonts w:hint="eastAsia" w:ascii="宋体" w:hAnsi="宋体" w:eastAsia="宋体" w:cs="宋体"/>
          <w:color w:val="auto"/>
          <w:kern w:val="2"/>
          <w:sz w:val="30"/>
          <w:szCs w:val="30"/>
          <w:highlight w:val="none"/>
          <w:lang w:val="en-US" w:eastAsia="zh-CN" w:bidi="ar"/>
        </w:rPr>
        <w:t>年</w:t>
      </w:r>
      <w:r>
        <w:rPr>
          <w:rFonts w:hint="eastAsia" w:ascii="宋体" w:hAnsi="宋体" w:eastAsia="宋体" w:cs="宋体"/>
          <w:color w:val="auto"/>
          <w:kern w:val="2"/>
          <w:sz w:val="30"/>
          <w:szCs w:val="30"/>
          <w:highlight w:val="none"/>
          <w:u w:val="single"/>
          <w:lang w:val="en-US" w:eastAsia="zh-CN" w:bidi="ar"/>
        </w:rPr>
        <w:t xml:space="preserve"> 9 </w:t>
      </w:r>
      <w:r>
        <w:rPr>
          <w:rFonts w:hint="eastAsia" w:ascii="宋体" w:hAnsi="宋体" w:eastAsia="宋体" w:cs="宋体"/>
          <w:color w:val="auto"/>
          <w:kern w:val="2"/>
          <w:sz w:val="30"/>
          <w:szCs w:val="30"/>
          <w:highlight w:val="none"/>
          <w:lang w:val="en-US" w:eastAsia="zh-CN" w:bidi="ar"/>
        </w:rPr>
        <w:t>月</w:t>
      </w:r>
    </w:p>
    <w:p w14:paraId="285D744A">
      <w:pPr>
        <w:spacing w:line="360" w:lineRule="auto"/>
        <w:rPr>
          <w:rFonts w:hint="eastAsia" w:ascii="宋体" w:hAnsi="宋体" w:eastAsia="宋体" w:cs="宋体"/>
          <w:b/>
          <w:color w:val="auto"/>
          <w:kern w:val="2"/>
          <w:sz w:val="30"/>
          <w:szCs w:val="30"/>
          <w:highlight w:val="none"/>
        </w:rPr>
        <w:sectPr>
          <w:headerReference r:id="rId4" w:type="first"/>
          <w:footerReference r:id="rId6" w:type="first"/>
          <w:headerReference r:id="rId3" w:type="default"/>
          <w:footerReference r:id="rId5" w:type="default"/>
          <w:pgSz w:w="11905" w:h="16838"/>
          <w:pgMar w:top="1440" w:right="1797" w:bottom="1440" w:left="1797" w:header="567" w:footer="850" w:gutter="0"/>
          <w:cols w:space="425" w:num="1"/>
          <w:docGrid w:type="lines" w:linePitch="312" w:charSpace="0"/>
        </w:sectPr>
      </w:pPr>
    </w:p>
    <w:p w14:paraId="252A6BD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44"/>
          <w:szCs w:val="44"/>
          <w:highlight w:val="none"/>
        </w:rPr>
      </w:pPr>
      <w:r>
        <w:rPr>
          <w:rFonts w:hint="eastAsia" w:ascii="宋体" w:hAnsi="宋体" w:eastAsia="宋体" w:cs="宋体"/>
          <w:b/>
          <w:bCs w:val="0"/>
          <w:color w:val="auto"/>
          <w:kern w:val="2"/>
          <w:sz w:val="44"/>
          <w:szCs w:val="44"/>
          <w:highlight w:val="none"/>
          <w:lang w:val="en-US" w:eastAsia="zh-CN" w:bidi="ar"/>
        </w:rPr>
        <w:t>重要提示</w:t>
      </w:r>
    </w:p>
    <w:p w14:paraId="5EDB1FAC">
      <w:pPr>
        <w:keepNext w:val="0"/>
        <w:keepLines w:val="0"/>
        <w:widowControl w:val="0"/>
        <w:suppressLineNumbers w:val="0"/>
        <w:spacing w:before="0" w:beforeAutospacing="0" w:after="0" w:afterAutospacing="0" w:line="360" w:lineRule="auto"/>
        <w:ind w:left="0" w:right="0" w:firstLine="537" w:firstLineChars="224"/>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719AD1B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本项目实施电子招投标，投标人应先认真阅读《建设工程全流程电子化项目操作指南》。 </w:t>
      </w:r>
    </w:p>
    <w:p w14:paraId="2A6CB7A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32"/>
          <w:szCs w:val="32"/>
          <w:highlight w:val="none"/>
          <w:lang w:val="en-US" w:eastAsia="zh-CN" w:bidi="ar"/>
        </w:rPr>
        <w:br w:type="page"/>
      </w:r>
    </w:p>
    <w:p w14:paraId="61EDC58F">
      <w:pPr>
        <w:keepNext/>
        <w:keepLines/>
        <w:widowControl/>
        <w:suppressLineNumbers w:val="0"/>
        <w:spacing w:before="0" w:beforeAutospacing="0" w:after="0" w:afterAutospacing="0" w:line="360" w:lineRule="auto"/>
        <w:ind w:left="0" w:right="0"/>
        <w:jc w:val="center"/>
        <w:rPr>
          <w:rFonts w:hint="default" w:ascii="Cambria" w:hAnsi="Cambria" w:eastAsia="Cambria" w:cs="Cambria"/>
          <w:b/>
          <w:color w:val="auto"/>
          <w:kern w:val="0"/>
          <w:sz w:val="40"/>
          <w:szCs w:val="40"/>
          <w:highlight w:val="none"/>
        </w:rPr>
      </w:pPr>
      <w:r>
        <w:rPr>
          <w:rFonts w:hint="eastAsia" w:ascii="宋体" w:hAnsi="宋体" w:eastAsia="宋体" w:cs="宋体"/>
          <w:b/>
          <w:color w:val="auto"/>
          <w:kern w:val="0"/>
          <w:sz w:val="40"/>
          <w:szCs w:val="40"/>
          <w:highlight w:val="none"/>
          <w:lang w:val="en-US" w:eastAsia="zh-CN" w:bidi="ar"/>
        </w:rPr>
        <w:t>目</w:t>
      </w:r>
      <w:r>
        <w:rPr>
          <w:rFonts w:hint="eastAsia" w:ascii="Cambria" w:hAnsi="Cambria" w:eastAsia="宋体" w:cs="宋体"/>
          <w:b/>
          <w:color w:val="auto"/>
          <w:kern w:val="0"/>
          <w:sz w:val="40"/>
          <w:szCs w:val="40"/>
          <w:highlight w:val="none"/>
          <w:lang w:val="en-US" w:eastAsia="zh-CN" w:bidi="ar"/>
        </w:rPr>
        <w:t xml:space="preserve">   </w:t>
      </w:r>
      <w:r>
        <w:rPr>
          <w:rFonts w:hint="eastAsia" w:ascii="宋体" w:hAnsi="宋体" w:eastAsia="宋体" w:cs="宋体"/>
          <w:b/>
          <w:color w:val="auto"/>
          <w:kern w:val="0"/>
          <w:sz w:val="40"/>
          <w:szCs w:val="40"/>
          <w:highlight w:val="none"/>
          <w:lang w:val="en-US" w:eastAsia="zh-CN" w:bidi="ar"/>
        </w:rPr>
        <w:t>录</w:t>
      </w:r>
    </w:p>
    <w:p w14:paraId="620132AC">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eastAsiaTheme="minorEastAsia"/>
          <w:color w:val="auto"/>
          <w:kern w:val="2"/>
          <w:sz w:val="21"/>
          <w:szCs w:val="21"/>
          <w:highlight w:val="none"/>
          <w:lang w:val="en-US" w:eastAsia="zh-CN" w:bidi="ar"/>
        </w:rPr>
        <w:t xml:space="preserve"> </w:t>
      </w:r>
    </w:p>
    <w:p w14:paraId="61F745A0">
      <w:pPr>
        <w:pStyle w:val="7"/>
        <w:widowControl/>
        <w:spacing w:before="0" w:beforeAutospacing="1"/>
        <w:ind w:left="0" w:right="0"/>
        <w:rPr>
          <w:rFonts w:hint="eastAsia" w:ascii="宋体" w:hAnsi="宋体" w:eastAsia="宋体" w:cs="Times New Roman"/>
          <w:color w:val="auto"/>
          <w:kern w:val="2"/>
          <w:sz w:val="28"/>
          <w:szCs w:val="28"/>
          <w:highlight w:val="none"/>
        </w:rPr>
      </w:pPr>
      <w:r>
        <w:rPr>
          <w:color w:val="auto"/>
          <w:highlight w:val="none"/>
        </w:rPr>
        <w:fldChar w:fldCharType="begin"/>
      </w:r>
      <w:r>
        <w:rPr>
          <w:color w:val="auto"/>
          <w:highlight w:val="none"/>
        </w:rPr>
        <w:instrText xml:space="preserve"> HYPERLINK "" \l "_Toc140071424" </w:instrText>
      </w:r>
      <w:r>
        <w:rPr>
          <w:color w:val="auto"/>
          <w:highlight w:val="none"/>
        </w:rPr>
        <w:fldChar w:fldCharType="separate"/>
      </w:r>
      <w:r>
        <w:rPr>
          <w:rStyle w:val="12"/>
          <w:rFonts w:hint="eastAsia" w:ascii="宋体" w:hAnsi="宋体" w:eastAsia="宋体" w:cs="宋体"/>
          <w:b/>
          <w:bCs w:val="0"/>
          <w:color w:val="auto"/>
          <w:kern w:val="44"/>
          <w:sz w:val="28"/>
          <w:szCs w:val="28"/>
          <w:highlight w:val="none"/>
          <w:u w:val="single"/>
        </w:rPr>
        <w:t>第一卷</w:t>
      </w:r>
      <w:r>
        <w:rPr>
          <w:rStyle w:val="12"/>
          <w:rFonts w:hint="eastAsia" w:ascii="宋体" w:hAnsi="宋体" w:eastAsia="宋体" w:cs="Times New Roman"/>
          <w:color w:val="auto"/>
          <w:kern w:val="0"/>
          <w:sz w:val="28"/>
          <w:szCs w:val="28"/>
          <w:highlight w:val="none"/>
        </w:rPr>
        <w:tab/>
      </w:r>
      <w:r>
        <w:rPr>
          <w:rStyle w:val="12"/>
          <w:rFonts w:hint="eastAsia" w:ascii="宋体" w:hAnsi="宋体" w:eastAsia="宋体" w:cs="Times New Roman"/>
          <w:color w:val="auto"/>
          <w:kern w:val="0"/>
          <w:sz w:val="28"/>
          <w:szCs w:val="28"/>
          <w:highlight w:val="none"/>
        </w:rPr>
        <w:fldChar w:fldCharType="begin"/>
      </w:r>
      <w:r>
        <w:rPr>
          <w:rStyle w:val="12"/>
          <w:rFonts w:hint="eastAsia" w:ascii="宋体" w:hAnsi="宋体" w:eastAsia="宋体" w:cs="Times New Roman"/>
          <w:color w:val="auto"/>
          <w:kern w:val="0"/>
          <w:sz w:val="28"/>
          <w:szCs w:val="28"/>
          <w:highlight w:val="none"/>
        </w:rPr>
        <w:instrText xml:space="preserve"> PAGEREF _Toc140071424 \h </w:instrText>
      </w:r>
      <w:r>
        <w:rPr>
          <w:rStyle w:val="12"/>
          <w:rFonts w:hint="eastAsia" w:ascii="宋体" w:hAnsi="宋体" w:eastAsia="宋体" w:cs="Times New Roman"/>
          <w:color w:val="auto"/>
          <w:kern w:val="0"/>
          <w:sz w:val="28"/>
          <w:szCs w:val="28"/>
          <w:highlight w:val="none"/>
        </w:rPr>
        <w:fldChar w:fldCharType="separate"/>
      </w:r>
      <w:r>
        <w:rPr>
          <w:rStyle w:val="12"/>
          <w:rFonts w:hint="eastAsia" w:ascii="宋体" w:hAnsi="宋体" w:eastAsia="宋体" w:cs="Times New Roman"/>
          <w:color w:val="auto"/>
          <w:kern w:val="0"/>
          <w:sz w:val="28"/>
          <w:szCs w:val="28"/>
          <w:highlight w:val="none"/>
        </w:rPr>
        <w:t>15</w:t>
      </w:r>
      <w:r>
        <w:rPr>
          <w:rStyle w:val="12"/>
          <w:rFonts w:hint="eastAsia" w:ascii="宋体" w:hAnsi="宋体" w:eastAsia="宋体" w:cs="Times New Roman"/>
          <w:color w:val="auto"/>
          <w:kern w:val="0"/>
          <w:sz w:val="28"/>
          <w:szCs w:val="28"/>
          <w:highlight w:val="none"/>
        </w:rPr>
        <w:fldChar w:fldCharType="end"/>
      </w:r>
      <w:r>
        <w:rPr>
          <w:color w:val="auto"/>
          <w:highlight w:val="none"/>
        </w:rPr>
        <w:fldChar w:fldCharType="end"/>
      </w:r>
    </w:p>
    <w:p w14:paraId="637A2A82">
      <w:pPr>
        <w:pStyle w:val="7"/>
        <w:widowControl/>
        <w:spacing w:before="0" w:beforeAutospacing="1"/>
        <w:ind w:left="420" w:leftChars="200" w:right="0"/>
        <w:rPr>
          <w:rFonts w:hint="eastAsia" w:ascii="宋体" w:hAnsi="宋体" w:eastAsia="宋体" w:cs="Times New Roman"/>
          <w:color w:val="auto"/>
          <w:kern w:val="2"/>
          <w:sz w:val="28"/>
          <w:szCs w:val="28"/>
          <w:highlight w:val="none"/>
        </w:rPr>
      </w:pPr>
      <w:r>
        <w:rPr>
          <w:color w:val="auto"/>
          <w:highlight w:val="none"/>
        </w:rPr>
        <w:fldChar w:fldCharType="begin"/>
      </w:r>
      <w:r>
        <w:rPr>
          <w:color w:val="auto"/>
          <w:highlight w:val="none"/>
        </w:rPr>
        <w:instrText xml:space="preserve"> HYPERLINK "" \l "_Toc140071425" </w:instrText>
      </w:r>
      <w:r>
        <w:rPr>
          <w:color w:val="auto"/>
          <w:highlight w:val="none"/>
        </w:rPr>
        <w:fldChar w:fldCharType="separate"/>
      </w:r>
      <w:r>
        <w:rPr>
          <w:rStyle w:val="12"/>
          <w:rFonts w:hint="eastAsia" w:ascii="宋体" w:hAnsi="宋体" w:eastAsia="宋体" w:cs="宋体"/>
          <w:b/>
          <w:bCs w:val="0"/>
          <w:color w:val="auto"/>
          <w:sz w:val="28"/>
          <w:szCs w:val="28"/>
          <w:highlight w:val="none"/>
          <w:u w:val="single"/>
        </w:rPr>
        <w:t>第一章招标公告</w:t>
      </w:r>
      <w:r>
        <w:rPr>
          <w:rStyle w:val="12"/>
          <w:rFonts w:hint="eastAsia" w:ascii="宋体" w:hAnsi="宋体" w:eastAsia="宋体" w:cs="Times New Roman"/>
          <w:color w:val="auto"/>
          <w:kern w:val="0"/>
          <w:sz w:val="28"/>
          <w:szCs w:val="28"/>
          <w:highlight w:val="none"/>
        </w:rPr>
        <w:tab/>
      </w:r>
      <w:r>
        <w:rPr>
          <w:rStyle w:val="12"/>
          <w:rFonts w:hint="eastAsia" w:ascii="宋体" w:hAnsi="宋体" w:eastAsia="宋体" w:cs="Times New Roman"/>
          <w:color w:val="auto"/>
          <w:kern w:val="0"/>
          <w:sz w:val="28"/>
          <w:szCs w:val="28"/>
          <w:highlight w:val="none"/>
        </w:rPr>
        <w:fldChar w:fldCharType="begin"/>
      </w:r>
      <w:r>
        <w:rPr>
          <w:rStyle w:val="12"/>
          <w:rFonts w:hint="eastAsia" w:ascii="宋体" w:hAnsi="宋体" w:eastAsia="宋体" w:cs="Times New Roman"/>
          <w:color w:val="auto"/>
          <w:kern w:val="0"/>
          <w:sz w:val="28"/>
          <w:szCs w:val="28"/>
          <w:highlight w:val="none"/>
        </w:rPr>
        <w:instrText xml:space="preserve"> PAGEREF _Toc140071425 \h </w:instrText>
      </w:r>
      <w:r>
        <w:rPr>
          <w:rStyle w:val="12"/>
          <w:rFonts w:hint="eastAsia" w:ascii="宋体" w:hAnsi="宋体" w:eastAsia="宋体" w:cs="Times New Roman"/>
          <w:color w:val="auto"/>
          <w:kern w:val="0"/>
          <w:sz w:val="28"/>
          <w:szCs w:val="28"/>
          <w:highlight w:val="none"/>
        </w:rPr>
        <w:fldChar w:fldCharType="separate"/>
      </w:r>
      <w:r>
        <w:rPr>
          <w:rStyle w:val="12"/>
          <w:rFonts w:hint="eastAsia" w:ascii="宋体" w:hAnsi="宋体" w:eastAsia="宋体" w:cs="Times New Roman"/>
          <w:color w:val="auto"/>
          <w:kern w:val="0"/>
          <w:sz w:val="28"/>
          <w:szCs w:val="28"/>
          <w:highlight w:val="none"/>
        </w:rPr>
        <w:t>15</w:t>
      </w:r>
      <w:r>
        <w:rPr>
          <w:rStyle w:val="12"/>
          <w:rFonts w:hint="eastAsia" w:ascii="宋体" w:hAnsi="宋体" w:eastAsia="宋体" w:cs="Times New Roman"/>
          <w:color w:val="auto"/>
          <w:kern w:val="0"/>
          <w:sz w:val="28"/>
          <w:szCs w:val="28"/>
          <w:highlight w:val="none"/>
        </w:rPr>
        <w:fldChar w:fldCharType="end"/>
      </w:r>
      <w:r>
        <w:rPr>
          <w:color w:val="auto"/>
          <w:highlight w:val="none"/>
        </w:rPr>
        <w:fldChar w:fldCharType="end"/>
      </w:r>
    </w:p>
    <w:p w14:paraId="6B6B9E99">
      <w:pPr>
        <w:pStyle w:val="7"/>
        <w:widowControl/>
        <w:spacing w:before="0" w:beforeAutospacing="1"/>
        <w:ind w:left="420" w:leftChars="200" w:right="0"/>
        <w:rPr>
          <w:rFonts w:hint="eastAsia" w:ascii="宋体" w:hAnsi="宋体" w:eastAsia="宋体" w:cs="Times New Roman"/>
          <w:color w:val="auto"/>
          <w:kern w:val="2"/>
          <w:sz w:val="28"/>
          <w:szCs w:val="28"/>
          <w:highlight w:val="none"/>
        </w:rPr>
      </w:pPr>
      <w:r>
        <w:rPr>
          <w:color w:val="auto"/>
          <w:highlight w:val="none"/>
        </w:rPr>
        <w:fldChar w:fldCharType="begin"/>
      </w:r>
      <w:r>
        <w:rPr>
          <w:color w:val="auto"/>
          <w:highlight w:val="none"/>
        </w:rPr>
        <w:instrText xml:space="preserve"> HYPERLINK "" \l "_Toc140071426" </w:instrText>
      </w:r>
      <w:r>
        <w:rPr>
          <w:color w:val="auto"/>
          <w:highlight w:val="none"/>
        </w:rPr>
        <w:fldChar w:fldCharType="separate"/>
      </w:r>
      <w:r>
        <w:rPr>
          <w:rStyle w:val="12"/>
          <w:rFonts w:hint="eastAsia" w:ascii="宋体" w:hAnsi="宋体" w:eastAsia="宋体" w:cs="宋体"/>
          <w:b/>
          <w:bCs w:val="0"/>
          <w:color w:val="auto"/>
          <w:sz w:val="28"/>
          <w:szCs w:val="28"/>
          <w:highlight w:val="none"/>
          <w:u w:val="single"/>
        </w:rPr>
        <w:t>第二章投标人须知</w:t>
      </w:r>
      <w:r>
        <w:rPr>
          <w:rStyle w:val="12"/>
          <w:rFonts w:hint="eastAsia" w:ascii="宋体" w:hAnsi="宋体" w:eastAsia="宋体" w:cs="Times New Roman"/>
          <w:color w:val="auto"/>
          <w:kern w:val="0"/>
          <w:sz w:val="28"/>
          <w:szCs w:val="28"/>
          <w:highlight w:val="none"/>
        </w:rPr>
        <w:tab/>
      </w:r>
      <w:r>
        <w:rPr>
          <w:rStyle w:val="12"/>
          <w:rFonts w:hint="eastAsia" w:ascii="宋体" w:hAnsi="宋体" w:eastAsia="宋体" w:cs="Times New Roman"/>
          <w:color w:val="auto"/>
          <w:kern w:val="0"/>
          <w:sz w:val="28"/>
          <w:szCs w:val="28"/>
          <w:highlight w:val="none"/>
        </w:rPr>
        <w:fldChar w:fldCharType="begin"/>
      </w:r>
      <w:r>
        <w:rPr>
          <w:rStyle w:val="12"/>
          <w:rFonts w:hint="eastAsia" w:ascii="宋体" w:hAnsi="宋体" w:eastAsia="宋体" w:cs="Times New Roman"/>
          <w:color w:val="auto"/>
          <w:kern w:val="0"/>
          <w:sz w:val="28"/>
          <w:szCs w:val="28"/>
          <w:highlight w:val="none"/>
        </w:rPr>
        <w:instrText xml:space="preserve"> PAGEREF _Toc140071426 \h </w:instrText>
      </w:r>
      <w:r>
        <w:rPr>
          <w:rStyle w:val="12"/>
          <w:rFonts w:hint="eastAsia" w:ascii="宋体" w:hAnsi="宋体" w:eastAsia="宋体" w:cs="Times New Roman"/>
          <w:color w:val="auto"/>
          <w:kern w:val="0"/>
          <w:sz w:val="28"/>
          <w:szCs w:val="28"/>
          <w:highlight w:val="none"/>
        </w:rPr>
        <w:fldChar w:fldCharType="separate"/>
      </w:r>
      <w:r>
        <w:rPr>
          <w:rStyle w:val="12"/>
          <w:rFonts w:hint="eastAsia" w:ascii="宋体" w:hAnsi="宋体" w:eastAsia="宋体" w:cs="Times New Roman"/>
          <w:color w:val="auto"/>
          <w:kern w:val="0"/>
          <w:sz w:val="28"/>
          <w:szCs w:val="28"/>
          <w:highlight w:val="none"/>
        </w:rPr>
        <w:t>16</w:t>
      </w:r>
      <w:r>
        <w:rPr>
          <w:rStyle w:val="12"/>
          <w:rFonts w:hint="eastAsia" w:ascii="宋体" w:hAnsi="宋体" w:eastAsia="宋体" w:cs="Times New Roman"/>
          <w:color w:val="auto"/>
          <w:kern w:val="0"/>
          <w:sz w:val="28"/>
          <w:szCs w:val="28"/>
          <w:highlight w:val="none"/>
        </w:rPr>
        <w:fldChar w:fldCharType="end"/>
      </w:r>
      <w:r>
        <w:rPr>
          <w:color w:val="auto"/>
          <w:highlight w:val="none"/>
        </w:rPr>
        <w:fldChar w:fldCharType="end"/>
      </w:r>
    </w:p>
    <w:p w14:paraId="3654D3F5">
      <w:pPr>
        <w:pStyle w:val="7"/>
        <w:widowControl/>
        <w:spacing w:before="0" w:beforeAutospacing="1"/>
        <w:ind w:left="420" w:leftChars="200" w:right="0"/>
        <w:rPr>
          <w:rFonts w:hint="eastAsia" w:ascii="宋体" w:hAnsi="宋体" w:eastAsia="宋体" w:cs="Times New Roman"/>
          <w:color w:val="auto"/>
          <w:kern w:val="2"/>
          <w:sz w:val="28"/>
          <w:szCs w:val="28"/>
          <w:highlight w:val="none"/>
        </w:rPr>
      </w:pPr>
      <w:r>
        <w:rPr>
          <w:color w:val="auto"/>
          <w:highlight w:val="none"/>
        </w:rPr>
        <w:fldChar w:fldCharType="begin"/>
      </w:r>
      <w:r>
        <w:rPr>
          <w:color w:val="auto"/>
          <w:highlight w:val="none"/>
        </w:rPr>
        <w:instrText xml:space="preserve"> HYPERLINK "" \l "_Toc140071427" </w:instrText>
      </w:r>
      <w:r>
        <w:rPr>
          <w:color w:val="auto"/>
          <w:highlight w:val="none"/>
        </w:rPr>
        <w:fldChar w:fldCharType="separate"/>
      </w:r>
      <w:r>
        <w:rPr>
          <w:rStyle w:val="12"/>
          <w:rFonts w:hint="eastAsia" w:ascii="宋体" w:hAnsi="宋体" w:eastAsia="宋体" w:cs="宋体"/>
          <w:b/>
          <w:bCs w:val="0"/>
          <w:color w:val="auto"/>
          <w:sz w:val="28"/>
          <w:szCs w:val="28"/>
          <w:highlight w:val="none"/>
          <w:u w:val="single"/>
        </w:rPr>
        <w:t>第三章评标办法（综合评估法）</w:t>
      </w:r>
      <w:r>
        <w:rPr>
          <w:rStyle w:val="12"/>
          <w:rFonts w:hint="eastAsia" w:ascii="宋体" w:hAnsi="宋体" w:eastAsia="宋体" w:cs="Times New Roman"/>
          <w:color w:val="auto"/>
          <w:kern w:val="0"/>
          <w:sz w:val="28"/>
          <w:szCs w:val="28"/>
          <w:highlight w:val="none"/>
        </w:rPr>
        <w:tab/>
      </w:r>
      <w:r>
        <w:rPr>
          <w:rStyle w:val="12"/>
          <w:rFonts w:hint="eastAsia" w:ascii="宋体" w:hAnsi="宋体" w:eastAsia="宋体" w:cs="Times New Roman"/>
          <w:color w:val="auto"/>
          <w:kern w:val="0"/>
          <w:sz w:val="28"/>
          <w:szCs w:val="28"/>
          <w:highlight w:val="none"/>
        </w:rPr>
        <w:fldChar w:fldCharType="begin"/>
      </w:r>
      <w:r>
        <w:rPr>
          <w:rStyle w:val="12"/>
          <w:rFonts w:hint="eastAsia" w:ascii="宋体" w:hAnsi="宋体" w:eastAsia="宋体" w:cs="Times New Roman"/>
          <w:color w:val="auto"/>
          <w:kern w:val="0"/>
          <w:sz w:val="28"/>
          <w:szCs w:val="28"/>
          <w:highlight w:val="none"/>
        </w:rPr>
        <w:instrText xml:space="preserve"> PAGEREF _Toc140071427 \h </w:instrText>
      </w:r>
      <w:r>
        <w:rPr>
          <w:rStyle w:val="12"/>
          <w:rFonts w:hint="eastAsia" w:ascii="宋体" w:hAnsi="宋体" w:eastAsia="宋体" w:cs="Times New Roman"/>
          <w:color w:val="auto"/>
          <w:kern w:val="0"/>
          <w:sz w:val="28"/>
          <w:szCs w:val="28"/>
          <w:highlight w:val="none"/>
        </w:rPr>
        <w:fldChar w:fldCharType="separate"/>
      </w:r>
      <w:r>
        <w:rPr>
          <w:rStyle w:val="12"/>
          <w:rFonts w:hint="eastAsia" w:ascii="宋体" w:hAnsi="宋体" w:eastAsia="宋体" w:cs="Times New Roman"/>
          <w:color w:val="auto"/>
          <w:kern w:val="0"/>
          <w:sz w:val="28"/>
          <w:szCs w:val="28"/>
          <w:highlight w:val="none"/>
        </w:rPr>
        <w:t>44</w:t>
      </w:r>
      <w:r>
        <w:rPr>
          <w:rStyle w:val="12"/>
          <w:rFonts w:hint="eastAsia" w:ascii="宋体" w:hAnsi="宋体" w:eastAsia="宋体" w:cs="Times New Roman"/>
          <w:color w:val="auto"/>
          <w:kern w:val="0"/>
          <w:sz w:val="28"/>
          <w:szCs w:val="28"/>
          <w:highlight w:val="none"/>
        </w:rPr>
        <w:fldChar w:fldCharType="end"/>
      </w:r>
      <w:r>
        <w:rPr>
          <w:color w:val="auto"/>
          <w:highlight w:val="none"/>
        </w:rPr>
        <w:fldChar w:fldCharType="end"/>
      </w:r>
    </w:p>
    <w:p w14:paraId="2CA60C46">
      <w:pPr>
        <w:pStyle w:val="7"/>
        <w:widowControl/>
        <w:spacing w:before="0" w:beforeAutospacing="1"/>
        <w:ind w:left="420" w:leftChars="200" w:right="0"/>
        <w:rPr>
          <w:rFonts w:hint="eastAsia" w:ascii="宋体" w:hAnsi="宋体" w:eastAsia="宋体" w:cs="Times New Roman"/>
          <w:color w:val="auto"/>
          <w:kern w:val="2"/>
          <w:sz w:val="28"/>
          <w:szCs w:val="28"/>
          <w:highlight w:val="none"/>
        </w:rPr>
      </w:pPr>
      <w:r>
        <w:rPr>
          <w:color w:val="auto"/>
          <w:highlight w:val="none"/>
        </w:rPr>
        <w:fldChar w:fldCharType="begin"/>
      </w:r>
      <w:r>
        <w:rPr>
          <w:color w:val="auto"/>
          <w:highlight w:val="none"/>
        </w:rPr>
        <w:instrText xml:space="preserve"> HYPERLINK "" \l "_Toc140071428" </w:instrText>
      </w:r>
      <w:r>
        <w:rPr>
          <w:color w:val="auto"/>
          <w:highlight w:val="none"/>
        </w:rPr>
        <w:fldChar w:fldCharType="separate"/>
      </w:r>
      <w:r>
        <w:rPr>
          <w:rStyle w:val="12"/>
          <w:rFonts w:hint="eastAsia" w:ascii="宋体" w:hAnsi="宋体" w:eastAsia="宋体" w:cs="宋体"/>
          <w:b/>
          <w:bCs w:val="0"/>
          <w:color w:val="auto"/>
          <w:sz w:val="28"/>
          <w:szCs w:val="28"/>
          <w:highlight w:val="none"/>
          <w:u w:val="single"/>
        </w:rPr>
        <w:t>第四章合同条款及格式（另册）</w:t>
      </w:r>
      <w:r>
        <w:rPr>
          <w:rStyle w:val="12"/>
          <w:rFonts w:hint="eastAsia" w:ascii="宋体" w:hAnsi="宋体" w:eastAsia="宋体" w:cs="Times New Roman"/>
          <w:color w:val="auto"/>
          <w:kern w:val="0"/>
          <w:sz w:val="28"/>
          <w:szCs w:val="28"/>
          <w:highlight w:val="none"/>
        </w:rPr>
        <w:tab/>
      </w:r>
      <w:r>
        <w:rPr>
          <w:color w:val="auto"/>
          <w:highlight w:val="none"/>
        </w:rPr>
        <w:fldChar w:fldCharType="end"/>
      </w:r>
      <w:r>
        <w:rPr>
          <w:rFonts w:hint="eastAsia" w:ascii="宋体" w:hAnsi="宋体" w:eastAsia="宋体" w:cs="宋体"/>
          <w:color w:val="auto"/>
          <w:kern w:val="0"/>
          <w:sz w:val="28"/>
          <w:szCs w:val="28"/>
          <w:highlight w:val="none"/>
        </w:rPr>
        <w:t>47</w:t>
      </w:r>
    </w:p>
    <w:p w14:paraId="733E0A45">
      <w:pPr>
        <w:pStyle w:val="7"/>
        <w:widowControl/>
        <w:spacing w:before="0" w:beforeAutospacing="1"/>
        <w:ind w:left="0" w:right="0"/>
        <w:rPr>
          <w:rFonts w:hint="eastAsia" w:ascii="宋体" w:hAnsi="宋体" w:eastAsia="宋体" w:cs="Times New Roman"/>
          <w:color w:val="auto"/>
          <w:kern w:val="2"/>
          <w:sz w:val="28"/>
          <w:szCs w:val="28"/>
          <w:highlight w:val="none"/>
        </w:rPr>
      </w:pPr>
      <w:r>
        <w:rPr>
          <w:color w:val="auto"/>
          <w:highlight w:val="none"/>
        </w:rPr>
        <w:fldChar w:fldCharType="begin"/>
      </w:r>
      <w:r>
        <w:rPr>
          <w:color w:val="auto"/>
          <w:highlight w:val="none"/>
        </w:rPr>
        <w:instrText xml:space="preserve"> HYPERLINK "" \l "_Toc140071429" </w:instrText>
      </w:r>
      <w:r>
        <w:rPr>
          <w:color w:val="auto"/>
          <w:highlight w:val="none"/>
        </w:rPr>
        <w:fldChar w:fldCharType="separate"/>
      </w:r>
      <w:r>
        <w:rPr>
          <w:rStyle w:val="12"/>
          <w:rFonts w:hint="eastAsia" w:ascii="宋体" w:hAnsi="宋体" w:eastAsia="宋体" w:cs="宋体"/>
          <w:b/>
          <w:bCs w:val="0"/>
          <w:color w:val="auto"/>
          <w:kern w:val="44"/>
          <w:sz w:val="28"/>
          <w:szCs w:val="28"/>
          <w:highlight w:val="none"/>
          <w:u w:val="single"/>
        </w:rPr>
        <w:t>第二卷</w:t>
      </w:r>
      <w:r>
        <w:rPr>
          <w:rStyle w:val="12"/>
          <w:rFonts w:hint="eastAsia" w:ascii="宋体" w:hAnsi="宋体" w:eastAsia="宋体" w:cs="Times New Roman"/>
          <w:color w:val="auto"/>
          <w:kern w:val="0"/>
          <w:sz w:val="28"/>
          <w:szCs w:val="28"/>
          <w:highlight w:val="none"/>
        </w:rPr>
        <w:tab/>
      </w:r>
      <w:r>
        <w:rPr>
          <w:color w:val="auto"/>
          <w:highlight w:val="none"/>
        </w:rPr>
        <w:fldChar w:fldCharType="end"/>
      </w:r>
      <w:r>
        <w:rPr>
          <w:rFonts w:hint="eastAsia" w:ascii="宋体" w:hAnsi="宋体" w:eastAsia="宋体" w:cs="宋体"/>
          <w:color w:val="auto"/>
          <w:kern w:val="0"/>
          <w:sz w:val="28"/>
          <w:szCs w:val="28"/>
          <w:highlight w:val="none"/>
        </w:rPr>
        <w:t>48</w:t>
      </w:r>
    </w:p>
    <w:p w14:paraId="4AA220BD">
      <w:pPr>
        <w:pStyle w:val="7"/>
        <w:widowControl/>
        <w:spacing w:before="0" w:beforeAutospacing="1"/>
        <w:ind w:left="420" w:leftChars="200" w:right="0"/>
        <w:rPr>
          <w:rFonts w:hint="eastAsia" w:ascii="宋体" w:hAnsi="宋体" w:eastAsia="宋体" w:cs="Times New Roman"/>
          <w:color w:val="auto"/>
          <w:kern w:val="2"/>
          <w:sz w:val="28"/>
          <w:szCs w:val="28"/>
          <w:highlight w:val="none"/>
        </w:rPr>
      </w:pPr>
      <w:r>
        <w:rPr>
          <w:color w:val="auto"/>
          <w:highlight w:val="none"/>
        </w:rPr>
        <w:fldChar w:fldCharType="begin"/>
      </w:r>
      <w:r>
        <w:rPr>
          <w:color w:val="auto"/>
          <w:highlight w:val="none"/>
        </w:rPr>
        <w:instrText xml:space="preserve"> HYPERLINK "" \l "_Toc140071430" </w:instrText>
      </w:r>
      <w:r>
        <w:rPr>
          <w:color w:val="auto"/>
          <w:highlight w:val="none"/>
        </w:rPr>
        <w:fldChar w:fldCharType="separate"/>
      </w:r>
      <w:r>
        <w:rPr>
          <w:rStyle w:val="12"/>
          <w:rFonts w:hint="eastAsia" w:ascii="宋体" w:hAnsi="宋体" w:eastAsia="宋体" w:cs="宋体"/>
          <w:b/>
          <w:bCs w:val="0"/>
          <w:color w:val="auto"/>
          <w:sz w:val="28"/>
          <w:szCs w:val="28"/>
          <w:highlight w:val="none"/>
          <w:u w:val="single"/>
        </w:rPr>
        <w:t>第五章</w:t>
      </w:r>
      <w:r>
        <w:rPr>
          <w:rStyle w:val="12"/>
          <w:rFonts w:hint="eastAsia" w:ascii="宋体" w:hAnsi="宋体" w:eastAsia="宋体" w:cs="Times New Roman"/>
          <w:b/>
          <w:bCs w:val="0"/>
          <w:color w:val="auto"/>
          <w:sz w:val="28"/>
          <w:szCs w:val="28"/>
          <w:highlight w:val="none"/>
          <w:u w:val="single"/>
        </w:rPr>
        <w:t xml:space="preserve"> </w:t>
      </w:r>
      <w:r>
        <w:rPr>
          <w:rStyle w:val="12"/>
          <w:rFonts w:hint="eastAsia" w:ascii="宋体" w:hAnsi="宋体" w:eastAsia="宋体" w:cs="宋体"/>
          <w:b/>
          <w:bCs w:val="0"/>
          <w:color w:val="auto"/>
          <w:sz w:val="28"/>
          <w:szCs w:val="28"/>
          <w:highlight w:val="none"/>
          <w:u w:val="single"/>
        </w:rPr>
        <w:t>供货要求（另册）</w:t>
      </w:r>
      <w:r>
        <w:rPr>
          <w:rStyle w:val="12"/>
          <w:rFonts w:hint="eastAsia" w:ascii="宋体" w:hAnsi="宋体" w:eastAsia="宋体" w:cs="Times New Roman"/>
          <w:color w:val="auto"/>
          <w:kern w:val="0"/>
          <w:sz w:val="28"/>
          <w:szCs w:val="28"/>
          <w:highlight w:val="none"/>
        </w:rPr>
        <w:tab/>
      </w:r>
      <w:r>
        <w:rPr>
          <w:color w:val="auto"/>
          <w:highlight w:val="none"/>
        </w:rPr>
        <w:fldChar w:fldCharType="end"/>
      </w:r>
      <w:r>
        <w:rPr>
          <w:rFonts w:hint="eastAsia" w:ascii="宋体" w:hAnsi="宋体" w:eastAsia="宋体" w:cs="宋体"/>
          <w:color w:val="auto"/>
          <w:kern w:val="0"/>
          <w:sz w:val="28"/>
          <w:szCs w:val="28"/>
          <w:highlight w:val="none"/>
        </w:rPr>
        <w:t>49</w:t>
      </w:r>
    </w:p>
    <w:p w14:paraId="78CDD72E">
      <w:pPr>
        <w:pStyle w:val="7"/>
        <w:widowControl/>
        <w:spacing w:before="0" w:beforeAutospacing="1"/>
        <w:ind w:left="0" w:right="0"/>
        <w:rPr>
          <w:rFonts w:hint="eastAsia" w:ascii="宋体" w:hAnsi="宋体" w:eastAsia="宋体" w:cs="Times New Roman"/>
          <w:color w:val="auto"/>
          <w:kern w:val="2"/>
          <w:sz w:val="28"/>
          <w:szCs w:val="28"/>
          <w:highlight w:val="none"/>
        </w:rPr>
      </w:pPr>
      <w:r>
        <w:rPr>
          <w:color w:val="auto"/>
          <w:highlight w:val="none"/>
        </w:rPr>
        <w:fldChar w:fldCharType="begin"/>
      </w:r>
      <w:r>
        <w:rPr>
          <w:color w:val="auto"/>
          <w:highlight w:val="none"/>
        </w:rPr>
        <w:instrText xml:space="preserve"> HYPERLINK "" \l "_Toc140071431" </w:instrText>
      </w:r>
      <w:r>
        <w:rPr>
          <w:color w:val="auto"/>
          <w:highlight w:val="none"/>
        </w:rPr>
        <w:fldChar w:fldCharType="separate"/>
      </w:r>
      <w:r>
        <w:rPr>
          <w:rStyle w:val="12"/>
          <w:rFonts w:hint="eastAsia" w:ascii="宋体" w:hAnsi="宋体" w:eastAsia="宋体" w:cs="宋体"/>
          <w:b/>
          <w:bCs w:val="0"/>
          <w:color w:val="auto"/>
          <w:sz w:val="28"/>
          <w:szCs w:val="28"/>
          <w:highlight w:val="none"/>
          <w:u w:val="single"/>
        </w:rPr>
        <w:t>第三卷</w:t>
      </w:r>
      <w:r>
        <w:rPr>
          <w:rStyle w:val="12"/>
          <w:rFonts w:hint="eastAsia" w:ascii="宋体" w:hAnsi="宋体" w:eastAsia="宋体" w:cs="Times New Roman"/>
          <w:color w:val="auto"/>
          <w:kern w:val="0"/>
          <w:sz w:val="28"/>
          <w:szCs w:val="28"/>
          <w:highlight w:val="none"/>
        </w:rPr>
        <w:tab/>
      </w:r>
      <w:r>
        <w:rPr>
          <w:color w:val="auto"/>
          <w:highlight w:val="none"/>
        </w:rPr>
        <w:fldChar w:fldCharType="end"/>
      </w:r>
      <w:r>
        <w:rPr>
          <w:rFonts w:hint="eastAsia" w:ascii="宋体" w:hAnsi="宋体" w:eastAsia="宋体" w:cs="宋体"/>
          <w:color w:val="auto"/>
          <w:kern w:val="0"/>
          <w:sz w:val="28"/>
          <w:szCs w:val="28"/>
          <w:highlight w:val="none"/>
        </w:rPr>
        <w:t>50</w:t>
      </w:r>
    </w:p>
    <w:p w14:paraId="32E8D300">
      <w:pPr>
        <w:pStyle w:val="7"/>
        <w:widowControl/>
        <w:spacing w:before="0" w:beforeAutospacing="1"/>
        <w:ind w:left="420" w:leftChars="200" w:right="0"/>
        <w:rPr>
          <w:rFonts w:hint="default" w:ascii="Calibri" w:hAnsi="Calibri" w:eastAsia="宋体" w:cs="Times New Roman"/>
          <w:color w:val="auto"/>
          <w:kern w:val="2"/>
          <w:sz w:val="21"/>
          <w:szCs w:val="21"/>
          <w:highlight w:val="none"/>
        </w:rPr>
      </w:pPr>
      <w:r>
        <w:rPr>
          <w:color w:val="auto"/>
          <w:highlight w:val="none"/>
        </w:rPr>
        <w:fldChar w:fldCharType="begin"/>
      </w:r>
      <w:r>
        <w:rPr>
          <w:color w:val="auto"/>
          <w:highlight w:val="none"/>
        </w:rPr>
        <w:instrText xml:space="preserve"> HYPERLINK "" \l "_Toc140071432" </w:instrText>
      </w:r>
      <w:r>
        <w:rPr>
          <w:color w:val="auto"/>
          <w:highlight w:val="none"/>
        </w:rPr>
        <w:fldChar w:fldCharType="separate"/>
      </w:r>
      <w:r>
        <w:rPr>
          <w:rStyle w:val="12"/>
          <w:rFonts w:hint="eastAsia" w:ascii="宋体" w:hAnsi="宋体" w:eastAsia="宋体" w:cs="宋体"/>
          <w:b/>
          <w:bCs w:val="0"/>
          <w:color w:val="auto"/>
          <w:sz w:val="28"/>
          <w:szCs w:val="28"/>
          <w:highlight w:val="none"/>
          <w:u w:val="single"/>
        </w:rPr>
        <w:t>第六章</w:t>
      </w:r>
      <w:r>
        <w:rPr>
          <w:rStyle w:val="12"/>
          <w:rFonts w:hint="eastAsia" w:ascii="宋体" w:hAnsi="宋体" w:eastAsia="宋体" w:cs="Times New Roman"/>
          <w:b/>
          <w:bCs w:val="0"/>
          <w:color w:val="auto"/>
          <w:sz w:val="28"/>
          <w:szCs w:val="28"/>
          <w:highlight w:val="none"/>
          <w:u w:val="single"/>
        </w:rPr>
        <w:t xml:space="preserve"> </w:t>
      </w:r>
      <w:r>
        <w:rPr>
          <w:rStyle w:val="12"/>
          <w:rFonts w:hint="eastAsia" w:ascii="宋体" w:hAnsi="宋体" w:eastAsia="宋体" w:cs="宋体"/>
          <w:b/>
          <w:bCs w:val="0"/>
          <w:color w:val="auto"/>
          <w:sz w:val="28"/>
          <w:szCs w:val="28"/>
          <w:highlight w:val="none"/>
          <w:u w:val="single"/>
        </w:rPr>
        <w:t>投标文件格式</w:t>
      </w:r>
      <w:r>
        <w:rPr>
          <w:rStyle w:val="12"/>
          <w:rFonts w:hint="eastAsia" w:ascii="宋体" w:hAnsi="宋体" w:eastAsia="宋体" w:cs="Times New Roman"/>
          <w:color w:val="auto"/>
          <w:kern w:val="0"/>
          <w:sz w:val="28"/>
          <w:szCs w:val="28"/>
          <w:highlight w:val="none"/>
        </w:rPr>
        <w:tab/>
      </w:r>
      <w:r>
        <w:rPr>
          <w:color w:val="auto"/>
          <w:highlight w:val="none"/>
        </w:rPr>
        <w:fldChar w:fldCharType="end"/>
      </w:r>
      <w:r>
        <w:rPr>
          <w:rFonts w:hint="eastAsia" w:ascii="宋体" w:hAnsi="宋体" w:eastAsia="宋体" w:cs="宋体"/>
          <w:color w:val="auto"/>
          <w:kern w:val="0"/>
          <w:sz w:val="28"/>
          <w:szCs w:val="28"/>
          <w:highlight w:val="none"/>
        </w:rPr>
        <w:t>51</w:t>
      </w:r>
    </w:p>
    <w:p w14:paraId="78649B5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547344D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kern w:val="44"/>
          <w:sz w:val="44"/>
          <w:szCs w:val="44"/>
          <w:highlight w:val="none"/>
        </w:rPr>
      </w:pPr>
      <w:r>
        <w:rPr>
          <w:rFonts w:hint="eastAsia" w:ascii="宋体" w:hAnsi="宋体" w:eastAsia="宋体" w:cs="宋体"/>
          <w:b/>
          <w:bCs w:val="0"/>
          <w:color w:val="auto"/>
          <w:kern w:val="2"/>
          <w:sz w:val="44"/>
          <w:szCs w:val="44"/>
          <w:highlight w:val="none"/>
          <w:lang w:val="en-US" w:eastAsia="zh-CN" w:bidi="ar"/>
        </w:rPr>
        <w:br w:type="page"/>
      </w:r>
    </w:p>
    <w:p w14:paraId="336A8E2D">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b/>
          <w:bCs w:val="0"/>
          <w:color w:val="auto"/>
          <w:kern w:val="44"/>
          <w:sz w:val="44"/>
          <w:szCs w:val="44"/>
          <w:highlight w:val="none"/>
        </w:rPr>
      </w:pPr>
      <w:bookmarkStart w:id="0" w:name="_Toc140071424"/>
      <w:bookmarkEnd w:id="0"/>
      <w:r>
        <w:rPr>
          <w:rFonts w:hint="eastAsia" w:ascii="宋体" w:hAnsi="宋体" w:eastAsia="宋体" w:cs="宋体"/>
          <w:b/>
          <w:bCs w:val="0"/>
          <w:color w:val="auto"/>
          <w:kern w:val="44"/>
          <w:sz w:val="44"/>
          <w:szCs w:val="44"/>
          <w:highlight w:val="none"/>
          <w:lang w:val="en-US" w:eastAsia="zh-CN" w:bidi="ar"/>
        </w:rPr>
        <w:t>第一卷</w:t>
      </w:r>
    </w:p>
    <w:p w14:paraId="2CA01414">
      <w:pPr>
        <w:keepNext w:val="0"/>
        <w:keepLines w:val="0"/>
        <w:widowControl/>
        <w:suppressLineNumbers w:val="0"/>
        <w:spacing w:before="0" w:beforeAutospacing="0" w:after="0" w:afterAutospacing="0" w:line="256" w:lineRule="auto"/>
        <w:ind w:left="0" w:right="1604"/>
        <w:jc w:val="right"/>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 xml:space="preserve"> </w:t>
      </w:r>
    </w:p>
    <w:p w14:paraId="532DF866">
      <w:pPr>
        <w:keepNext w:val="0"/>
        <w:keepLines w:val="0"/>
        <w:widowControl w:val="0"/>
        <w:suppressLineNumbers w:val="0"/>
        <w:spacing w:before="0" w:beforeAutospacing="0" w:after="0" w:afterAutospacing="0" w:line="360" w:lineRule="auto"/>
        <w:ind w:left="0" w:right="220"/>
        <w:jc w:val="center"/>
        <w:outlineLvl w:val="0"/>
        <w:rPr>
          <w:rFonts w:hint="eastAsia" w:ascii="宋体" w:hAnsi="宋体" w:eastAsia="宋体" w:cs="宋体"/>
          <w:b/>
          <w:bCs w:val="0"/>
          <w:color w:val="auto"/>
          <w:kern w:val="2"/>
          <w:sz w:val="44"/>
          <w:szCs w:val="44"/>
          <w:highlight w:val="none"/>
        </w:rPr>
      </w:pPr>
      <w:bookmarkStart w:id="1" w:name="_Toc140071425"/>
      <w:bookmarkEnd w:id="1"/>
      <w:r>
        <w:rPr>
          <w:rFonts w:hint="eastAsia" w:ascii="宋体" w:hAnsi="宋体" w:eastAsia="宋体" w:cs="宋体"/>
          <w:b/>
          <w:bCs w:val="0"/>
          <w:color w:val="auto"/>
          <w:kern w:val="2"/>
          <w:sz w:val="44"/>
          <w:szCs w:val="44"/>
          <w:highlight w:val="none"/>
          <w:lang w:val="en-US" w:eastAsia="zh-CN" w:bidi="ar"/>
        </w:rPr>
        <w:t>第一章招标公告</w:t>
      </w:r>
    </w:p>
    <w:p w14:paraId="024F823C">
      <w:pPr>
        <w:keepNext w:val="0"/>
        <w:keepLines w:val="0"/>
        <w:widowControl/>
        <w:suppressLineNumbers w:val="0"/>
        <w:spacing w:before="0" w:beforeAutospacing="0" w:after="0" w:afterAutospacing="0" w:line="360" w:lineRule="auto"/>
        <w:ind w:left="0" w:right="1604"/>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32"/>
          <w:szCs w:val="32"/>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（另册）</w:t>
      </w:r>
      <w:r>
        <w:rPr>
          <w:rFonts w:hint="eastAsia" w:ascii="宋体" w:hAnsi="宋体" w:eastAsia="宋体" w:cs="宋体"/>
          <w:b/>
          <w:bCs w:val="0"/>
          <w:color w:val="auto"/>
          <w:kern w:val="2"/>
          <w:sz w:val="44"/>
          <w:szCs w:val="44"/>
          <w:highlight w:val="none"/>
          <w:lang w:val="en-US" w:eastAsia="zh-CN" w:bidi="ar"/>
        </w:rPr>
        <w:br w:type="page"/>
      </w:r>
    </w:p>
    <w:p w14:paraId="420B6A52">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b/>
          <w:bCs w:val="0"/>
          <w:color w:val="auto"/>
          <w:kern w:val="2"/>
          <w:sz w:val="44"/>
          <w:szCs w:val="44"/>
          <w:highlight w:val="none"/>
        </w:rPr>
      </w:pPr>
      <w:bookmarkStart w:id="2" w:name="_Toc140071426"/>
      <w:bookmarkEnd w:id="2"/>
      <w:r>
        <w:rPr>
          <w:rFonts w:hint="eastAsia" w:ascii="宋体" w:hAnsi="宋体" w:eastAsia="宋体" w:cs="宋体"/>
          <w:b/>
          <w:bCs w:val="0"/>
          <w:color w:val="auto"/>
          <w:kern w:val="2"/>
          <w:sz w:val="44"/>
          <w:szCs w:val="44"/>
          <w:highlight w:val="none"/>
          <w:lang w:val="en-US" w:eastAsia="zh-CN" w:bidi="ar"/>
        </w:rPr>
        <w:t>第二章投标人须知</w:t>
      </w:r>
    </w:p>
    <w:p w14:paraId="30F30976">
      <w:pPr>
        <w:keepNext w:val="0"/>
        <w:keepLines w:val="0"/>
        <w:widowControl w:val="0"/>
        <w:suppressLineNumbers w:val="0"/>
        <w:spacing w:before="0" w:beforeAutospacing="0" w:after="0" w:afterAutospacing="0" w:line="201"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DD8E97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32"/>
          <w:szCs w:val="32"/>
          <w:highlight w:val="none"/>
        </w:rPr>
      </w:pPr>
      <w:r>
        <w:rPr>
          <w:rFonts w:hint="eastAsia" w:ascii="宋体" w:hAnsi="宋体" w:eastAsia="宋体" w:cs="宋体"/>
          <w:b/>
          <w:bCs w:val="0"/>
          <w:color w:val="auto"/>
          <w:kern w:val="2"/>
          <w:sz w:val="32"/>
          <w:szCs w:val="32"/>
          <w:highlight w:val="none"/>
          <w:lang w:val="en-US" w:eastAsia="zh-CN" w:bidi="ar"/>
        </w:rPr>
        <w:t>投标人须知前附表</w:t>
      </w:r>
    </w:p>
    <w:tbl>
      <w:tblPr>
        <w:tblStyle w:val="10"/>
        <w:tblW w:w="96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8"/>
        <w:gridCol w:w="1710"/>
        <w:gridCol w:w="6777"/>
      </w:tblGrid>
      <w:tr w14:paraId="0D851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1B00A26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条款号</w:t>
            </w:r>
          </w:p>
        </w:tc>
        <w:tc>
          <w:tcPr>
            <w:tcW w:w="1710" w:type="dxa"/>
            <w:tcBorders>
              <w:top w:val="single" w:color="auto" w:sz="4" w:space="0"/>
              <w:left w:val="nil"/>
              <w:bottom w:val="single" w:color="auto" w:sz="4" w:space="0"/>
              <w:right w:val="single" w:color="auto" w:sz="4" w:space="0"/>
            </w:tcBorders>
            <w:shd w:val="clear" w:color="auto" w:fill="auto"/>
            <w:vAlign w:val="center"/>
          </w:tcPr>
          <w:p w14:paraId="02E8FC1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条款名称</w:t>
            </w:r>
          </w:p>
        </w:tc>
        <w:tc>
          <w:tcPr>
            <w:tcW w:w="6777" w:type="dxa"/>
            <w:tcBorders>
              <w:top w:val="single" w:color="auto" w:sz="4" w:space="0"/>
              <w:left w:val="nil"/>
              <w:bottom w:val="single" w:color="auto" w:sz="4" w:space="0"/>
              <w:right w:val="single" w:color="auto" w:sz="4" w:space="0"/>
            </w:tcBorders>
            <w:shd w:val="clear" w:color="auto" w:fill="auto"/>
            <w:vAlign w:val="center"/>
          </w:tcPr>
          <w:p w14:paraId="289533CE">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编列内容</w:t>
            </w:r>
          </w:p>
        </w:tc>
      </w:tr>
      <w:tr w14:paraId="687C0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4735636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1.1.2</w:t>
            </w:r>
          </w:p>
        </w:tc>
        <w:tc>
          <w:tcPr>
            <w:tcW w:w="1710" w:type="dxa"/>
            <w:tcBorders>
              <w:top w:val="single" w:color="auto" w:sz="4" w:space="0"/>
              <w:left w:val="nil"/>
              <w:bottom w:val="single" w:color="auto" w:sz="4" w:space="0"/>
              <w:right w:val="single" w:color="auto" w:sz="4" w:space="0"/>
            </w:tcBorders>
            <w:shd w:val="clear" w:color="auto" w:fill="auto"/>
            <w:vAlign w:val="center"/>
          </w:tcPr>
          <w:p w14:paraId="0F5D5B1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招标人</w:t>
            </w:r>
          </w:p>
        </w:tc>
        <w:tc>
          <w:tcPr>
            <w:tcW w:w="6777" w:type="dxa"/>
            <w:tcBorders>
              <w:top w:val="single" w:color="auto" w:sz="4" w:space="0"/>
              <w:left w:val="nil"/>
              <w:bottom w:val="single" w:color="auto" w:sz="4" w:space="0"/>
              <w:right w:val="single" w:color="auto" w:sz="4" w:space="0"/>
            </w:tcBorders>
            <w:shd w:val="clear" w:color="auto" w:fill="auto"/>
            <w:vAlign w:val="center"/>
          </w:tcPr>
          <w:p w14:paraId="619EBD3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名称：</w:t>
            </w:r>
            <w:r>
              <w:rPr>
                <w:rFonts w:hint="eastAsia" w:ascii="宋体" w:hAnsi="宋体" w:eastAsia="宋体" w:cs="宋体"/>
                <w:color w:val="auto"/>
                <w:kern w:val="2"/>
                <w:sz w:val="21"/>
                <w:szCs w:val="21"/>
                <w:highlight w:val="none"/>
                <w:u w:val="single"/>
                <w:lang w:val="en-US" w:eastAsia="zh-CN" w:bidi="ar"/>
              </w:rPr>
              <w:t>广州市重点公共建设项目管理中心</w:t>
            </w:r>
          </w:p>
          <w:p w14:paraId="0CDCED3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地址：</w:t>
            </w:r>
            <w:r>
              <w:rPr>
                <w:rFonts w:hint="eastAsia" w:ascii="宋体" w:hAnsi="宋体" w:eastAsia="宋体" w:cs="宋体"/>
                <w:color w:val="auto"/>
                <w:kern w:val="2"/>
                <w:sz w:val="21"/>
                <w:szCs w:val="21"/>
                <w:highlight w:val="none"/>
                <w:u w:val="single"/>
                <w:lang w:val="en-US" w:eastAsia="zh-CN" w:bidi="ar"/>
              </w:rPr>
              <w:t>广州大学城内环东星运路1号</w:t>
            </w:r>
          </w:p>
          <w:p w14:paraId="2DE6FA6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w:t>
            </w:r>
            <w:r>
              <w:rPr>
                <w:rFonts w:hint="eastAsia" w:ascii="宋体" w:hAnsi="宋体" w:eastAsia="宋体" w:cs="宋体"/>
                <w:color w:val="auto"/>
                <w:kern w:val="2"/>
                <w:sz w:val="21"/>
                <w:szCs w:val="21"/>
                <w:highlight w:val="none"/>
                <w:u w:val="single"/>
                <w:lang w:val="en-US" w:eastAsia="zh-CN" w:bidi="ar"/>
              </w:rPr>
              <w:t>李工</w:t>
            </w:r>
          </w:p>
          <w:p w14:paraId="63FC07D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电话：</w:t>
            </w:r>
            <w:r>
              <w:rPr>
                <w:rFonts w:hint="eastAsia" w:ascii="宋体" w:hAnsi="宋体" w:eastAsia="宋体" w:cs="宋体"/>
                <w:color w:val="auto"/>
                <w:kern w:val="2"/>
                <w:sz w:val="21"/>
                <w:szCs w:val="21"/>
                <w:highlight w:val="none"/>
                <w:u w:val="single"/>
                <w:lang w:val="en-US" w:eastAsia="zh-CN" w:bidi="ar"/>
              </w:rPr>
              <w:t>020-22905692</w:t>
            </w:r>
          </w:p>
        </w:tc>
      </w:tr>
      <w:tr w14:paraId="4AF0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4302063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1.1.3</w:t>
            </w:r>
          </w:p>
        </w:tc>
        <w:tc>
          <w:tcPr>
            <w:tcW w:w="1710" w:type="dxa"/>
            <w:tcBorders>
              <w:top w:val="single" w:color="auto" w:sz="4" w:space="0"/>
              <w:left w:val="nil"/>
              <w:bottom w:val="single" w:color="auto" w:sz="4" w:space="0"/>
              <w:right w:val="single" w:color="auto" w:sz="4" w:space="0"/>
            </w:tcBorders>
            <w:shd w:val="clear" w:color="auto" w:fill="auto"/>
            <w:vAlign w:val="center"/>
          </w:tcPr>
          <w:p w14:paraId="3D73235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招标代理机构</w:t>
            </w:r>
          </w:p>
        </w:tc>
        <w:tc>
          <w:tcPr>
            <w:tcW w:w="6777" w:type="dxa"/>
            <w:tcBorders>
              <w:top w:val="single" w:color="auto" w:sz="4" w:space="0"/>
              <w:left w:val="nil"/>
              <w:bottom w:val="single" w:color="auto" w:sz="4" w:space="0"/>
              <w:right w:val="single" w:color="auto" w:sz="4" w:space="0"/>
            </w:tcBorders>
            <w:shd w:val="clear" w:color="auto" w:fill="auto"/>
            <w:vAlign w:val="center"/>
          </w:tcPr>
          <w:p w14:paraId="64F175AF">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名称：</w:t>
            </w:r>
            <w:r>
              <w:rPr>
                <w:rFonts w:hint="eastAsia" w:ascii="宋体" w:hAnsi="宋体" w:eastAsia="宋体" w:cs="宋体"/>
                <w:color w:val="auto"/>
                <w:kern w:val="2"/>
                <w:sz w:val="21"/>
                <w:szCs w:val="21"/>
                <w:highlight w:val="none"/>
                <w:u w:val="single"/>
                <w:lang w:val="en-US" w:eastAsia="zh-CN" w:bidi="ar"/>
              </w:rPr>
              <w:t>广东重工建设监理有限公司</w:t>
            </w:r>
          </w:p>
          <w:p w14:paraId="49C72F7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地址：</w:t>
            </w:r>
            <w:r>
              <w:rPr>
                <w:rFonts w:hint="eastAsia" w:ascii="宋体" w:hAnsi="宋体" w:eastAsia="宋体" w:cs="宋体"/>
                <w:color w:val="auto"/>
                <w:kern w:val="2"/>
                <w:sz w:val="21"/>
                <w:szCs w:val="21"/>
                <w:highlight w:val="none"/>
                <w:u w:val="single"/>
                <w:lang w:val="en-US" w:eastAsia="zh-CN" w:bidi="ar"/>
              </w:rPr>
              <w:t>广州市黄埔区揽月路101号A座7层</w:t>
            </w:r>
          </w:p>
          <w:p w14:paraId="31845FB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w:t>
            </w:r>
            <w:r>
              <w:rPr>
                <w:rFonts w:hint="eastAsia" w:ascii="宋体" w:hAnsi="宋体" w:eastAsia="宋体" w:cs="宋体"/>
                <w:color w:val="auto"/>
                <w:kern w:val="2"/>
                <w:sz w:val="21"/>
                <w:szCs w:val="21"/>
                <w:highlight w:val="none"/>
                <w:u w:val="single"/>
                <w:lang w:val="en-US" w:eastAsia="zh-CN" w:bidi="ar"/>
              </w:rPr>
              <w:t>薛工</w:t>
            </w:r>
          </w:p>
          <w:p w14:paraId="7CB91A4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电话：</w:t>
            </w:r>
            <w:r>
              <w:rPr>
                <w:rFonts w:hint="eastAsia" w:ascii="宋体" w:hAnsi="宋体" w:eastAsia="宋体" w:cs="宋体"/>
                <w:color w:val="auto"/>
                <w:kern w:val="2"/>
                <w:sz w:val="21"/>
                <w:szCs w:val="21"/>
                <w:highlight w:val="none"/>
                <w:u w:val="single"/>
                <w:lang w:val="en-US" w:eastAsia="zh-CN" w:bidi="ar"/>
              </w:rPr>
              <w:t>13535014481</w:t>
            </w:r>
          </w:p>
        </w:tc>
      </w:tr>
      <w:tr w14:paraId="73C2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27F362B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1.1.4</w:t>
            </w:r>
          </w:p>
        </w:tc>
        <w:tc>
          <w:tcPr>
            <w:tcW w:w="1710" w:type="dxa"/>
            <w:tcBorders>
              <w:top w:val="single" w:color="auto" w:sz="4" w:space="0"/>
              <w:left w:val="nil"/>
              <w:bottom w:val="single" w:color="auto" w:sz="4" w:space="0"/>
              <w:right w:val="single" w:color="auto" w:sz="4" w:space="0"/>
            </w:tcBorders>
            <w:shd w:val="clear" w:color="auto" w:fill="auto"/>
            <w:vAlign w:val="center"/>
          </w:tcPr>
          <w:p w14:paraId="740EEF0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招标项目名称</w:t>
            </w:r>
          </w:p>
        </w:tc>
        <w:tc>
          <w:tcPr>
            <w:tcW w:w="6777" w:type="dxa"/>
            <w:tcBorders>
              <w:top w:val="single" w:color="auto" w:sz="4" w:space="0"/>
              <w:left w:val="nil"/>
              <w:bottom w:val="single" w:color="auto" w:sz="4" w:space="0"/>
              <w:right w:val="single" w:color="auto" w:sz="4" w:space="0"/>
            </w:tcBorders>
            <w:shd w:val="clear" w:color="auto" w:fill="auto"/>
            <w:vAlign w:val="center"/>
          </w:tcPr>
          <w:p w14:paraId="3C1A219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第十五届全运会广东奥林匹克体育中心升级改造项目、第十五届全运会广东省人民体育场改造项目体育工艺（设备类）采购及相关服务</w:t>
            </w:r>
          </w:p>
        </w:tc>
      </w:tr>
      <w:tr w14:paraId="7DC7F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23BD678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1.1.5</w:t>
            </w:r>
          </w:p>
        </w:tc>
        <w:tc>
          <w:tcPr>
            <w:tcW w:w="1710" w:type="dxa"/>
            <w:tcBorders>
              <w:top w:val="single" w:color="auto" w:sz="4" w:space="0"/>
              <w:left w:val="nil"/>
              <w:bottom w:val="single" w:color="auto" w:sz="4" w:space="0"/>
              <w:right w:val="single" w:color="auto" w:sz="4" w:space="0"/>
            </w:tcBorders>
            <w:shd w:val="clear" w:color="auto" w:fill="auto"/>
            <w:vAlign w:val="center"/>
          </w:tcPr>
          <w:p w14:paraId="6DB9D19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项目建设地点</w:t>
            </w:r>
          </w:p>
        </w:tc>
        <w:tc>
          <w:tcPr>
            <w:tcW w:w="6777" w:type="dxa"/>
            <w:tcBorders>
              <w:top w:val="single" w:color="auto" w:sz="4" w:space="0"/>
              <w:left w:val="nil"/>
              <w:bottom w:val="single" w:color="auto" w:sz="4" w:space="0"/>
              <w:right w:val="single" w:color="auto" w:sz="4" w:space="0"/>
            </w:tcBorders>
            <w:shd w:val="clear" w:color="auto" w:fill="auto"/>
            <w:vAlign w:val="center"/>
          </w:tcPr>
          <w:p w14:paraId="0BFB100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见招标公告。</w:t>
            </w:r>
          </w:p>
        </w:tc>
      </w:tr>
      <w:tr w14:paraId="4895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3E2E1DF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1.2.1</w:t>
            </w:r>
          </w:p>
        </w:tc>
        <w:tc>
          <w:tcPr>
            <w:tcW w:w="1710" w:type="dxa"/>
            <w:tcBorders>
              <w:top w:val="single" w:color="auto" w:sz="4" w:space="0"/>
              <w:left w:val="nil"/>
              <w:bottom w:val="single" w:color="auto" w:sz="4" w:space="0"/>
              <w:right w:val="single" w:color="auto" w:sz="4" w:space="0"/>
            </w:tcBorders>
            <w:shd w:val="clear" w:color="auto" w:fill="auto"/>
            <w:vAlign w:val="center"/>
          </w:tcPr>
          <w:p w14:paraId="322E479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资金来源及比例</w:t>
            </w:r>
          </w:p>
        </w:tc>
        <w:tc>
          <w:tcPr>
            <w:tcW w:w="6777" w:type="dxa"/>
            <w:tcBorders>
              <w:top w:val="single" w:color="auto" w:sz="4" w:space="0"/>
              <w:left w:val="nil"/>
              <w:bottom w:val="single" w:color="auto" w:sz="4" w:space="0"/>
              <w:right w:val="single" w:color="auto" w:sz="4" w:space="0"/>
            </w:tcBorders>
            <w:shd w:val="clear" w:color="auto" w:fill="auto"/>
            <w:vAlign w:val="center"/>
          </w:tcPr>
          <w:p w14:paraId="0D0577A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建设资金来自</w:t>
            </w:r>
            <w:r>
              <w:rPr>
                <w:rFonts w:hint="eastAsia" w:ascii="宋体" w:hAnsi="宋体" w:eastAsia="宋体" w:cs="宋体"/>
                <w:color w:val="auto"/>
                <w:kern w:val="2"/>
                <w:sz w:val="21"/>
                <w:szCs w:val="21"/>
                <w:highlight w:val="none"/>
                <w:u w:val="single"/>
                <w:lang w:val="en-US" w:eastAsia="zh-CN" w:bidi="ar"/>
              </w:rPr>
              <w:t>财政资金</w:t>
            </w:r>
            <w:r>
              <w:rPr>
                <w:rFonts w:hint="eastAsia" w:ascii="宋体" w:hAnsi="宋体" w:eastAsia="宋体" w:cs="宋体"/>
                <w:color w:val="auto"/>
                <w:kern w:val="2"/>
                <w:sz w:val="21"/>
                <w:szCs w:val="21"/>
                <w:highlight w:val="none"/>
                <w:lang w:val="en-US" w:eastAsia="zh-CN" w:bidi="ar"/>
              </w:rPr>
              <w:t>。</w:t>
            </w:r>
          </w:p>
        </w:tc>
      </w:tr>
      <w:tr w14:paraId="00D6B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4AE7122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1.2.2</w:t>
            </w:r>
          </w:p>
        </w:tc>
        <w:tc>
          <w:tcPr>
            <w:tcW w:w="1710" w:type="dxa"/>
            <w:tcBorders>
              <w:top w:val="single" w:color="auto" w:sz="4" w:space="0"/>
              <w:left w:val="nil"/>
              <w:bottom w:val="single" w:color="auto" w:sz="4" w:space="0"/>
              <w:right w:val="single" w:color="auto" w:sz="4" w:space="0"/>
            </w:tcBorders>
            <w:shd w:val="clear" w:color="auto" w:fill="auto"/>
            <w:vAlign w:val="center"/>
          </w:tcPr>
          <w:p w14:paraId="044EBC1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资金落实情况</w:t>
            </w:r>
          </w:p>
        </w:tc>
        <w:tc>
          <w:tcPr>
            <w:tcW w:w="6777" w:type="dxa"/>
            <w:tcBorders>
              <w:top w:val="single" w:color="auto" w:sz="4" w:space="0"/>
              <w:left w:val="nil"/>
              <w:bottom w:val="single" w:color="auto" w:sz="4" w:space="0"/>
              <w:right w:val="single" w:color="auto" w:sz="4" w:space="0"/>
            </w:tcBorders>
            <w:shd w:val="clear" w:color="auto" w:fill="auto"/>
            <w:vAlign w:val="center"/>
          </w:tcPr>
          <w:p w14:paraId="4E3A776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已落实。</w:t>
            </w:r>
          </w:p>
        </w:tc>
      </w:tr>
      <w:tr w14:paraId="6300B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10BC4BB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1.3.1</w:t>
            </w:r>
          </w:p>
        </w:tc>
        <w:tc>
          <w:tcPr>
            <w:tcW w:w="1710" w:type="dxa"/>
            <w:tcBorders>
              <w:top w:val="single" w:color="auto" w:sz="4" w:space="0"/>
              <w:left w:val="nil"/>
              <w:bottom w:val="single" w:color="auto" w:sz="4" w:space="0"/>
              <w:right w:val="single" w:color="auto" w:sz="4" w:space="0"/>
            </w:tcBorders>
            <w:shd w:val="clear" w:color="auto" w:fill="auto"/>
            <w:vAlign w:val="center"/>
          </w:tcPr>
          <w:p w14:paraId="49BB0AF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招标范围</w:t>
            </w:r>
          </w:p>
        </w:tc>
        <w:tc>
          <w:tcPr>
            <w:tcW w:w="6777" w:type="dxa"/>
            <w:tcBorders>
              <w:top w:val="single" w:color="auto" w:sz="4" w:space="0"/>
              <w:left w:val="nil"/>
              <w:bottom w:val="single" w:color="auto" w:sz="4" w:space="0"/>
              <w:right w:val="single" w:color="auto" w:sz="4" w:space="0"/>
            </w:tcBorders>
            <w:shd w:val="clear" w:color="auto" w:fill="auto"/>
            <w:vAlign w:val="center"/>
          </w:tcPr>
          <w:p w14:paraId="4584656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见招标公告。</w:t>
            </w:r>
          </w:p>
        </w:tc>
      </w:tr>
      <w:tr w14:paraId="138AD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3F45251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1.3.2</w:t>
            </w:r>
          </w:p>
        </w:tc>
        <w:tc>
          <w:tcPr>
            <w:tcW w:w="1710" w:type="dxa"/>
            <w:tcBorders>
              <w:top w:val="single" w:color="auto" w:sz="4" w:space="0"/>
              <w:left w:val="nil"/>
              <w:bottom w:val="single" w:color="auto" w:sz="4" w:space="0"/>
              <w:right w:val="single" w:color="auto" w:sz="4" w:space="0"/>
            </w:tcBorders>
            <w:shd w:val="clear" w:color="auto" w:fill="auto"/>
            <w:vAlign w:val="center"/>
          </w:tcPr>
          <w:p w14:paraId="028DCED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交货期</w:t>
            </w:r>
          </w:p>
        </w:tc>
        <w:tc>
          <w:tcPr>
            <w:tcW w:w="6777" w:type="dxa"/>
            <w:tcBorders>
              <w:top w:val="single" w:color="auto" w:sz="4" w:space="0"/>
              <w:left w:val="nil"/>
              <w:bottom w:val="single" w:color="auto" w:sz="4" w:space="0"/>
              <w:right w:val="single" w:color="auto" w:sz="4" w:space="0"/>
            </w:tcBorders>
            <w:shd w:val="clear" w:color="auto" w:fill="auto"/>
            <w:vAlign w:val="center"/>
          </w:tcPr>
          <w:p w14:paraId="3667B66F">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见招标公告。</w:t>
            </w:r>
          </w:p>
        </w:tc>
      </w:tr>
      <w:tr w14:paraId="021F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736B04E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1.3.3</w:t>
            </w:r>
          </w:p>
        </w:tc>
        <w:tc>
          <w:tcPr>
            <w:tcW w:w="1710" w:type="dxa"/>
            <w:tcBorders>
              <w:top w:val="single" w:color="auto" w:sz="4" w:space="0"/>
              <w:left w:val="nil"/>
              <w:bottom w:val="single" w:color="auto" w:sz="4" w:space="0"/>
              <w:right w:val="single" w:color="auto" w:sz="4" w:space="0"/>
            </w:tcBorders>
            <w:shd w:val="clear" w:color="auto" w:fill="auto"/>
            <w:vAlign w:val="center"/>
          </w:tcPr>
          <w:p w14:paraId="5DB38F8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交货地点</w:t>
            </w:r>
          </w:p>
        </w:tc>
        <w:tc>
          <w:tcPr>
            <w:tcW w:w="6777" w:type="dxa"/>
            <w:tcBorders>
              <w:top w:val="single" w:color="auto" w:sz="4" w:space="0"/>
              <w:left w:val="nil"/>
              <w:bottom w:val="single" w:color="auto" w:sz="4" w:space="0"/>
              <w:right w:val="single" w:color="auto" w:sz="4" w:space="0"/>
            </w:tcBorders>
            <w:shd w:val="clear" w:color="auto" w:fill="auto"/>
            <w:vAlign w:val="center"/>
          </w:tcPr>
          <w:p w14:paraId="1511695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见招标公告。</w:t>
            </w:r>
          </w:p>
        </w:tc>
      </w:tr>
      <w:tr w14:paraId="27F7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4F616E3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1.3.4</w:t>
            </w:r>
          </w:p>
        </w:tc>
        <w:tc>
          <w:tcPr>
            <w:tcW w:w="1710" w:type="dxa"/>
            <w:tcBorders>
              <w:top w:val="single" w:color="auto" w:sz="4" w:space="0"/>
              <w:left w:val="nil"/>
              <w:bottom w:val="single" w:color="auto" w:sz="4" w:space="0"/>
              <w:right w:val="single" w:color="auto" w:sz="4" w:space="0"/>
            </w:tcBorders>
            <w:shd w:val="clear" w:color="auto" w:fill="auto"/>
            <w:vAlign w:val="center"/>
          </w:tcPr>
          <w:p w14:paraId="2908E02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技术性能指标</w:t>
            </w:r>
          </w:p>
        </w:tc>
        <w:tc>
          <w:tcPr>
            <w:tcW w:w="6777" w:type="dxa"/>
            <w:tcBorders>
              <w:top w:val="single" w:color="auto" w:sz="4" w:space="0"/>
              <w:left w:val="nil"/>
              <w:bottom w:val="single" w:color="auto" w:sz="4" w:space="0"/>
              <w:right w:val="single" w:color="auto" w:sz="4" w:space="0"/>
            </w:tcBorders>
            <w:shd w:val="clear" w:color="auto" w:fill="auto"/>
            <w:vAlign w:val="center"/>
          </w:tcPr>
          <w:p w14:paraId="5CEE9BE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详见第五章</w:t>
            </w:r>
            <w:r>
              <w:rPr>
                <w:rFonts w:hint="eastAsia" w:ascii="宋体" w:hAnsi="宋体" w:eastAsia="宋体" w:cs="宋体"/>
                <w:color w:val="auto"/>
                <w:kern w:val="2"/>
                <w:sz w:val="21"/>
                <w:szCs w:val="21"/>
                <w:highlight w:val="none"/>
                <w:u w:val="single"/>
                <w:lang w:val="en-US" w:eastAsia="zh-CN" w:bidi="ar"/>
              </w:rPr>
              <w:t>《技术需求书》</w:t>
            </w:r>
            <w:r>
              <w:rPr>
                <w:rFonts w:hint="eastAsia" w:ascii="宋体" w:hAnsi="宋体" w:eastAsia="宋体" w:cs="宋体"/>
                <w:color w:val="auto"/>
                <w:kern w:val="2"/>
                <w:sz w:val="21"/>
                <w:szCs w:val="21"/>
                <w:highlight w:val="none"/>
                <w:lang w:val="en-US" w:eastAsia="zh-CN" w:bidi="ar"/>
              </w:rPr>
              <w:t>。</w:t>
            </w:r>
          </w:p>
        </w:tc>
      </w:tr>
      <w:tr w14:paraId="38D7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6421303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1.4.1</w:t>
            </w:r>
          </w:p>
        </w:tc>
        <w:tc>
          <w:tcPr>
            <w:tcW w:w="1710" w:type="dxa"/>
            <w:tcBorders>
              <w:top w:val="single" w:color="auto" w:sz="4" w:space="0"/>
              <w:left w:val="nil"/>
              <w:bottom w:val="single" w:color="auto" w:sz="4" w:space="0"/>
              <w:right w:val="single" w:color="auto" w:sz="4" w:space="0"/>
            </w:tcBorders>
            <w:shd w:val="clear" w:color="auto" w:fill="auto"/>
            <w:vAlign w:val="center"/>
          </w:tcPr>
          <w:p w14:paraId="410B5A2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投标人资质条件、能力、信誉</w:t>
            </w:r>
          </w:p>
        </w:tc>
        <w:tc>
          <w:tcPr>
            <w:tcW w:w="6777" w:type="dxa"/>
            <w:tcBorders>
              <w:top w:val="single" w:color="auto" w:sz="4" w:space="0"/>
              <w:left w:val="nil"/>
              <w:bottom w:val="single" w:color="auto" w:sz="4" w:space="0"/>
              <w:right w:val="single" w:color="auto" w:sz="4" w:space="0"/>
            </w:tcBorders>
            <w:shd w:val="clear" w:color="auto" w:fill="auto"/>
            <w:vAlign w:val="center"/>
          </w:tcPr>
          <w:p w14:paraId="1B4527F3">
            <w:pPr>
              <w:keepNext w:val="0"/>
              <w:keepLines w:val="0"/>
              <w:widowControl w:val="0"/>
              <w:suppressLineNumbers w:val="0"/>
              <w:snapToGrid w:val="0"/>
              <w:spacing w:before="0" w:beforeAutospacing="0" w:after="0" w:afterAutospacing="0" w:line="288" w:lineRule="auto"/>
              <w:ind w:left="0" w:right="141" w:rightChars="6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（1）资质要求：</w:t>
            </w:r>
            <w:r>
              <w:rPr>
                <w:rFonts w:hint="eastAsia" w:ascii="宋体" w:hAnsi="宋体" w:eastAsia="宋体" w:cs="宋体"/>
                <w:color w:val="auto"/>
                <w:kern w:val="2"/>
                <w:sz w:val="21"/>
                <w:szCs w:val="21"/>
                <w:highlight w:val="none"/>
                <w:u w:val="single"/>
                <w:lang w:val="en-US" w:eastAsia="zh-CN" w:bidi="ar"/>
              </w:rPr>
              <w:t>详见招标公告“3.投标人资格要求”</w:t>
            </w:r>
          </w:p>
          <w:p w14:paraId="66DC2916">
            <w:pPr>
              <w:keepNext w:val="0"/>
              <w:keepLines w:val="0"/>
              <w:widowControl w:val="0"/>
              <w:suppressLineNumbers w:val="0"/>
              <w:snapToGrid w:val="0"/>
              <w:spacing w:before="0" w:beforeAutospacing="0" w:after="0" w:afterAutospacing="0" w:line="288" w:lineRule="auto"/>
              <w:ind w:left="0" w:right="141" w:rightChars="6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（2）财务要求：</w:t>
            </w:r>
            <w:r>
              <w:rPr>
                <w:rFonts w:hint="eastAsia" w:ascii="宋体" w:hAnsi="宋体" w:eastAsia="宋体" w:cs="宋体"/>
                <w:color w:val="auto"/>
                <w:kern w:val="2"/>
                <w:sz w:val="21"/>
                <w:szCs w:val="21"/>
                <w:highlight w:val="none"/>
                <w:u w:val="single"/>
                <w:lang w:val="en-US" w:eastAsia="zh-CN" w:bidi="ar"/>
              </w:rPr>
              <w:t>/</w:t>
            </w:r>
          </w:p>
          <w:p w14:paraId="77B7518E">
            <w:pPr>
              <w:keepNext w:val="0"/>
              <w:keepLines w:val="0"/>
              <w:widowControl w:val="0"/>
              <w:suppressLineNumbers w:val="0"/>
              <w:snapToGrid w:val="0"/>
              <w:spacing w:before="0" w:beforeAutospacing="0" w:after="0" w:afterAutospacing="0" w:line="288" w:lineRule="auto"/>
              <w:ind w:left="0" w:right="141" w:rightChars="6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（3）投标设备业绩：</w:t>
            </w:r>
            <w:r>
              <w:rPr>
                <w:rFonts w:hint="eastAsia" w:ascii="宋体" w:hAnsi="宋体" w:eastAsia="宋体" w:cs="宋体"/>
                <w:color w:val="auto"/>
                <w:kern w:val="2"/>
                <w:sz w:val="21"/>
                <w:szCs w:val="21"/>
                <w:highlight w:val="none"/>
                <w:u w:val="single"/>
                <w:lang w:val="en-US" w:eastAsia="zh-CN" w:bidi="ar"/>
              </w:rPr>
              <w:t>详见招标公告“3.投标人资格要求</w:t>
            </w:r>
          </w:p>
          <w:p w14:paraId="33380E53">
            <w:pPr>
              <w:keepNext w:val="0"/>
              <w:keepLines w:val="0"/>
              <w:widowControl w:val="0"/>
              <w:suppressLineNumbers w:val="0"/>
              <w:snapToGrid w:val="0"/>
              <w:spacing w:before="0" w:beforeAutospacing="0" w:after="0" w:afterAutospacing="0" w:line="288" w:lineRule="auto"/>
              <w:ind w:left="0" w:right="141" w:rightChars="6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（4）信誉要求：</w:t>
            </w:r>
            <w:r>
              <w:rPr>
                <w:rFonts w:hint="eastAsia" w:ascii="宋体" w:hAnsi="宋体" w:eastAsia="宋体" w:cs="宋体"/>
                <w:color w:val="auto"/>
                <w:kern w:val="2"/>
                <w:sz w:val="21"/>
                <w:szCs w:val="21"/>
                <w:highlight w:val="none"/>
                <w:u w:val="single"/>
                <w:lang w:val="en-US" w:eastAsia="zh-CN" w:bidi="ar"/>
              </w:rPr>
              <w:t>/</w:t>
            </w:r>
          </w:p>
          <w:p w14:paraId="795075F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（5）其他要求：</w:t>
            </w:r>
            <w:r>
              <w:rPr>
                <w:rFonts w:hint="eastAsia" w:ascii="宋体" w:hAnsi="宋体" w:eastAsia="宋体" w:cs="宋体"/>
                <w:color w:val="auto"/>
                <w:kern w:val="2"/>
                <w:sz w:val="21"/>
                <w:szCs w:val="21"/>
                <w:highlight w:val="none"/>
                <w:u w:val="single"/>
                <w:lang w:val="en-US" w:eastAsia="zh-CN" w:bidi="ar"/>
              </w:rPr>
              <w:t>详见招标公告“3.投标人资格要求”</w:t>
            </w:r>
          </w:p>
        </w:tc>
      </w:tr>
      <w:tr w14:paraId="3AB75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76702FD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1.4.2</w:t>
            </w:r>
          </w:p>
        </w:tc>
        <w:tc>
          <w:tcPr>
            <w:tcW w:w="1710" w:type="dxa"/>
            <w:tcBorders>
              <w:top w:val="single" w:color="auto" w:sz="4" w:space="0"/>
              <w:left w:val="nil"/>
              <w:bottom w:val="single" w:color="auto" w:sz="4" w:space="0"/>
              <w:right w:val="single" w:color="auto" w:sz="4" w:space="0"/>
            </w:tcBorders>
            <w:shd w:val="clear" w:color="auto" w:fill="auto"/>
            <w:vAlign w:val="center"/>
          </w:tcPr>
          <w:p w14:paraId="3E9A37D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是否接受联合体投标</w:t>
            </w:r>
          </w:p>
        </w:tc>
        <w:tc>
          <w:tcPr>
            <w:tcW w:w="6777" w:type="dxa"/>
            <w:tcBorders>
              <w:top w:val="single" w:color="auto" w:sz="4" w:space="0"/>
              <w:left w:val="nil"/>
              <w:bottom w:val="single" w:color="auto" w:sz="4" w:space="0"/>
              <w:right w:val="single" w:color="auto" w:sz="4" w:space="0"/>
            </w:tcBorders>
            <w:shd w:val="clear" w:color="auto" w:fill="auto"/>
            <w:vAlign w:val="center"/>
          </w:tcPr>
          <w:p w14:paraId="6BA4F37B">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default" w:ascii="MS Mincho" w:hAnsi="MS Mincho" w:eastAsia="MS Mincho" w:cs="MS Mincho"/>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不接受</w:t>
            </w:r>
          </w:p>
          <w:p w14:paraId="03885EC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□接受，应满足下列要求：</w:t>
            </w:r>
          </w:p>
        </w:tc>
      </w:tr>
      <w:tr w14:paraId="54CD1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0767659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1.4.3</w:t>
            </w:r>
          </w:p>
        </w:tc>
        <w:tc>
          <w:tcPr>
            <w:tcW w:w="1710" w:type="dxa"/>
            <w:tcBorders>
              <w:top w:val="single" w:color="auto" w:sz="4" w:space="0"/>
              <w:left w:val="nil"/>
              <w:bottom w:val="single" w:color="auto" w:sz="4" w:space="0"/>
              <w:right w:val="single" w:color="auto" w:sz="4" w:space="0"/>
            </w:tcBorders>
            <w:shd w:val="clear" w:color="auto" w:fill="auto"/>
            <w:vAlign w:val="center"/>
          </w:tcPr>
          <w:p w14:paraId="027C70E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投标人不得存在的其他情形</w:t>
            </w:r>
          </w:p>
        </w:tc>
        <w:tc>
          <w:tcPr>
            <w:tcW w:w="6777" w:type="dxa"/>
            <w:tcBorders>
              <w:top w:val="single" w:color="auto" w:sz="4" w:space="0"/>
              <w:left w:val="nil"/>
              <w:bottom w:val="single" w:color="auto" w:sz="4" w:space="0"/>
              <w:right w:val="single" w:color="auto" w:sz="4" w:space="0"/>
            </w:tcBorders>
            <w:shd w:val="clear" w:color="auto" w:fill="auto"/>
            <w:vAlign w:val="center"/>
          </w:tcPr>
          <w:p w14:paraId="5848C7C6">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tc>
      </w:tr>
      <w:tr w14:paraId="7AB2F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2F7C212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1.9.1</w:t>
            </w:r>
          </w:p>
        </w:tc>
        <w:tc>
          <w:tcPr>
            <w:tcW w:w="1710" w:type="dxa"/>
            <w:tcBorders>
              <w:top w:val="single" w:color="auto" w:sz="4" w:space="0"/>
              <w:left w:val="nil"/>
              <w:bottom w:val="single" w:color="auto" w:sz="4" w:space="0"/>
              <w:right w:val="single" w:color="auto" w:sz="4" w:space="0"/>
            </w:tcBorders>
            <w:shd w:val="clear" w:color="auto" w:fill="auto"/>
            <w:vAlign w:val="center"/>
          </w:tcPr>
          <w:p w14:paraId="4E11953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投标预备会</w:t>
            </w:r>
          </w:p>
        </w:tc>
        <w:tc>
          <w:tcPr>
            <w:tcW w:w="6777" w:type="dxa"/>
            <w:tcBorders>
              <w:top w:val="single" w:color="auto" w:sz="4" w:space="0"/>
              <w:left w:val="nil"/>
              <w:bottom w:val="single" w:color="auto" w:sz="4" w:space="0"/>
              <w:right w:val="single" w:color="auto" w:sz="4" w:space="0"/>
            </w:tcBorders>
            <w:shd w:val="clear" w:color="auto" w:fill="auto"/>
            <w:vAlign w:val="center"/>
          </w:tcPr>
          <w:p w14:paraId="576B046A">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color w:val="auto"/>
                <w:kern w:val="0"/>
                <w:sz w:val="21"/>
                <w:szCs w:val="21"/>
                <w:highlight w:val="none"/>
              </w:rPr>
            </w:pPr>
            <w:r>
              <w:rPr>
                <w:rFonts w:hint="default" w:ascii="MS Mincho" w:hAnsi="MS Mincho" w:eastAsia="MS Mincho" w:cs="MS Mincho"/>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不召开，由投标人自行现场考察。</w:t>
            </w:r>
          </w:p>
          <w:p w14:paraId="739CC81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□召开，召开时间：</w:t>
            </w:r>
          </w:p>
          <w:p w14:paraId="549648A2">
            <w:pPr>
              <w:keepNext w:val="0"/>
              <w:keepLines w:val="0"/>
              <w:widowControl w:val="0"/>
              <w:suppressLineNumbers w:val="0"/>
              <w:topLinePunct/>
              <w:spacing w:before="0" w:beforeAutospacing="0" w:after="0" w:afterAutospacing="0" w:line="288" w:lineRule="auto"/>
              <w:ind w:left="0" w:right="0" w:firstLine="840" w:firstLineChars="4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召开地点：</w:t>
            </w:r>
          </w:p>
        </w:tc>
      </w:tr>
      <w:tr w14:paraId="10006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vMerge w:val="restart"/>
            <w:tcBorders>
              <w:top w:val="nil"/>
              <w:left w:val="single" w:color="auto" w:sz="4" w:space="0"/>
              <w:bottom w:val="nil"/>
              <w:right w:val="single" w:color="auto" w:sz="4" w:space="0"/>
            </w:tcBorders>
            <w:shd w:val="clear" w:color="auto" w:fill="auto"/>
            <w:vAlign w:val="center"/>
          </w:tcPr>
          <w:p w14:paraId="5C02EBA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1.9.2</w:t>
            </w:r>
          </w:p>
        </w:tc>
        <w:tc>
          <w:tcPr>
            <w:tcW w:w="1710" w:type="dxa"/>
            <w:vMerge w:val="restart"/>
            <w:tcBorders>
              <w:top w:val="nil"/>
              <w:left w:val="nil"/>
              <w:bottom w:val="nil"/>
              <w:right w:val="single" w:color="auto" w:sz="4" w:space="0"/>
            </w:tcBorders>
            <w:shd w:val="clear" w:color="auto" w:fill="auto"/>
            <w:vAlign w:val="center"/>
          </w:tcPr>
          <w:p w14:paraId="459A0AB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投标人在投标预备会前提出问题</w:t>
            </w:r>
          </w:p>
        </w:tc>
        <w:tc>
          <w:tcPr>
            <w:tcW w:w="6777" w:type="dxa"/>
            <w:tcBorders>
              <w:top w:val="single" w:color="auto" w:sz="4" w:space="0"/>
              <w:left w:val="nil"/>
              <w:bottom w:val="single" w:color="auto" w:sz="4" w:space="0"/>
              <w:right w:val="single" w:color="auto" w:sz="4" w:space="0"/>
            </w:tcBorders>
            <w:shd w:val="clear" w:color="auto" w:fill="auto"/>
            <w:vAlign w:val="center"/>
          </w:tcPr>
          <w:p w14:paraId="1B8B899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时间：</w:t>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tc>
      </w:tr>
      <w:tr w14:paraId="13E7A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vMerge w:val="continue"/>
            <w:tcBorders>
              <w:top w:val="nil"/>
              <w:left w:val="single" w:color="auto" w:sz="4" w:space="0"/>
              <w:bottom w:val="nil"/>
              <w:right w:val="single" w:color="auto" w:sz="4" w:space="0"/>
            </w:tcBorders>
            <w:shd w:val="clear" w:color="auto" w:fill="auto"/>
            <w:vAlign w:val="center"/>
          </w:tcPr>
          <w:p w14:paraId="347645F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10" w:type="dxa"/>
            <w:vMerge w:val="continue"/>
            <w:tcBorders>
              <w:top w:val="nil"/>
              <w:left w:val="nil"/>
              <w:bottom w:val="nil"/>
              <w:right w:val="single" w:color="auto" w:sz="4" w:space="0"/>
            </w:tcBorders>
            <w:shd w:val="clear" w:color="auto" w:fill="auto"/>
            <w:vAlign w:val="center"/>
          </w:tcPr>
          <w:p w14:paraId="49903FC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77" w:type="dxa"/>
            <w:tcBorders>
              <w:top w:val="single" w:color="auto" w:sz="4" w:space="0"/>
              <w:left w:val="nil"/>
              <w:bottom w:val="single" w:color="auto" w:sz="4" w:space="0"/>
              <w:right w:val="single" w:color="auto" w:sz="4" w:space="0"/>
            </w:tcBorders>
            <w:shd w:val="clear" w:color="auto" w:fill="auto"/>
            <w:vAlign w:val="center"/>
          </w:tcPr>
          <w:p w14:paraId="26730AC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形式：</w:t>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tc>
      </w:tr>
      <w:tr w14:paraId="379F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nil"/>
              <w:left w:val="single" w:color="auto" w:sz="4" w:space="0"/>
              <w:bottom w:val="single" w:color="auto" w:sz="4" w:space="0"/>
              <w:right w:val="single" w:color="auto" w:sz="4" w:space="0"/>
            </w:tcBorders>
            <w:shd w:val="clear" w:color="auto" w:fill="auto"/>
            <w:vAlign w:val="center"/>
          </w:tcPr>
          <w:p w14:paraId="47ACF74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1.9.3</w:t>
            </w:r>
          </w:p>
        </w:tc>
        <w:tc>
          <w:tcPr>
            <w:tcW w:w="1710" w:type="dxa"/>
            <w:tcBorders>
              <w:top w:val="nil"/>
              <w:left w:val="nil"/>
              <w:bottom w:val="single" w:color="auto" w:sz="4" w:space="0"/>
              <w:right w:val="single" w:color="auto" w:sz="4" w:space="0"/>
            </w:tcBorders>
            <w:shd w:val="clear" w:color="auto" w:fill="auto"/>
            <w:vAlign w:val="center"/>
          </w:tcPr>
          <w:p w14:paraId="2082F02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招标文件澄清发出的形式</w:t>
            </w:r>
          </w:p>
        </w:tc>
        <w:tc>
          <w:tcPr>
            <w:tcW w:w="6777" w:type="dxa"/>
            <w:tcBorders>
              <w:top w:val="single" w:color="auto" w:sz="4" w:space="0"/>
              <w:left w:val="nil"/>
              <w:bottom w:val="single" w:color="auto" w:sz="4" w:space="0"/>
              <w:right w:val="single" w:color="auto" w:sz="4" w:space="0"/>
            </w:tcBorders>
            <w:shd w:val="clear" w:color="auto" w:fill="auto"/>
            <w:vAlign w:val="center"/>
          </w:tcPr>
          <w:p w14:paraId="2939294F">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以电子文件形式通过广州交易集团有限公司（广州公共资源交易中心）数字交易平台发布。</w:t>
            </w:r>
          </w:p>
        </w:tc>
      </w:tr>
      <w:tr w14:paraId="1A324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48" w:type="dxa"/>
            <w:tcBorders>
              <w:top w:val="nil"/>
              <w:left w:val="single" w:color="auto" w:sz="4" w:space="0"/>
              <w:bottom w:val="single" w:color="auto" w:sz="4" w:space="0"/>
              <w:right w:val="single" w:color="auto" w:sz="4" w:space="0"/>
            </w:tcBorders>
            <w:shd w:val="clear" w:color="auto" w:fill="auto"/>
            <w:vAlign w:val="center"/>
          </w:tcPr>
          <w:p w14:paraId="7BE21EC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1.10.1</w:t>
            </w:r>
          </w:p>
        </w:tc>
        <w:tc>
          <w:tcPr>
            <w:tcW w:w="1710" w:type="dxa"/>
            <w:tcBorders>
              <w:top w:val="nil"/>
              <w:left w:val="nil"/>
              <w:bottom w:val="single" w:color="auto" w:sz="4" w:space="0"/>
              <w:right w:val="single" w:color="auto" w:sz="4" w:space="0"/>
            </w:tcBorders>
            <w:shd w:val="clear" w:color="auto" w:fill="auto"/>
            <w:vAlign w:val="center"/>
          </w:tcPr>
          <w:p w14:paraId="6506BB7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分包</w:t>
            </w:r>
          </w:p>
        </w:tc>
        <w:tc>
          <w:tcPr>
            <w:tcW w:w="6777" w:type="dxa"/>
            <w:tcBorders>
              <w:top w:val="single" w:color="auto" w:sz="4" w:space="0"/>
              <w:left w:val="nil"/>
              <w:bottom w:val="single" w:color="auto" w:sz="4" w:space="0"/>
              <w:right w:val="single" w:color="auto" w:sz="4" w:space="0"/>
            </w:tcBorders>
            <w:shd w:val="clear" w:color="auto" w:fill="auto"/>
            <w:vAlign w:val="center"/>
          </w:tcPr>
          <w:p w14:paraId="4E0953E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☑不允许</w:t>
            </w:r>
          </w:p>
          <w:p w14:paraId="0A74092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允许，分包内容要求：。</w:t>
            </w:r>
          </w:p>
          <w:p w14:paraId="4A81B3D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分包金额要求：</w:t>
            </w:r>
          </w:p>
          <w:p w14:paraId="7A2BB3A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对分包人的资质要求：按相关合同条款约定</w:t>
            </w:r>
          </w:p>
        </w:tc>
      </w:tr>
      <w:tr w14:paraId="1C678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 w:hRule="atLeast"/>
          <w:jc w:val="center"/>
        </w:trPr>
        <w:tc>
          <w:tcPr>
            <w:tcW w:w="1148" w:type="dxa"/>
            <w:tcBorders>
              <w:top w:val="nil"/>
              <w:left w:val="single" w:color="auto" w:sz="4" w:space="0"/>
              <w:bottom w:val="single" w:color="auto" w:sz="4" w:space="0"/>
              <w:right w:val="single" w:color="auto" w:sz="4" w:space="0"/>
            </w:tcBorders>
            <w:shd w:val="clear" w:color="auto" w:fill="auto"/>
            <w:vAlign w:val="center"/>
          </w:tcPr>
          <w:p w14:paraId="6649744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1.11.1</w:t>
            </w:r>
          </w:p>
        </w:tc>
        <w:tc>
          <w:tcPr>
            <w:tcW w:w="1710" w:type="dxa"/>
            <w:tcBorders>
              <w:top w:val="nil"/>
              <w:left w:val="nil"/>
              <w:bottom w:val="single" w:color="auto" w:sz="4" w:space="0"/>
              <w:right w:val="single" w:color="auto" w:sz="4" w:space="0"/>
            </w:tcBorders>
            <w:shd w:val="clear" w:color="auto" w:fill="auto"/>
            <w:vAlign w:val="center"/>
          </w:tcPr>
          <w:p w14:paraId="13715CEA">
            <w:pPr>
              <w:keepNext w:val="0"/>
              <w:keepLines w:val="0"/>
              <w:widowControl w:val="0"/>
              <w:suppressLineNumbers w:val="0"/>
              <w:spacing w:before="0" w:beforeAutospacing="0" w:after="0" w:afterAutospacing="0" w:line="288" w:lineRule="auto"/>
              <w:ind w:left="0" w:right="0"/>
              <w:jc w:val="center"/>
              <w:rPr>
                <w:rFonts w:hint="default" w:ascii="宋体" w:hAnsi="宋体" w:eastAsia="宋体" w:cs="宋体"/>
                <w:strike w:val="0"/>
                <w:color w:val="auto"/>
                <w:kern w:val="2"/>
                <w:sz w:val="21"/>
                <w:szCs w:val="21"/>
                <w:highlight w:val="none"/>
              </w:rPr>
            </w:pPr>
            <w:r>
              <w:rPr>
                <w:rFonts w:hint="eastAsia" w:ascii="宋体" w:hAnsi="宋体" w:eastAsia="宋体" w:cs="宋体"/>
                <w:strike w:val="0"/>
                <w:color w:val="auto"/>
                <w:kern w:val="2"/>
                <w:sz w:val="21"/>
                <w:szCs w:val="21"/>
                <w:highlight w:val="none"/>
                <w:lang w:val="en-US" w:eastAsia="zh-CN" w:bidi="ar"/>
              </w:rPr>
              <w:t>实质性要求和条件</w:t>
            </w:r>
          </w:p>
        </w:tc>
        <w:tc>
          <w:tcPr>
            <w:tcW w:w="6777" w:type="dxa"/>
            <w:tcBorders>
              <w:top w:val="single" w:color="auto" w:sz="4" w:space="0"/>
              <w:left w:val="nil"/>
              <w:bottom w:val="single" w:color="auto" w:sz="4" w:space="0"/>
              <w:right w:val="single" w:color="auto" w:sz="4" w:space="0"/>
            </w:tcBorders>
            <w:shd w:val="clear" w:color="auto" w:fill="auto"/>
            <w:vAlign w:val="center"/>
          </w:tcPr>
          <w:p w14:paraId="3D8BB599">
            <w:pPr>
              <w:keepNext w:val="0"/>
              <w:keepLines w:val="0"/>
              <w:widowControl w:val="0"/>
              <w:suppressLineNumbers w:val="0"/>
              <w:spacing w:before="0" w:beforeAutospacing="0" w:after="0" w:afterAutospacing="0" w:line="288" w:lineRule="auto"/>
              <w:ind w:left="0" w:right="0"/>
              <w:jc w:val="left"/>
              <w:rPr>
                <w:rFonts w:hint="default" w:ascii="宋体" w:hAnsi="宋体" w:eastAsia="宋体" w:cs="宋体"/>
                <w:strike w:val="0"/>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w:t>
            </w:r>
          </w:p>
        </w:tc>
      </w:tr>
      <w:tr w14:paraId="0FA45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7B2B0AF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1.11.3</w:t>
            </w:r>
          </w:p>
        </w:tc>
        <w:tc>
          <w:tcPr>
            <w:tcW w:w="1710" w:type="dxa"/>
            <w:tcBorders>
              <w:top w:val="single" w:color="auto" w:sz="4" w:space="0"/>
              <w:left w:val="nil"/>
              <w:bottom w:val="single" w:color="auto" w:sz="4" w:space="0"/>
              <w:right w:val="single" w:color="auto" w:sz="4" w:space="0"/>
            </w:tcBorders>
            <w:shd w:val="clear" w:color="auto" w:fill="auto"/>
            <w:vAlign w:val="center"/>
          </w:tcPr>
          <w:p w14:paraId="3300023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其他可以被接受的技术支持资料</w:t>
            </w:r>
          </w:p>
        </w:tc>
        <w:tc>
          <w:tcPr>
            <w:tcW w:w="6777" w:type="dxa"/>
            <w:tcBorders>
              <w:top w:val="single" w:color="auto" w:sz="4" w:space="0"/>
              <w:left w:val="nil"/>
              <w:bottom w:val="single" w:color="auto" w:sz="4" w:space="0"/>
              <w:right w:val="single" w:color="auto" w:sz="4" w:space="0"/>
            </w:tcBorders>
            <w:shd w:val="clear" w:color="auto" w:fill="auto"/>
            <w:vAlign w:val="center"/>
          </w:tcPr>
          <w:p w14:paraId="49C54E36">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p>
        </w:tc>
      </w:tr>
      <w:tr w14:paraId="57C97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2F88F57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1.11.4</w:t>
            </w:r>
          </w:p>
        </w:tc>
        <w:tc>
          <w:tcPr>
            <w:tcW w:w="1710" w:type="dxa"/>
            <w:tcBorders>
              <w:top w:val="single" w:color="auto" w:sz="4" w:space="0"/>
              <w:left w:val="nil"/>
              <w:bottom w:val="single" w:color="auto" w:sz="4" w:space="0"/>
              <w:right w:val="single" w:color="auto" w:sz="4" w:space="0"/>
            </w:tcBorders>
            <w:shd w:val="clear" w:color="auto" w:fill="auto"/>
            <w:vAlign w:val="center"/>
          </w:tcPr>
          <w:p w14:paraId="3A78984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偏差</w:t>
            </w:r>
          </w:p>
        </w:tc>
        <w:tc>
          <w:tcPr>
            <w:tcW w:w="6777" w:type="dxa"/>
            <w:tcBorders>
              <w:top w:val="single" w:color="auto" w:sz="4" w:space="0"/>
              <w:left w:val="nil"/>
              <w:bottom w:val="single" w:color="auto" w:sz="4" w:space="0"/>
              <w:right w:val="single" w:color="auto" w:sz="4" w:space="0"/>
            </w:tcBorders>
            <w:shd w:val="clear" w:color="auto" w:fill="auto"/>
            <w:vAlign w:val="top"/>
          </w:tcPr>
          <w:p w14:paraId="0C999D6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□不允许</w:t>
            </w:r>
          </w:p>
          <w:p w14:paraId="214366FB">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color w:val="auto"/>
                <w:kern w:val="0"/>
                <w:sz w:val="21"/>
                <w:szCs w:val="21"/>
                <w:highlight w:val="none"/>
              </w:rPr>
            </w:pPr>
            <w:r>
              <w:rPr>
                <w:rFonts w:hint="default" w:ascii="MS Mincho" w:hAnsi="MS Mincho" w:eastAsia="MS Mincho" w:cs="MS Mincho"/>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允许，偏差范围：符合</w:t>
            </w:r>
            <w:r>
              <w:rPr>
                <w:rFonts w:hint="eastAsia" w:ascii="宋体" w:hAnsi="宋体" w:eastAsia="宋体" w:cs="宋体"/>
                <w:color w:val="auto"/>
                <w:kern w:val="2"/>
                <w:sz w:val="21"/>
                <w:szCs w:val="21"/>
                <w:highlight w:val="none"/>
                <w:u w:val="single"/>
                <w:lang w:val="en-US" w:eastAsia="zh-CN" w:bidi="ar"/>
              </w:rPr>
              <w:t>《技术需求书》</w:t>
            </w:r>
            <w:r>
              <w:rPr>
                <w:rFonts w:hint="eastAsia" w:ascii="宋体" w:hAnsi="宋体" w:eastAsia="宋体" w:cs="宋体"/>
                <w:color w:val="auto"/>
                <w:kern w:val="0"/>
                <w:sz w:val="21"/>
                <w:szCs w:val="21"/>
                <w:highlight w:val="none"/>
                <w:lang w:val="en-US" w:eastAsia="zh-CN" w:bidi="ar"/>
              </w:rPr>
              <w:t>等文件要求</w:t>
            </w:r>
          </w:p>
          <w:p w14:paraId="53906082">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最高项数：符合</w:t>
            </w:r>
            <w:r>
              <w:rPr>
                <w:rFonts w:hint="eastAsia" w:ascii="宋体" w:hAnsi="宋体" w:eastAsia="宋体" w:cs="宋体"/>
                <w:color w:val="auto"/>
                <w:kern w:val="2"/>
                <w:sz w:val="21"/>
                <w:szCs w:val="21"/>
                <w:highlight w:val="none"/>
                <w:u w:val="single"/>
                <w:lang w:val="en-US" w:eastAsia="zh-CN" w:bidi="ar"/>
              </w:rPr>
              <w:t>《技术需求书》</w:t>
            </w:r>
            <w:r>
              <w:rPr>
                <w:rFonts w:hint="eastAsia" w:ascii="宋体" w:hAnsi="宋体" w:eastAsia="宋体" w:cs="宋体"/>
                <w:color w:val="auto"/>
                <w:kern w:val="0"/>
                <w:sz w:val="21"/>
                <w:szCs w:val="21"/>
                <w:highlight w:val="none"/>
                <w:lang w:val="en-US" w:eastAsia="zh-CN" w:bidi="ar"/>
              </w:rPr>
              <w:t>等文件要求</w:t>
            </w:r>
          </w:p>
        </w:tc>
      </w:tr>
      <w:tr w14:paraId="67EAE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1A9AFCC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w:t>
            </w:r>
          </w:p>
        </w:tc>
        <w:tc>
          <w:tcPr>
            <w:tcW w:w="1710" w:type="dxa"/>
            <w:tcBorders>
              <w:top w:val="single" w:color="auto" w:sz="4" w:space="0"/>
              <w:left w:val="nil"/>
              <w:bottom w:val="single" w:color="auto" w:sz="4" w:space="0"/>
              <w:right w:val="single" w:color="auto" w:sz="4" w:space="0"/>
            </w:tcBorders>
            <w:shd w:val="clear" w:color="auto" w:fill="auto"/>
            <w:vAlign w:val="center"/>
          </w:tcPr>
          <w:p w14:paraId="13700D7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构成招标文件的其他资料</w:t>
            </w:r>
          </w:p>
        </w:tc>
        <w:tc>
          <w:tcPr>
            <w:tcW w:w="6777" w:type="dxa"/>
            <w:tcBorders>
              <w:top w:val="single" w:color="auto" w:sz="4" w:space="0"/>
              <w:left w:val="nil"/>
              <w:bottom w:val="single" w:color="auto" w:sz="4" w:space="0"/>
              <w:right w:val="single" w:color="auto" w:sz="4" w:space="0"/>
            </w:tcBorders>
            <w:shd w:val="clear" w:color="auto" w:fill="auto"/>
            <w:vAlign w:val="center"/>
          </w:tcPr>
          <w:p w14:paraId="036C058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招标文件的澄清、修改、补充通知等内容</w:t>
            </w:r>
          </w:p>
        </w:tc>
      </w:tr>
      <w:tr w14:paraId="5DDED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vMerge w:val="restart"/>
            <w:tcBorders>
              <w:top w:val="nil"/>
              <w:left w:val="single" w:color="auto" w:sz="4" w:space="0"/>
              <w:bottom w:val="nil"/>
              <w:right w:val="single" w:color="auto" w:sz="4" w:space="0"/>
            </w:tcBorders>
            <w:shd w:val="clear" w:color="auto" w:fill="auto"/>
            <w:vAlign w:val="center"/>
          </w:tcPr>
          <w:p w14:paraId="5AF429F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2.2.1</w:t>
            </w:r>
          </w:p>
        </w:tc>
        <w:tc>
          <w:tcPr>
            <w:tcW w:w="1710" w:type="dxa"/>
            <w:vMerge w:val="restart"/>
            <w:tcBorders>
              <w:top w:val="nil"/>
              <w:left w:val="nil"/>
              <w:bottom w:val="nil"/>
              <w:right w:val="single" w:color="auto" w:sz="4" w:space="0"/>
            </w:tcBorders>
            <w:shd w:val="clear" w:color="auto" w:fill="auto"/>
            <w:vAlign w:val="center"/>
          </w:tcPr>
          <w:p w14:paraId="51C1C7D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投标人要求澄清招标文件</w:t>
            </w:r>
          </w:p>
        </w:tc>
        <w:tc>
          <w:tcPr>
            <w:tcW w:w="6777" w:type="dxa"/>
            <w:tcBorders>
              <w:top w:val="single" w:color="auto" w:sz="4" w:space="0"/>
              <w:left w:val="nil"/>
              <w:bottom w:val="single" w:color="auto" w:sz="4" w:space="0"/>
              <w:right w:val="single" w:color="auto" w:sz="4" w:space="0"/>
            </w:tcBorders>
            <w:shd w:val="clear" w:color="auto" w:fill="auto"/>
            <w:vAlign w:val="center"/>
          </w:tcPr>
          <w:p w14:paraId="756E744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时间：</w:t>
            </w:r>
            <w:r>
              <w:rPr>
                <w:rFonts w:hint="eastAsia" w:ascii="宋体" w:hAnsi="宋体" w:eastAsia="宋体" w:cs="宋体"/>
                <w:color w:val="auto"/>
                <w:kern w:val="2"/>
                <w:sz w:val="21"/>
                <w:szCs w:val="21"/>
                <w:highlight w:val="none"/>
                <w:u w:val="single"/>
                <w:lang w:val="en-US" w:eastAsia="zh-CN" w:bidi="ar"/>
              </w:rPr>
              <w:t xml:space="preserve">      年    月    日    时</w:t>
            </w:r>
            <w:r>
              <w:rPr>
                <w:rFonts w:hint="eastAsia" w:ascii="宋体" w:hAnsi="宋体" w:eastAsia="宋体" w:cs="宋体"/>
                <w:color w:val="auto"/>
                <w:kern w:val="2"/>
                <w:sz w:val="21"/>
                <w:szCs w:val="21"/>
                <w:highlight w:val="none"/>
                <w:lang w:val="en-US" w:eastAsia="zh-CN" w:bidi="ar"/>
              </w:rPr>
              <w:t>前。（在提交投标文件截止时间18天前提出。）</w:t>
            </w:r>
          </w:p>
        </w:tc>
      </w:tr>
      <w:tr w14:paraId="45896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vMerge w:val="continue"/>
            <w:tcBorders>
              <w:top w:val="nil"/>
              <w:left w:val="single" w:color="auto" w:sz="4" w:space="0"/>
              <w:bottom w:val="nil"/>
              <w:right w:val="single" w:color="auto" w:sz="4" w:space="0"/>
            </w:tcBorders>
            <w:shd w:val="clear" w:color="auto" w:fill="auto"/>
            <w:vAlign w:val="center"/>
          </w:tcPr>
          <w:p w14:paraId="3D0C6DD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10" w:type="dxa"/>
            <w:vMerge w:val="continue"/>
            <w:tcBorders>
              <w:top w:val="nil"/>
              <w:left w:val="nil"/>
              <w:bottom w:val="nil"/>
              <w:right w:val="single" w:color="auto" w:sz="4" w:space="0"/>
            </w:tcBorders>
            <w:shd w:val="clear" w:color="auto" w:fill="auto"/>
            <w:vAlign w:val="center"/>
          </w:tcPr>
          <w:p w14:paraId="27C2BC3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77" w:type="dxa"/>
            <w:tcBorders>
              <w:top w:val="single" w:color="auto" w:sz="4" w:space="0"/>
              <w:left w:val="nil"/>
              <w:bottom w:val="single" w:color="auto" w:sz="4" w:space="0"/>
              <w:right w:val="single" w:color="auto" w:sz="4" w:space="0"/>
            </w:tcBorders>
            <w:shd w:val="clear" w:color="auto" w:fill="auto"/>
            <w:vAlign w:val="center"/>
          </w:tcPr>
          <w:p w14:paraId="329DAEC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形式：1、投标人的疑问通过广州交易集团有限公司（广州公共资源交易中心）数字交易平台提交。具体要求：操作详见广州交易集团有限公司（广州公共资源交易中心）网站发布的《建设工程全流程电子化项目操作指南》。提交问题时一律不得署名。</w:t>
            </w:r>
          </w:p>
          <w:p w14:paraId="5A11DD0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招标答疑采用网上答疑方式进行。投标人若对招标文件（包括最高投标限价）有疑问的，可在规定的时间内通过广州交易集团有限公司（广州公共资源交易中心）网站进入提问区域将问题提交给招标人或招标代理人，提交问题时一律不得署名。</w:t>
            </w:r>
          </w:p>
          <w:p w14:paraId="63250E0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网上答疑的操作指南为：登陆广州交易集团有限公司（广州公共资源交易中心）网站 （http://www.gzggzy.cn）→进入“我是投标人”→进入“新建设工程交易平台”→进入“我的投标”→通过项目编号或项目名称找到所需的项目→在上述的答疑时间内点击“答疑提问”→“新建问题”→无记名或匿名提出问题。</w:t>
            </w:r>
          </w:p>
          <w:p w14:paraId="7AA8B08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3、投标人应在投标截止时间18日前停止提问。招标人应在投标截止时间15日前解答投标人对招标文件提出的疑问，形成答疑文件，在广州交易集团有限公司（广州公共资源交易中心）网站项目答疑专区发布。</w:t>
            </w:r>
          </w:p>
          <w:p w14:paraId="52D213E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4、招标答疑文件一经在广州交易集团有限公司（广州公共资源交易中心）网站发布，视作已发放给所有投标人。</w:t>
            </w:r>
          </w:p>
          <w:p w14:paraId="0C150F1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5、招标答疑文件为招标文件的一部分。投标人可在广州交易集团有限公司（广州公共资源交易中心）网站浏览、下载招标答疑文件。</w:t>
            </w:r>
          </w:p>
          <w:p w14:paraId="69C4634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color w:val="auto"/>
                <w:kern w:val="2"/>
                <w:sz w:val="21"/>
                <w:szCs w:val="21"/>
                <w:highlight w:val="none"/>
                <w:u w:val="single"/>
              </w:rPr>
            </w:pPr>
            <w:r>
              <w:rPr>
                <w:rFonts w:hint="eastAsia" w:ascii="宋体" w:hAnsi="宋体" w:eastAsia="宋体" w:cs="宋体"/>
                <w:b/>
                <w:bCs w:val="0"/>
                <w:color w:val="auto"/>
                <w:kern w:val="2"/>
                <w:sz w:val="21"/>
                <w:szCs w:val="21"/>
                <w:highlight w:val="none"/>
                <w:u w:val="single"/>
                <w:lang w:val="en-US" w:eastAsia="zh-CN" w:bidi="ar"/>
              </w:rPr>
              <w:t>具体操作详见广州交易集团有限公司（广州公共资源交易中心）网站《建设工程全流程电子化项目操作指南》。</w:t>
            </w:r>
          </w:p>
        </w:tc>
      </w:tr>
      <w:tr w14:paraId="5D26C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 w:hRule="atLeast"/>
          <w:jc w:val="center"/>
        </w:trPr>
        <w:tc>
          <w:tcPr>
            <w:tcW w:w="1148" w:type="dxa"/>
            <w:tcBorders>
              <w:top w:val="nil"/>
              <w:left w:val="single" w:color="auto" w:sz="4" w:space="0"/>
              <w:bottom w:val="single" w:color="auto" w:sz="4" w:space="0"/>
              <w:right w:val="single" w:color="auto" w:sz="4" w:space="0"/>
            </w:tcBorders>
            <w:shd w:val="clear" w:color="auto" w:fill="auto"/>
            <w:vAlign w:val="center"/>
          </w:tcPr>
          <w:p w14:paraId="4D5BDD3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2.2.2</w:t>
            </w:r>
          </w:p>
        </w:tc>
        <w:tc>
          <w:tcPr>
            <w:tcW w:w="1710" w:type="dxa"/>
            <w:tcBorders>
              <w:top w:val="nil"/>
              <w:left w:val="nil"/>
              <w:bottom w:val="single" w:color="auto" w:sz="4" w:space="0"/>
              <w:right w:val="single" w:color="auto" w:sz="4" w:space="0"/>
            </w:tcBorders>
            <w:shd w:val="clear" w:color="auto" w:fill="auto"/>
            <w:vAlign w:val="center"/>
          </w:tcPr>
          <w:p w14:paraId="729D036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招标文件澄清发出的形式</w:t>
            </w:r>
          </w:p>
        </w:tc>
        <w:tc>
          <w:tcPr>
            <w:tcW w:w="6777" w:type="dxa"/>
            <w:tcBorders>
              <w:top w:val="single" w:color="auto" w:sz="4" w:space="0"/>
              <w:left w:val="nil"/>
              <w:bottom w:val="single" w:color="auto" w:sz="4" w:space="0"/>
              <w:right w:val="single" w:color="auto" w:sz="4" w:space="0"/>
            </w:tcBorders>
            <w:shd w:val="clear" w:color="auto" w:fill="auto"/>
            <w:vAlign w:val="center"/>
          </w:tcPr>
          <w:p w14:paraId="7DA36BE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发出时间：</w:t>
            </w:r>
            <w:r>
              <w:rPr>
                <w:rFonts w:hint="eastAsia" w:ascii="宋体" w:hAnsi="宋体" w:eastAsia="宋体" w:cs="宋体"/>
                <w:color w:val="auto"/>
                <w:kern w:val="2"/>
                <w:sz w:val="21"/>
                <w:szCs w:val="21"/>
                <w:highlight w:val="none"/>
                <w:u w:val="single"/>
                <w:lang w:val="en-US" w:eastAsia="zh-CN" w:bidi="ar"/>
              </w:rPr>
              <w:t xml:space="preserve">     年  月   日  时前 （投标截止时间15日前）</w:t>
            </w:r>
          </w:p>
          <w:p w14:paraId="248CCA5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发出形式：</w:t>
            </w:r>
            <w:r>
              <w:rPr>
                <w:rFonts w:hint="default" w:ascii="MS Mincho" w:hAnsi="MS Mincho" w:eastAsia="MS Mincho" w:cs="MS Mincho"/>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 xml:space="preserve"> 在广州交易集团有限公司（广州公共资源交易中心）网站通过项目答疑专区网上公开发布。</w:t>
            </w:r>
          </w:p>
          <w:p w14:paraId="4289AAE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 以电子邮件方式通知所有获取招标文件的潜在投标人</w:t>
            </w:r>
          </w:p>
          <w:p w14:paraId="214184E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本项目的招标文件澄清及答疑文件将在广州交易集团有限公司（广州公共资源交易中心）网上发布，投标人自行下载。从招标文件澄清及答疑文件发布之日起即视为投标人已确认收到。</w:t>
            </w:r>
          </w:p>
        </w:tc>
      </w:tr>
      <w:tr w14:paraId="200BB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vMerge w:val="restart"/>
            <w:tcBorders>
              <w:top w:val="nil"/>
              <w:left w:val="single" w:color="auto" w:sz="4" w:space="0"/>
              <w:bottom w:val="nil"/>
              <w:right w:val="single" w:color="auto" w:sz="4" w:space="0"/>
            </w:tcBorders>
            <w:shd w:val="clear" w:color="auto" w:fill="auto"/>
            <w:vAlign w:val="center"/>
          </w:tcPr>
          <w:p w14:paraId="3408A9D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2.2.3</w:t>
            </w:r>
          </w:p>
        </w:tc>
        <w:tc>
          <w:tcPr>
            <w:tcW w:w="1710" w:type="dxa"/>
            <w:vMerge w:val="restart"/>
            <w:tcBorders>
              <w:top w:val="nil"/>
              <w:left w:val="nil"/>
              <w:bottom w:val="nil"/>
              <w:right w:val="single" w:color="auto" w:sz="4" w:space="0"/>
            </w:tcBorders>
            <w:shd w:val="clear" w:color="auto" w:fill="auto"/>
            <w:vAlign w:val="center"/>
          </w:tcPr>
          <w:p w14:paraId="5BB0628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投标人确认收到招标文件澄清</w:t>
            </w:r>
          </w:p>
        </w:tc>
        <w:tc>
          <w:tcPr>
            <w:tcW w:w="6777" w:type="dxa"/>
            <w:tcBorders>
              <w:top w:val="single" w:color="auto" w:sz="4" w:space="0"/>
              <w:left w:val="nil"/>
              <w:bottom w:val="single" w:color="auto" w:sz="4" w:space="0"/>
              <w:right w:val="single" w:color="auto" w:sz="4" w:space="0"/>
            </w:tcBorders>
            <w:shd w:val="clear" w:color="auto" w:fill="auto"/>
            <w:vAlign w:val="center"/>
          </w:tcPr>
          <w:p w14:paraId="64AA0C1F">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时间：</w:t>
            </w:r>
            <w:r>
              <w:rPr>
                <w:rFonts w:hint="eastAsia" w:ascii="宋体" w:hAnsi="宋体" w:eastAsia="宋体" w:cs="宋体"/>
                <w:color w:val="auto"/>
                <w:kern w:val="2"/>
                <w:sz w:val="21"/>
                <w:szCs w:val="21"/>
                <w:highlight w:val="none"/>
                <w:u w:val="single"/>
                <w:lang w:val="en-US" w:eastAsia="zh-CN" w:bidi="ar"/>
              </w:rPr>
              <w:t>从招标文件澄清及答疑文件发布之日起即视为投标人已确认收到。</w:t>
            </w:r>
          </w:p>
        </w:tc>
      </w:tr>
      <w:tr w14:paraId="0B9F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vMerge w:val="continue"/>
            <w:tcBorders>
              <w:top w:val="nil"/>
              <w:left w:val="single" w:color="auto" w:sz="4" w:space="0"/>
              <w:bottom w:val="nil"/>
              <w:right w:val="single" w:color="auto" w:sz="4" w:space="0"/>
            </w:tcBorders>
            <w:shd w:val="clear" w:color="auto" w:fill="auto"/>
            <w:vAlign w:val="center"/>
          </w:tcPr>
          <w:p w14:paraId="7ED87E0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10" w:type="dxa"/>
            <w:vMerge w:val="continue"/>
            <w:tcBorders>
              <w:top w:val="nil"/>
              <w:left w:val="nil"/>
              <w:bottom w:val="nil"/>
              <w:right w:val="single" w:color="auto" w:sz="4" w:space="0"/>
            </w:tcBorders>
            <w:shd w:val="clear" w:color="auto" w:fill="auto"/>
            <w:vAlign w:val="center"/>
          </w:tcPr>
          <w:p w14:paraId="7959193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77" w:type="dxa"/>
            <w:tcBorders>
              <w:top w:val="single" w:color="auto" w:sz="4" w:space="0"/>
              <w:left w:val="nil"/>
              <w:bottom w:val="single" w:color="auto" w:sz="4" w:space="0"/>
              <w:right w:val="single" w:color="auto" w:sz="4" w:space="0"/>
            </w:tcBorders>
            <w:shd w:val="clear" w:color="auto" w:fill="auto"/>
            <w:vAlign w:val="center"/>
          </w:tcPr>
          <w:p w14:paraId="34E6415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形式：</w:t>
            </w:r>
            <w:r>
              <w:rPr>
                <w:rFonts w:hint="eastAsia" w:ascii="宋体" w:hAnsi="宋体" w:eastAsia="宋体" w:cs="宋体"/>
                <w:color w:val="auto"/>
                <w:kern w:val="2"/>
                <w:sz w:val="21"/>
                <w:szCs w:val="21"/>
                <w:highlight w:val="none"/>
                <w:u w:val="single"/>
                <w:lang w:val="en-US" w:eastAsia="zh-CN" w:bidi="ar"/>
              </w:rPr>
              <w:t>本项目的招标文件澄清及答疑文件将在广州交易集团有限公司（广州公共资源交易中心）网发布，投标人自行下载。</w:t>
            </w:r>
          </w:p>
        </w:tc>
      </w:tr>
      <w:tr w14:paraId="3963F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 w:hRule="atLeast"/>
          <w:jc w:val="center"/>
        </w:trPr>
        <w:tc>
          <w:tcPr>
            <w:tcW w:w="1148" w:type="dxa"/>
            <w:tcBorders>
              <w:top w:val="nil"/>
              <w:left w:val="single" w:color="auto" w:sz="4" w:space="0"/>
              <w:bottom w:val="single" w:color="auto" w:sz="4" w:space="0"/>
              <w:right w:val="single" w:color="auto" w:sz="4" w:space="0"/>
            </w:tcBorders>
            <w:shd w:val="clear" w:color="auto" w:fill="auto"/>
            <w:vAlign w:val="center"/>
          </w:tcPr>
          <w:p w14:paraId="2449587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2.3.1</w:t>
            </w:r>
          </w:p>
        </w:tc>
        <w:tc>
          <w:tcPr>
            <w:tcW w:w="1710" w:type="dxa"/>
            <w:tcBorders>
              <w:top w:val="nil"/>
              <w:left w:val="nil"/>
              <w:bottom w:val="single" w:color="auto" w:sz="4" w:space="0"/>
              <w:right w:val="single" w:color="auto" w:sz="4" w:space="0"/>
            </w:tcBorders>
            <w:shd w:val="clear" w:color="auto" w:fill="auto"/>
            <w:vAlign w:val="center"/>
          </w:tcPr>
          <w:p w14:paraId="67E5ABD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招标文件修改发出的形式</w:t>
            </w:r>
          </w:p>
        </w:tc>
        <w:tc>
          <w:tcPr>
            <w:tcW w:w="6777" w:type="dxa"/>
            <w:tcBorders>
              <w:top w:val="single" w:color="auto" w:sz="4" w:space="0"/>
              <w:left w:val="nil"/>
              <w:bottom w:val="single" w:color="auto" w:sz="4" w:space="0"/>
              <w:right w:val="single" w:color="auto" w:sz="4" w:space="0"/>
            </w:tcBorders>
            <w:shd w:val="clear" w:color="auto" w:fill="auto"/>
            <w:vAlign w:val="center"/>
          </w:tcPr>
          <w:p w14:paraId="033A6E3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发出形式：</w:t>
            </w:r>
            <w:r>
              <w:rPr>
                <w:rFonts w:hint="default" w:ascii="MS Mincho" w:hAnsi="MS Mincho" w:eastAsia="MS Mincho" w:cs="MS Mincho"/>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以补充公告或项目答疑澄清的方式在广州交易集团有限公司（广州公共资源交易中心）网站发布</w:t>
            </w:r>
          </w:p>
          <w:p w14:paraId="77F24C7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 以电子邮件方式通知所有获取招标文件的潜在投标人</w:t>
            </w:r>
          </w:p>
        </w:tc>
      </w:tr>
      <w:tr w14:paraId="4103B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vMerge w:val="restart"/>
            <w:tcBorders>
              <w:top w:val="nil"/>
              <w:left w:val="single" w:color="auto" w:sz="4" w:space="0"/>
              <w:bottom w:val="nil"/>
              <w:right w:val="single" w:color="auto" w:sz="4" w:space="0"/>
            </w:tcBorders>
            <w:shd w:val="clear" w:color="auto" w:fill="auto"/>
            <w:vAlign w:val="center"/>
          </w:tcPr>
          <w:p w14:paraId="11F1719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2.3.2</w:t>
            </w:r>
          </w:p>
        </w:tc>
        <w:tc>
          <w:tcPr>
            <w:tcW w:w="1710" w:type="dxa"/>
            <w:vMerge w:val="restart"/>
            <w:tcBorders>
              <w:top w:val="nil"/>
              <w:left w:val="nil"/>
              <w:bottom w:val="nil"/>
              <w:right w:val="single" w:color="auto" w:sz="4" w:space="0"/>
            </w:tcBorders>
            <w:shd w:val="clear" w:color="auto" w:fill="auto"/>
            <w:vAlign w:val="center"/>
          </w:tcPr>
          <w:p w14:paraId="26EDB2F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投标人确认收到招标文件修改</w:t>
            </w:r>
          </w:p>
        </w:tc>
        <w:tc>
          <w:tcPr>
            <w:tcW w:w="6777" w:type="dxa"/>
            <w:tcBorders>
              <w:top w:val="single" w:color="auto" w:sz="4" w:space="0"/>
              <w:left w:val="nil"/>
              <w:bottom w:val="single" w:color="auto" w:sz="4" w:space="0"/>
              <w:right w:val="single" w:color="auto" w:sz="4" w:space="0"/>
            </w:tcBorders>
            <w:shd w:val="clear" w:color="auto" w:fill="auto"/>
            <w:vAlign w:val="center"/>
          </w:tcPr>
          <w:p w14:paraId="34BBC0C3">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时间：</w:t>
            </w:r>
            <w:r>
              <w:rPr>
                <w:rFonts w:hint="eastAsia" w:ascii="宋体" w:hAnsi="宋体" w:eastAsia="宋体" w:cs="宋体"/>
                <w:color w:val="auto"/>
                <w:kern w:val="2"/>
                <w:sz w:val="21"/>
                <w:szCs w:val="21"/>
                <w:highlight w:val="none"/>
                <w:u w:val="single"/>
                <w:lang w:val="en-US" w:eastAsia="zh-CN" w:bidi="ar"/>
              </w:rPr>
              <w:t>从招标文件修改文件发布之日起即视为投标人已确认收到。</w:t>
            </w:r>
          </w:p>
        </w:tc>
      </w:tr>
      <w:tr w14:paraId="0CBD2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vMerge w:val="continue"/>
            <w:tcBorders>
              <w:top w:val="nil"/>
              <w:left w:val="single" w:color="auto" w:sz="4" w:space="0"/>
              <w:bottom w:val="nil"/>
              <w:right w:val="single" w:color="auto" w:sz="4" w:space="0"/>
            </w:tcBorders>
            <w:shd w:val="clear" w:color="auto" w:fill="auto"/>
            <w:vAlign w:val="center"/>
          </w:tcPr>
          <w:p w14:paraId="0E94549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10" w:type="dxa"/>
            <w:vMerge w:val="continue"/>
            <w:tcBorders>
              <w:top w:val="nil"/>
              <w:left w:val="nil"/>
              <w:bottom w:val="nil"/>
              <w:right w:val="single" w:color="auto" w:sz="4" w:space="0"/>
            </w:tcBorders>
            <w:shd w:val="clear" w:color="auto" w:fill="auto"/>
            <w:vAlign w:val="center"/>
          </w:tcPr>
          <w:p w14:paraId="30745AA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77" w:type="dxa"/>
            <w:tcBorders>
              <w:top w:val="single" w:color="auto" w:sz="4" w:space="0"/>
              <w:left w:val="nil"/>
              <w:bottom w:val="single" w:color="auto" w:sz="4" w:space="0"/>
              <w:right w:val="single" w:color="auto" w:sz="4" w:space="0"/>
            </w:tcBorders>
            <w:shd w:val="clear" w:color="auto" w:fill="auto"/>
            <w:vAlign w:val="center"/>
          </w:tcPr>
          <w:p w14:paraId="48B30E59">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形式：</w:t>
            </w:r>
            <w:r>
              <w:rPr>
                <w:rFonts w:hint="eastAsia" w:ascii="宋体" w:hAnsi="宋体" w:eastAsia="宋体" w:cs="宋体"/>
                <w:color w:val="auto"/>
                <w:kern w:val="2"/>
                <w:sz w:val="21"/>
                <w:szCs w:val="21"/>
                <w:highlight w:val="none"/>
                <w:u w:val="single"/>
                <w:lang w:val="en-US" w:eastAsia="zh-CN" w:bidi="ar"/>
              </w:rPr>
              <w:t>招标文件修改一经在广州交易集团有限公司（广州公共资源交易中心）网站发布，视作已发放给所有投标人，无需确认。潜在投标人应自行关注广州交易集团有限公司（广州公共资源交易中心）的网站公告，招标人不再一一通知。投标人因自身贻误行为导致投标失败的，责任自负。</w:t>
            </w:r>
          </w:p>
        </w:tc>
      </w:tr>
      <w:tr w14:paraId="13A6D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54F413C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3.1.1</w:t>
            </w:r>
          </w:p>
        </w:tc>
        <w:tc>
          <w:tcPr>
            <w:tcW w:w="1710" w:type="dxa"/>
            <w:tcBorders>
              <w:top w:val="single" w:color="auto" w:sz="4" w:space="0"/>
              <w:left w:val="nil"/>
              <w:bottom w:val="single" w:color="auto" w:sz="4" w:space="0"/>
              <w:right w:val="single" w:color="auto" w:sz="4" w:space="0"/>
            </w:tcBorders>
            <w:shd w:val="clear" w:color="auto" w:fill="auto"/>
            <w:vAlign w:val="center"/>
          </w:tcPr>
          <w:p w14:paraId="2159B11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构成投标文件的其他资料</w:t>
            </w:r>
          </w:p>
        </w:tc>
        <w:tc>
          <w:tcPr>
            <w:tcW w:w="6777" w:type="dxa"/>
            <w:tcBorders>
              <w:top w:val="single" w:color="auto" w:sz="4" w:space="0"/>
              <w:left w:val="nil"/>
              <w:bottom w:val="single" w:color="auto" w:sz="4" w:space="0"/>
              <w:right w:val="single" w:color="auto" w:sz="4" w:space="0"/>
            </w:tcBorders>
            <w:shd w:val="clear" w:color="auto" w:fill="auto"/>
            <w:vAlign w:val="center"/>
          </w:tcPr>
          <w:p w14:paraId="373C0753">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满足本项目评审要求的其他资料及投标人认为需要提交的其他证明材料。</w:t>
            </w:r>
          </w:p>
        </w:tc>
      </w:tr>
      <w:tr w14:paraId="636A3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4B7B0F4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3.2.1</w:t>
            </w:r>
          </w:p>
        </w:tc>
        <w:tc>
          <w:tcPr>
            <w:tcW w:w="1710" w:type="dxa"/>
            <w:tcBorders>
              <w:top w:val="single" w:color="auto" w:sz="4" w:space="0"/>
              <w:left w:val="nil"/>
              <w:bottom w:val="single" w:color="auto" w:sz="4" w:space="0"/>
              <w:right w:val="single" w:color="auto" w:sz="4" w:space="0"/>
            </w:tcBorders>
            <w:shd w:val="clear" w:color="auto" w:fill="auto"/>
            <w:vAlign w:val="center"/>
          </w:tcPr>
          <w:p w14:paraId="26EE5F0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增值税税金的计算方法</w:t>
            </w:r>
          </w:p>
        </w:tc>
        <w:tc>
          <w:tcPr>
            <w:tcW w:w="6777" w:type="dxa"/>
            <w:tcBorders>
              <w:top w:val="single" w:color="auto" w:sz="4" w:space="0"/>
              <w:left w:val="nil"/>
              <w:bottom w:val="single" w:color="auto" w:sz="4" w:space="0"/>
              <w:right w:val="single" w:color="auto" w:sz="4" w:space="0"/>
            </w:tcBorders>
            <w:shd w:val="clear" w:color="auto" w:fill="auto"/>
            <w:vAlign w:val="center"/>
          </w:tcPr>
          <w:p w14:paraId="1236E9FA">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按国家税务机关的规定执行。</w:t>
            </w:r>
          </w:p>
        </w:tc>
      </w:tr>
      <w:tr w14:paraId="63872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5C9BAC64">
            <w:pPr>
              <w:keepNext w:val="0"/>
              <w:keepLines w:val="0"/>
              <w:widowControl w:val="0"/>
              <w:suppressLineNumbers w:val="0"/>
              <w:spacing w:before="0" w:beforeAutospacing="0" w:after="0" w:afterAutospacing="0" w:line="288" w:lineRule="auto"/>
              <w:ind w:left="0" w:right="0"/>
              <w:jc w:val="center"/>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3.2.4</w:t>
            </w:r>
          </w:p>
        </w:tc>
        <w:tc>
          <w:tcPr>
            <w:tcW w:w="1710" w:type="dxa"/>
            <w:tcBorders>
              <w:top w:val="single" w:color="auto" w:sz="4" w:space="0"/>
              <w:left w:val="nil"/>
              <w:bottom w:val="single" w:color="auto" w:sz="4" w:space="0"/>
              <w:right w:val="single" w:color="auto" w:sz="4" w:space="0"/>
            </w:tcBorders>
            <w:shd w:val="clear" w:color="auto" w:fill="auto"/>
            <w:vAlign w:val="center"/>
          </w:tcPr>
          <w:p w14:paraId="79270C71">
            <w:pPr>
              <w:keepNext w:val="0"/>
              <w:keepLines w:val="0"/>
              <w:widowControl w:val="0"/>
              <w:suppressLineNumbers w:val="0"/>
              <w:spacing w:before="0" w:beforeAutospacing="0" w:after="0" w:afterAutospacing="0" w:line="288" w:lineRule="auto"/>
              <w:ind w:left="0" w:right="0"/>
              <w:jc w:val="center"/>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最高投标限价</w:t>
            </w:r>
          </w:p>
        </w:tc>
        <w:tc>
          <w:tcPr>
            <w:tcW w:w="6777" w:type="dxa"/>
            <w:tcBorders>
              <w:top w:val="single" w:color="auto" w:sz="4" w:space="0"/>
              <w:left w:val="nil"/>
              <w:bottom w:val="single" w:color="auto" w:sz="4" w:space="0"/>
              <w:right w:val="single" w:color="auto" w:sz="4" w:space="0"/>
            </w:tcBorders>
            <w:shd w:val="clear" w:color="auto" w:fill="auto"/>
            <w:vAlign w:val="center"/>
          </w:tcPr>
          <w:p w14:paraId="666B9AA2">
            <w:pPr>
              <w:keepNext w:val="0"/>
              <w:keepLines w:val="0"/>
              <w:widowControl w:val="0"/>
              <w:suppressLineNumbers w:val="0"/>
              <w:spacing w:before="0" w:beforeAutospacing="0" w:after="0" w:afterAutospacing="0" w:line="288" w:lineRule="auto"/>
              <w:ind w:left="0" w:right="0"/>
              <w:jc w:val="left"/>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□无</w:t>
            </w:r>
          </w:p>
          <w:p w14:paraId="132C683F">
            <w:pPr>
              <w:keepNext w:val="0"/>
              <w:keepLines w:val="0"/>
              <w:widowControl w:val="0"/>
              <w:suppressLineNumbers w:val="0"/>
              <w:spacing w:before="0" w:beforeAutospacing="0" w:after="0" w:afterAutospacing="0" w:line="288" w:lineRule="auto"/>
              <w:ind w:left="0" w:right="0"/>
              <w:jc w:val="left"/>
              <w:rPr>
                <w:rFonts w:hint="default" w:ascii="宋体" w:hAnsi="宋体" w:eastAsia="宋体" w:cs="宋体"/>
                <w:color w:val="auto"/>
                <w:kern w:val="2"/>
                <w:sz w:val="21"/>
                <w:szCs w:val="21"/>
                <w:highlight w:val="none"/>
              </w:rPr>
            </w:pPr>
            <w:r>
              <w:rPr>
                <w:rFonts w:hint="default" w:ascii="MS Mincho" w:hAnsi="MS Mincho" w:eastAsia="MS Mincho" w:cs="MS Mincho"/>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有，最高投标限价：</w:t>
            </w:r>
            <w:r>
              <w:rPr>
                <w:rFonts w:hint="default" w:ascii="宋体" w:hAnsi="宋体" w:eastAsia="宋体" w:cs="宋体"/>
                <w:color w:val="auto"/>
                <w:kern w:val="2"/>
                <w:sz w:val="21"/>
                <w:szCs w:val="21"/>
                <w:highlight w:val="none"/>
                <w:u w:val="single"/>
                <w:lang w:eastAsia="zh-CN" w:bidi="ar"/>
              </w:rPr>
              <w:t>43023016.79</w:t>
            </w:r>
            <w:r>
              <w:rPr>
                <w:rFonts w:hint="eastAsia" w:ascii="宋体" w:hAnsi="宋体" w:eastAsia="宋体" w:cs="宋体"/>
                <w:color w:val="auto"/>
                <w:kern w:val="2"/>
                <w:sz w:val="21"/>
                <w:szCs w:val="21"/>
                <w:highlight w:val="none"/>
                <w:lang w:val="en-US" w:eastAsia="zh-CN" w:bidi="ar"/>
              </w:rPr>
              <w:t>元（暂列金额：</w:t>
            </w:r>
            <w:r>
              <w:rPr>
                <w:rFonts w:hint="default" w:ascii="宋体" w:hAnsi="宋体" w:eastAsia="宋体" w:cs="宋体"/>
                <w:color w:val="auto"/>
                <w:kern w:val="2"/>
                <w:sz w:val="21"/>
                <w:szCs w:val="21"/>
                <w:highlight w:val="none"/>
                <w:u w:val="single"/>
                <w:lang w:eastAsia="zh-CN" w:bidi="ar"/>
              </w:rPr>
              <w:t>1849178.02</w:t>
            </w:r>
            <w:r>
              <w:rPr>
                <w:rFonts w:hint="eastAsia" w:ascii="宋体" w:hAnsi="宋体" w:eastAsia="宋体" w:cs="宋体"/>
                <w:color w:val="auto"/>
                <w:kern w:val="2"/>
                <w:sz w:val="21"/>
                <w:szCs w:val="21"/>
                <w:highlight w:val="none"/>
                <w:lang w:val="en-US" w:eastAsia="zh-CN" w:bidi="ar"/>
              </w:rPr>
              <w:t>元），各分项限价为：</w:t>
            </w:r>
          </w:p>
          <w:p w14:paraId="32B86FEE">
            <w:pPr>
              <w:keepNext w:val="0"/>
              <w:keepLines w:val="0"/>
              <w:widowControl w:val="0"/>
              <w:suppressLineNumbers w:val="0"/>
              <w:spacing w:before="0" w:beforeAutospacing="0" w:after="0" w:afterAutospacing="0" w:line="288" w:lineRule="auto"/>
              <w:ind w:left="0" w:right="0"/>
              <w:jc w:val="left"/>
              <w:rPr>
                <w:rFonts w:hint="default"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（1）第十五届全运会广东奥林匹克体育中心升级改造项目最高投标限价为</w:t>
            </w:r>
            <w:r>
              <w:rPr>
                <w:rFonts w:hint="default" w:ascii="宋体" w:hAnsi="宋体" w:eastAsia="宋体" w:cs="宋体"/>
                <w:color w:val="auto"/>
                <w:kern w:val="2"/>
                <w:sz w:val="21"/>
                <w:szCs w:val="21"/>
                <w:highlight w:val="none"/>
                <w:u w:val="single"/>
                <w:lang w:eastAsia="zh-CN" w:bidi="ar"/>
              </w:rPr>
              <w:t>32808248.25</w:t>
            </w:r>
            <w:r>
              <w:rPr>
                <w:rFonts w:hint="eastAsia" w:ascii="宋体" w:hAnsi="宋体" w:eastAsia="宋体" w:cs="宋体"/>
                <w:color w:val="auto"/>
                <w:kern w:val="2"/>
                <w:sz w:val="21"/>
                <w:szCs w:val="21"/>
                <w:highlight w:val="none"/>
                <w:u w:val="single"/>
                <w:lang w:val="en-US" w:eastAsia="zh-CN" w:bidi="ar"/>
              </w:rPr>
              <w:t>元</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非竞争费用：本项目暂列金额为</w:t>
            </w:r>
            <w:r>
              <w:rPr>
                <w:rFonts w:hint="default" w:ascii="宋体" w:hAnsi="宋体" w:eastAsia="宋体" w:cs="宋体"/>
                <w:color w:val="auto"/>
                <w:kern w:val="2"/>
                <w:sz w:val="21"/>
                <w:szCs w:val="21"/>
                <w:highlight w:val="none"/>
                <w:u w:val="single"/>
                <w:lang w:eastAsia="zh-CN" w:bidi="ar"/>
              </w:rPr>
              <w:t>1415478.93</w:t>
            </w:r>
            <w:r>
              <w:rPr>
                <w:rFonts w:hint="eastAsia" w:ascii="宋体" w:hAnsi="宋体" w:eastAsia="宋体" w:cs="宋体"/>
                <w:color w:val="auto"/>
                <w:kern w:val="2"/>
                <w:sz w:val="21"/>
                <w:szCs w:val="21"/>
                <w:highlight w:val="none"/>
                <w:u w:val="single"/>
                <w:lang w:val="en-US" w:eastAsia="zh-CN" w:bidi="ar"/>
              </w:rPr>
              <w:t>元。</w:t>
            </w:r>
          </w:p>
          <w:p w14:paraId="636E47D5">
            <w:pPr>
              <w:keepNext w:val="0"/>
              <w:keepLines w:val="0"/>
              <w:widowControl w:val="0"/>
              <w:suppressLineNumbers w:val="0"/>
              <w:spacing w:before="0" w:beforeAutospacing="0" w:after="0" w:afterAutospacing="0" w:line="288" w:lineRule="auto"/>
              <w:ind w:left="0" w:right="0"/>
              <w:jc w:val="left"/>
              <w:rPr>
                <w:rFonts w:hint="default"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（2）第十五届全运会广东省人民体育场改造项目最高投标限价为</w:t>
            </w:r>
            <w:r>
              <w:rPr>
                <w:rFonts w:hint="default" w:ascii="宋体" w:hAnsi="宋体" w:eastAsia="宋体" w:cs="宋体"/>
                <w:color w:val="auto"/>
                <w:kern w:val="2"/>
                <w:sz w:val="21"/>
                <w:szCs w:val="21"/>
                <w:highlight w:val="none"/>
                <w:u w:val="single"/>
                <w:lang w:eastAsia="zh-CN" w:bidi="ar"/>
              </w:rPr>
              <w:t>10214768.54</w:t>
            </w:r>
            <w:r>
              <w:rPr>
                <w:rFonts w:hint="eastAsia" w:ascii="宋体" w:hAnsi="宋体" w:eastAsia="宋体" w:cs="宋体"/>
                <w:color w:val="auto"/>
                <w:kern w:val="2"/>
                <w:sz w:val="21"/>
                <w:szCs w:val="21"/>
                <w:highlight w:val="none"/>
                <w:u w:val="single"/>
                <w:lang w:val="en-US" w:eastAsia="zh-CN" w:bidi="ar"/>
              </w:rPr>
              <w:t>元</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非竞争费用：本项目暂列金额为</w:t>
            </w:r>
            <w:r>
              <w:rPr>
                <w:rFonts w:hint="default" w:ascii="宋体" w:hAnsi="宋体" w:eastAsia="宋体" w:cs="宋体"/>
                <w:color w:val="auto"/>
                <w:kern w:val="2"/>
                <w:sz w:val="21"/>
                <w:szCs w:val="21"/>
                <w:highlight w:val="none"/>
                <w:u w:val="single"/>
                <w:lang w:eastAsia="zh-CN" w:bidi="ar"/>
              </w:rPr>
              <w:t>433699.09</w:t>
            </w:r>
            <w:r>
              <w:rPr>
                <w:rFonts w:hint="eastAsia" w:ascii="宋体" w:hAnsi="宋体" w:eastAsia="宋体" w:cs="宋体"/>
                <w:color w:val="auto"/>
                <w:kern w:val="2"/>
                <w:sz w:val="21"/>
                <w:szCs w:val="21"/>
                <w:highlight w:val="none"/>
                <w:u w:val="single"/>
                <w:lang w:val="en-US" w:eastAsia="zh-CN" w:bidi="ar"/>
              </w:rPr>
              <w:t>元。</w:t>
            </w:r>
          </w:p>
          <w:p w14:paraId="5AA7EDEC">
            <w:pPr>
              <w:keepNext w:val="0"/>
              <w:keepLines w:val="0"/>
              <w:widowControl w:val="0"/>
              <w:suppressLineNumbers w:val="0"/>
              <w:spacing w:before="0" w:beforeAutospacing="0" w:after="0" w:afterAutospacing="0" w:line="288" w:lineRule="auto"/>
              <w:ind w:left="0" w:right="0"/>
              <w:jc w:val="left"/>
              <w:rPr>
                <w:rFonts w:hint="default"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注：投标总报价不得高于最高投标限价，且各分项投标报价不得高于对应分项限价，否则作无效标处理。</w:t>
            </w:r>
            <w:r>
              <w:rPr>
                <w:rFonts w:hint="eastAsia" w:ascii="宋体" w:hAnsi="宋体" w:eastAsia="宋体" w:cs="宋体"/>
                <w:color w:val="auto"/>
                <w:kern w:val="2"/>
                <w:sz w:val="21"/>
                <w:szCs w:val="21"/>
                <w:highlight w:val="none"/>
                <w:u w:val="single"/>
                <w:lang w:val="en-US" w:eastAsia="zh-CN" w:bidi="ar"/>
              </w:rPr>
              <w:t>非竞争费用</w:t>
            </w:r>
            <w:r>
              <w:rPr>
                <w:rFonts w:hint="default" w:ascii="宋体" w:hAnsi="宋体" w:eastAsia="宋体" w:cs="宋体"/>
                <w:color w:val="auto"/>
                <w:kern w:val="2"/>
                <w:sz w:val="21"/>
                <w:szCs w:val="21"/>
                <w:highlight w:val="none"/>
                <w:u w:val="single"/>
                <w:lang w:eastAsia="zh-CN" w:bidi="ar"/>
              </w:rPr>
              <w:t>未</w:t>
            </w:r>
            <w:r>
              <w:rPr>
                <w:rFonts w:hint="eastAsia" w:ascii="宋体" w:hAnsi="宋体" w:eastAsia="宋体" w:cs="宋体"/>
                <w:color w:val="auto"/>
                <w:kern w:val="2"/>
                <w:sz w:val="21"/>
                <w:szCs w:val="21"/>
                <w:highlight w:val="none"/>
                <w:u w:val="single"/>
                <w:lang w:val="en-US" w:eastAsia="zh-CN" w:bidi="ar"/>
              </w:rPr>
              <w:t>按招标文件规定的金额填写的，由评标委员会按照招标文件规定的金额进行修正</w:t>
            </w:r>
            <w:r>
              <w:rPr>
                <w:rFonts w:hint="default" w:ascii="宋体" w:hAnsi="宋体" w:eastAsia="宋体" w:cs="宋体"/>
                <w:color w:val="auto"/>
                <w:kern w:val="2"/>
                <w:sz w:val="21"/>
                <w:szCs w:val="21"/>
                <w:highlight w:val="none"/>
                <w:u w:val="single"/>
                <w:lang w:eastAsia="zh-CN" w:bidi="ar"/>
              </w:rPr>
              <w:t>。</w:t>
            </w:r>
          </w:p>
        </w:tc>
      </w:tr>
      <w:tr w14:paraId="5BEB9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42157956">
            <w:pPr>
              <w:keepNext w:val="0"/>
              <w:keepLines w:val="0"/>
              <w:widowControl w:val="0"/>
              <w:suppressLineNumbers w:val="0"/>
              <w:spacing w:before="0" w:beforeAutospacing="0" w:after="0" w:afterAutospacing="0" w:line="288" w:lineRule="auto"/>
              <w:ind w:left="0" w:right="0"/>
              <w:jc w:val="center"/>
              <w:rPr>
                <w:rFonts w:hint="default" w:ascii="宋体" w:hAnsi="宋体" w:eastAsia="宋体" w:cs="宋体"/>
                <w:color w:val="auto"/>
                <w:kern w:val="2"/>
                <w:sz w:val="21"/>
                <w:szCs w:val="21"/>
                <w:highlight w:val="none"/>
                <w:lang w:eastAsia="zh-CN" w:bidi="ar"/>
              </w:rPr>
            </w:pPr>
            <w:r>
              <w:rPr>
                <w:rFonts w:hint="default" w:ascii="宋体" w:hAnsi="宋体" w:eastAsia="宋体" w:cs="宋体"/>
                <w:color w:val="auto"/>
                <w:kern w:val="2"/>
                <w:sz w:val="21"/>
                <w:szCs w:val="21"/>
                <w:highlight w:val="none"/>
                <w:lang w:eastAsia="zh-CN" w:bidi="ar"/>
              </w:rPr>
              <w:t>/</w:t>
            </w:r>
          </w:p>
        </w:tc>
        <w:tc>
          <w:tcPr>
            <w:tcW w:w="1710" w:type="dxa"/>
            <w:tcBorders>
              <w:top w:val="single" w:color="auto" w:sz="4" w:space="0"/>
              <w:left w:val="nil"/>
              <w:bottom w:val="single" w:color="auto" w:sz="4" w:space="0"/>
              <w:right w:val="single" w:color="auto" w:sz="4" w:space="0"/>
            </w:tcBorders>
            <w:shd w:val="clear" w:color="auto" w:fill="auto"/>
            <w:vAlign w:val="center"/>
          </w:tcPr>
          <w:p w14:paraId="2F10324A">
            <w:pPr>
              <w:keepNext w:val="0"/>
              <w:keepLines w:val="0"/>
              <w:widowControl w:val="0"/>
              <w:suppressLineNumbers w:val="0"/>
              <w:spacing w:before="0" w:beforeAutospacing="0" w:after="0" w:afterAutospacing="0" w:line="288" w:lineRule="auto"/>
              <w:ind w:left="0" w:right="0"/>
              <w:jc w:val="center"/>
              <w:rPr>
                <w:rFonts w:hint="default" w:ascii="宋体" w:hAnsi="宋体" w:eastAsia="宋体" w:cs="宋体"/>
                <w:color w:val="auto"/>
                <w:kern w:val="2"/>
                <w:sz w:val="21"/>
                <w:szCs w:val="21"/>
                <w:highlight w:val="none"/>
                <w:lang w:eastAsia="zh-CN" w:bidi="ar"/>
              </w:rPr>
            </w:pPr>
            <w:r>
              <w:rPr>
                <w:rFonts w:hint="default" w:ascii="宋体" w:hAnsi="宋体" w:eastAsia="宋体" w:cs="宋体"/>
                <w:color w:val="auto"/>
                <w:kern w:val="2"/>
                <w:sz w:val="21"/>
                <w:szCs w:val="21"/>
                <w:highlight w:val="none"/>
                <w:lang w:eastAsia="zh-CN" w:bidi="ar"/>
              </w:rPr>
              <w:t>结算方式</w:t>
            </w:r>
          </w:p>
        </w:tc>
        <w:tc>
          <w:tcPr>
            <w:tcW w:w="6777" w:type="dxa"/>
            <w:tcBorders>
              <w:top w:val="single" w:color="auto" w:sz="4" w:space="0"/>
              <w:left w:val="nil"/>
              <w:bottom w:val="single" w:color="auto" w:sz="4" w:space="0"/>
              <w:right w:val="single" w:color="auto" w:sz="4" w:space="0"/>
            </w:tcBorders>
            <w:shd w:val="clear" w:color="auto" w:fill="auto"/>
            <w:vAlign w:val="center"/>
          </w:tcPr>
          <w:p w14:paraId="1094158C">
            <w:pPr>
              <w:keepNext w:val="0"/>
              <w:keepLines w:val="0"/>
              <w:widowControl w:val="0"/>
              <w:suppressLineNumbers w:val="0"/>
              <w:spacing w:before="0" w:beforeAutospacing="0" w:after="0" w:afterAutospacing="0" w:line="288" w:lineRule="auto"/>
              <w:ind w:left="0" w:right="0"/>
              <w:jc w:val="left"/>
              <w:rPr>
                <w:rFonts w:hint="default" w:ascii="宋体" w:hAnsi="宋体" w:eastAsia="宋体" w:cs="宋体"/>
                <w:color w:val="auto"/>
                <w:kern w:val="2"/>
                <w:sz w:val="21"/>
                <w:szCs w:val="21"/>
                <w:highlight w:val="none"/>
                <w:lang w:eastAsia="zh-CN" w:bidi="ar"/>
              </w:rPr>
            </w:pPr>
            <w:r>
              <w:rPr>
                <w:rFonts w:hint="default" w:ascii="宋体" w:hAnsi="宋体" w:eastAsia="宋体" w:cs="宋体"/>
                <w:color w:val="auto"/>
                <w:kern w:val="2"/>
                <w:sz w:val="21"/>
                <w:szCs w:val="21"/>
                <w:highlight w:val="none"/>
                <w:lang w:eastAsia="zh-CN" w:bidi="ar"/>
              </w:rPr>
              <w:t>1.结算单位：</w:t>
            </w:r>
            <w:r>
              <w:rPr>
                <w:rFonts w:hint="default" w:ascii="宋体" w:hAnsi="宋体" w:eastAsia="宋体" w:cs="宋体"/>
                <w:strike w:val="0"/>
                <w:color w:val="auto"/>
                <w:kern w:val="2"/>
                <w:sz w:val="21"/>
                <w:szCs w:val="21"/>
                <w:highlight w:val="none"/>
                <w:lang w:eastAsia="zh-CN" w:bidi="ar"/>
              </w:rPr>
              <w:t>现金支付部分由招标人与中标人结算，中标人按合同约定开具等额发票给项目业主单位；赞助权益回报部分由执委会与中标人结算，执委会、中标人对开等额发票（具体按合同约定执行）。</w:t>
            </w:r>
          </w:p>
          <w:p w14:paraId="6EAA05BB">
            <w:pPr>
              <w:keepNext w:val="0"/>
              <w:keepLines w:val="0"/>
              <w:widowControl w:val="0"/>
              <w:suppressLineNumbers w:val="0"/>
              <w:spacing w:before="0" w:beforeAutospacing="0" w:after="0" w:afterAutospacing="0" w:line="288" w:lineRule="auto"/>
              <w:ind w:left="0" w:right="0"/>
              <w:jc w:val="left"/>
              <w:rPr>
                <w:rFonts w:hint="default" w:ascii="宋体" w:hAnsi="宋体" w:eastAsia="宋体" w:cs="宋体"/>
                <w:color w:val="auto"/>
                <w:kern w:val="2"/>
                <w:sz w:val="21"/>
                <w:szCs w:val="21"/>
                <w:highlight w:val="none"/>
                <w:lang w:eastAsia="zh-CN" w:bidi="ar"/>
              </w:rPr>
            </w:pPr>
            <w:r>
              <w:rPr>
                <w:rFonts w:hint="default" w:ascii="宋体" w:hAnsi="宋体" w:eastAsia="宋体" w:cs="宋体"/>
                <w:color w:val="auto"/>
                <w:kern w:val="2"/>
                <w:sz w:val="21"/>
                <w:szCs w:val="21"/>
                <w:highlight w:val="none"/>
                <w:lang w:eastAsia="zh-CN" w:bidi="ar"/>
              </w:rPr>
              <w:t>2.付款方式：按合同约定执行。</w:t>
            </w:r>
          </w:p>
        </w:tc>
      </w:tr>
      <w:tr w14:paraId="2149C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3CA245E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3.2.5</w:t>
            </w:r>
          </w:p>
        </w:tc>
        <w:tc>
          <w:tcPr>
            <w:tcW w:w="1710" w:type="dxa"/>
            <w:tcBorders>
              <w:top w:val="single" w:color="auto" w:sz="4" w:space="0"/>
              <w:left w:val="nil"/>
              <w:bottom w:val="single" w:color="auto" w:sz="4" w:space="0"/>
              <w:right w:val="single" w:color="auto" w:sz="4" w:space="0"/>
            </w:tcBorders>
            <w:shd w:val="clear" w:color="auto" w:fill="auto"/>
            <w:vAlign w:val="center"/>
          </w:tcPr>
          <w:p w14:paraId="43B56ED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投标报价的其他要求</w:t>
            </w:r>
          </w:p>
        </w:tc>
        <w:tc>
          <w:tcPr>
            <w:tcW w:w="6777" w:type="dxa"/>
            <w:tcBorders>
              <w:top w:val="single" w:color="auto" w:sz="4" w:space="0"/>
              <w:left w:val="nil"/>
              <w:bottom w:val="single" w:color="auto" w:sz="4" w:space="0"/>
              <w:right w:val="single" w:color="auto" w:sz="4" w:space="0"/>
            </w:tcBorders>
            <w:shd w:val="clear" w:color="auto" w:fill="auto"/>
            <w:vAlign w:val="center"/>
          </w:tcPr>
          <w:p w14:paraId="343550A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1、各投标单位在最高投标限价内根据企业自身实力进行含税报价</w:t>
            </w:r>
            <w:r>
              <w:rPr>
                <w:rFonts w:hint="eastAsia" w:ascii="宋体" w:hAnsi="宋体" w:eastAsia="宋体" w:cs="宋体"/>
                <w:b/>
                <w:bCs w:val="0"/>
                <w:color w:val="auto"/>
                <w:kern w:val="2"/>
                <w:sz w:val="21"/>
                <w:szCs w:val="21"/>
                <w:highlight w:val="none"/>
                <w:lang w:val="en-US" w:eastAsia="zh-CN" w:bidi="ar"/>
              </w:rPr>
              <w:t>（以元为单位，保留两位小数，第三位小数四舍五入）。投标人赞助权益回报部分的报价为现金等价物(产品/服务)价格，且该价格中所报单价应与投标人对现金支付部分所报单价相同。招标人不接受现金形式的赞助权益回报部分报价。</w:t>
            </w:r>
          </w:p>
          <w:p w14:paraId="4781092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2、投标人在投标截止时间前修改投标函中的投标总价的，应同时修改第六章“投标文件格式”中投标报价表的相应报价。投标函及其附录与投标文件的其他部分就同一事项出现不一致的情况下，该事项以投标函及其附录的描述为准（招标文件另有约定的除外）。</w:t>
            </w:r>
          </w:p>
          <w:p w14:paraId="7E3D4A1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投标人的报价，应是其按第四章“合同条款”及第五章“供货要求”完成设备采购及服务工作的所有费用，包括采购费、运输费、保管费、安装费、调试费、开模费、产品出厂前的检验检测费、知识产权费、预期的市场价格的涨跌、合同明示或暗示的风险、责任和义务涉及费用。</w:t>
            </w:r>
          </w:p>
          <w:p w14:paraId="688FB5C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4、投标总报价高于最高投标限价或各分项投标报价高于对应分项限价的投标文件将被否决其投标。</w:t>
            </w:r>
          </w:p>
        </w:tc>
      </w:tr>
      <w:tr w14:paraId="67E9A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170EBDA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3.3.1</w:t>
            </w:r>
          </w:p>
        </w:tc>
        <w:tc>
          <w:tcPr>
            <w:tcW w:w="1710" w:type="dxa"/>
            <w:tcBorders>
              <w:top w:val="single" w:color="auto" w:sz="4" w:space="0"/>
              <w:left w:val="nil"/>
              <w:bottom w:val="single" w:color="auto" w:sz="4" w:space="0"/>
              <w:right w:val="single" w:color="auto" w:sz="4" w:space="0"/>
            </w:tcBorders>
            <w:shd w:val="clear" w:color="auto" w:fill="auto"/>
            <w:vAlign w:val="center"/>
          </w:tcPr>
          <w:p w14:paraId="029CFED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投标有效期</w:t>
            </w:r>
          </w:p>
        </w:tc>
        <w:tc>
          <w:tcPr>
            <w:tcW w:w="6777" w:type="dxa"/>
            <w:tcBorders>
              <w:top w:val="single" w:color="auto" w:sz="4" w:space="0"/>
              <w:left w:val="nil"/>
              <w:bottom w:val="single" w:color="auto" w:sz="4" w:space="0"/>
              <w:right w:val="single" w:color="auto" w:sz="4" w:space="0"/>
            </w:tcBorders>
            <w:shd w:val="clear" w:color="auto" w:fill="auto"/>
            <w:vAlign w:val="center"/>
          </w:tcPr>
          <w:p w14:paraId="7BA2D7D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90日历天（从投标截止之日算起）</w:t>
            </w:r>
          </w:p>
        </w:tc>
      </w:tr>
      <w:tr w14:paraId="53A70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5FF6781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3.4.1</w:t>
            </w:r>
          </w:p>
        </w:tc>
        <w:tc>
          <w:tcPr>
            <w:tcW w:w="1710" w:type="dxa"/>
            <w:tcBorders>
              <w:top w:val="single" w:color="auto" w:sz="4" w:space="0"/>
              <w:left w:val="nil"/>
              <w:bottom w:val="single" w:color="auto" w:sz="4" w:space="0"/>
              <w:right w:val="single" w:color="auto" w:sz="4" w:space="0"/>
            </w:tcBorders>
            <w:shd w:val="clear" w:color="auto" w:fill="auto"/>
            <w:vAlign w:val="center"/>
          </w:tcPr>
          <w:p w14:paraId="72461DE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投标保证金</w:t>
            </w:r>
          </w:p>
        </w:tc>
        <w:tc>
          <w:tcPr>
            <w:tcW w:w="6777" w:type="dxa"/>
            <w:tcBorders>
              <w:top w:val="single" w:color="auto" w:sz="4" w:space="0"/>
              <w:left w:val="nil"/>
              <w:bottom w:val="single" w:color="auto" w:sz="4" w:space="0"/>
              <w:right w:val="single" w:color="auto" w:sz="4" w:space="0"/>
            </w:tcBorders>
            <w:shd w:val="clear" w:color="auto" w:fill="auto"/>
            <w:vAlign w:val="center"/>
          </w:tcPr>
          <w:p w14:paraId="75B34797">
            <w:pPr>
              <w:keepNext w:val="0"/>
              <w:keepLines w:val="0"/>
              <w:widowControl w:val="0"/>
              <w:suppressLineNumbers w:val="0"/>
              <w:topLinePunct/>
              <w:spacing w:before="0" w:beforeAutospacing="0" w:after="0" w:afterAutospacing="0" w:line="288"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是否要求投标人递交投标保证金：</w:t>
            </w:r>
          </w:p>
          <w:p w14:paraId="626AE10B">
            <w:pPr>
              <w:keepNext w:val="0"/>
              <w:keepLines w:val="0"/>
              <w:widowControl w:val="0"/>
              <w:suppressLineNumbers w:val="0"/>
              <w:topLinePunct/>
              <w:spacing w:before="0" w:beforeAutospacing="0" w:after="0" w:afterAutospacing="0" w:line="288" w:lineRule="auto"/>
              <w:ind w:left="0" w:right="0"/>
              <w:jc w:val="both"/>
              <w:rPr>
                <w:rFonts w:hint="eastAsia" w:ascii="宋体" w:hAnsi="宋体" w:eastAsia="宋体" w:cs="宋体"/>
                <w:color w:val="auto"/>
                <w:kern w:val="2"/>
                <w:sz w:val="21"/>
                <w:szCs w:val="21"/>
                <w:highlight w:val="none"/>
              </w:rPr>
            </w:pPr>
            <w:r>
              <w:rPr>
                <w:rFonts w:hint="default" w:ascii="MS Mincho" w:hAnsi="MS Mincho" w:eastAsia="MS Mincho" w:cs="MS Mincho"/>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不要求递交投标保证金。</w:t>
            </w:r>
          </w:p>
          <w:p w14:paraId="5C1A963F">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□要求递交投标保证金。</w:t>
            </w:r>
          </w:p>
        </w:tc>
      </w:tr>
      <w:tr w14:paraId="2BCB8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5AAC863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3.5</w:t>
            </w:r>
          </w:p>
        </w:tc>
        <w:tc>
          <w:tcPr>
            <w:tcW w:w="1710" w:type="dxa"/>
            <w:tcBorders>
              <w:top w:val="single" w:color="auto" w:sz="4" w:space="0"/>
              <w:left w:val="nil"/>
              <w:bottom w:val="single" w:color="auto" w:sz="4" w:space="0"/>
              <w:right w:val="single" w:color="auto" w:sz="4" w:space="0"/>
            </w:tcBorders>
            <w:shd w:val="clear" w:color="auto" w:fill="auto"/>
            <w:vAlign w:val="center"/>
          </w:tcPr>
          <w:p w14:paraId="151CB08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资格审查资料的特殊要求</w:t>
            </w:r>
          </w:p>
        </w:tc>
        <w:tc>
          <w:tcPr>
            <w:tcW w:w="6777" w:type="dxa"/>
            <w:tcBorders>
              <w:top w:val="single" w:color="auto" w:sz="4" w:space="0"/>
              <w:left w:val="nil"/>
              <w:bottom w:val="single" w:color="auto" w:sz="4" w:space="0"/>
              <w:right w:val="single" w:color="auto" w:sz="4" w:space="0"/>
            </w:tcBorders>
            <w:shd w:val="clear" w:color="auto" w:fill="auto"/>
            <w:vAlign w:val="center"/>
          </w:tcPr>
          <w:p w14:paraId="5A361D86">
            <w:pPr>
              <w:keepNext w:val="0"/>
              <w:keepLines w:val="0"/>
              <w:widowControl w:val="0"/>
              <w:suppressLineNumbers w:val="0"/>
              <w:snapToGrid w:val="0"/>
              <w:spacing w:before="0" w:beforeAutospacing="0" w:after="0" w:afterAutospacing="0" w:line="288" w:lineRule="auto"/>
              <w:ind w:left="0" w:right="141" w:rightChars="67"/>
              <w:jc w:val="both"/>
              <w:rPr>
                <w:rFonts w:hint="eastAsia" w:ascii="宋体" w:hAnsi="宋体" w:eastAsia="宋体" w:cs="宋体"/>
                <w:color w:val="auto"/>
                <w:kern w:val="2"/>
                <w:sz w:val="21"/>
                <w:szCs w:val="21"/>
                <w:highlight w:val="none"/>
              </w:rPr>
            </w:pPr>
            <w:r>
              <w:rPr>
                <w:rFonts w:hint="default" w:ascii="MS Mincho" w:hAnsi="MS Mincho" w:eastAsia="MS Mincho" w:cs="MS Mincho"/>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无</w:t>
            </w:r>
          </w:p>
          <w:p w14:paraId="7C64378B">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spacing w:val="-1"/>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有，具</w:t>
            </w:r>
            <w:r>
              <w:rPr>
                <w:rFonts w:hint="eastAsia" w:ascii="宋体" w:hAnsi="宋体" w:eastAsia="宋体" w:cs="宋体"/>
                <w:color w:val="auto"/>
                <w:spacing w:val="-2"/>
                <w:kern w:val="2"/>
                <w:sz w:val="21"/>
                <w:szCs w:val="21"/>
                <w:highlight w:val="none"/>
                <w:lang w:val="en-US" w:eastAsia="zh-CN" w:bidi="ar"/>
              </w:rPr>
              <w:t>体</w:t>
            </w:r>
            <w:r>
              <w:rPr>
                <w:rFonts w:hint="eastAsia" w:ascii="宋体" w:hAnsi="宋体" w:eastAsia="宋体" w:cs="宋体"/>
                <w:color w:val="auto"/>
                <w:kern w:val="2"/>
                <w:sz w:val="21"/>
                <w:szCs w:val="21"/>
                <w:highlight w:val="none"/>
                <w:lang w:val="en-US" w:eastAsia="zh-CN" w:bidi="ar"/>
              </w:rPr>
              <w:t>要</w:t>
            </w:r>
            <w:r>
              <w:rPr>
                <w:rFonts w:hint="eastAsia" w:ascii="宋体" w:hAnsi="宋体" w:eastAsia="宋体" w:cs="宋体"/>
                <w:color w:val="auto"/>
                <w:spacing w:val="-2"/>
                <w:kern w:val="2"/>
                <w:sz w:val="21"/>
                <w:szCs w:val="21"/>
                <w:highlight w:val="none"/>
                <w:lang w:val="en-US" w:eastAsia="zh-CN" w:bidi="ar"/>
              </w:rPr>
              <w:t>求</w:t>
            </w:r>
            <w:r>
              <w:rPr>
                <w:rFonts w:hint="eastAsia" w:ascii="宋体" w:hAnsi="宋体" w:eastAsia="宋体" w:cs="宋体"/>
                <w:color w:val="auto"/>
                <w:kern w:val="2"/>
                <w:sz w:val="21"/>
                <w:szCs w:val="21"/>
                <w:highlight w:val="none"/>
                <w:lang w:val="en-US" w:eastAsia="zh-CN" w:bidi="ar"/>
              </w:rPr>
              <w:t>：</w:t>
            </w:r>
          </w:p>
        </w:tc>
      </w:tr>
      <w:tr w14:paraId="7A5C7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4DF95E0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3.5.2</w:t>
            </w:r>
          </w:p>
        </w:tc>
        <w:tc>
          <w:tcPr>
            <w:tcW w:w="1710" w:type="dxa"/>
            <w:tcBorders>
              <w:top w:val="single" w:color="auto" w:sz="4" w:space="0"/>
              <w:left w:val="nil"/>
              <w:bottom w:val="single" w:color="auto" w:sz="4" w:space="0"/>
              <w:right w:val="single" w:color="auto" w:sz="4" w:space="0"/>
            </w:tcBorders>
            <w:shd w:val="clear" w:color="auto" w:fill="auto"/>
            <w:vAlign w:val="center"/>
          </w:tcPr>
          <w:p w14:paraId="7BB79C2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近年财务状况的年份要求</w:t>
            </w:r>
          </w:p>
        </w:tc>
        <w:tc>
          <w:tcPr>
            <w:tcW w:w="6777" w:type="dxa"/>
            <w:tcBorders>
              <w:top w:val="single" w:color="auto" w:sz="4" w:space="0"/>
              <w:left w:val="nil"/>
              <w:bottom w:val="single" w:color="auto" w:sz="4" w:space="0"/>
              <w:right w:val="single" w:color="auto" w:sz="4" w:space="0"/>
            </w:tcBorders>
            <w:shd w:val="clear" w:color="auto" w:fill="auto"/>
            <w:vAlign w:val="center"/>
          </w:tcPr>
          <w:p w14:paraId="7CD0836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lang w:val="en-US" w:eastAsia="zh-CN" w:bidi="ar"/>
              </w:rPr>
              <w:t>本项目不适用</w:t>
            </w:r>
          </w:p>
        </w:tc>
      </w:tr>
      <w:tr w14:paraId="6952F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1B32CDC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3.5.3</w:t>
            </w:r>
          </w:p>
        </w:tc>
        <w:tc>
          <w:tcPr>
            <w:tcW w:w="1710" w:type="dxa"/>
            <w:tcBorders>
              <w:top w:val="single" w:color="auto" w:sz="4" w:space="0"/>
              <w:left w:val="nil"/>
              <w:bottom w:val="single" w:color="auto" w:sz="4" w:space="0"/>
              <w:right w:val="single" w:color="auto" w:sz="4" w:space="0"/>
            </w:tcBorders>
            <w:shd w:val="clear" w:color="auto" w:fill="auto"/>
            <w:vAlign w:val="center"/>
          </w:tcPr>
          <w:p w14:paraId="53DF6CB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近年完成的类似项目情况的时间要求</w:t>
            </w:r>
          </w:p>
        </w:tc>
        <w:tc>
          <w:tcPr>
            <w:tcW w:w="6777" w:type="dxa"/>
            <w:tcBorders>
              <w:top w:val="single" w:color="auto" w:sz="4" w:space="0"/>
              <w:left w:val="nil"/>
              <w:bottom w:val="single" w:color="auto" w:sz="4" w:space="0"/>
              <w:right w:val="single" w:color="auto" w:sz="4" w:space="0"/>
            </w:tcBorders>
            <w:shd w:val="clear" w:color="auto" w:fill="auto"/>
            <w:vAlign w:val="center"/>
          </w:tcPr>
          <w:p w14:paraId="559F8C8F">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自201</w:t>
            </w:r>
            <w:r>
              <w:rPr>
                <w:rFonts w:hint="default" w:ascii="宋体" w:hAnsi="宋体" w:eastAsia="宋体" w:cs="宋体"/>
                <w:color w:val="auto"/>
                <w:kern w:val="2"/>
                <w:sz w:val="21"/>
                <w:szCs w:val="21"/>
                <w:highlight w:val="none"/>
                <w:u w:val="single"/>
                <w:lang w:eastAsia="zh-CN" w:bidi="ar"/>
              </w:rPr>
              <w:t>8</w:t>
            </w:r>
            <w:r>
              <w:rPr>
                <w:rFonts w:hint="eastAsia" w:ascii="宋体" w:hAnsi="宋体" w:eastAsia="宋体" w:cs="宋体"/>
                <w:color w:val="auto"/>
                <w:kern w:val="2"/>
                <w:sz w:val="21"/>
                <w:szCs w:val="21"/>
                <w:highlight w:val="none"/>
                <w:u w:val="single"/>
                <w:lang w:val="en-US" w:eastAsia="zh-CN" w:bidi="ar"/>
              </w:rPr>
              <w:t>年1月1日至投标截止时间</w:t>
            </w:r>
            <w:r>
              <w:rPr>
                <w:rFonts w:hint="eastAsia" w:ascii="宋体" w:hAnsi="宋体" w:eastAsia="宋体" w:cs="宋体"/>
                <w:color w:val="auto"/>
                <w:kern w:val="2"/>
                <w:sz w:val="21"/>
                <w:szCs w:val="21"/>
                <w:highlight w:val="none"/>
                <w:lang w:val="en-US" w:eastAsia="zh-CN" w:bidi="ar"/>
              </w:rPr>
              <w:t>。</w:t>
            </w:r>
          </w:p>
        </w:tc>
      </w:tr>
      <w:tr w14:paraId="40AE6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22D95B5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3.5.5</w:t>
            </w:r>
          </w:p>
        </w:tc>
        <w:tc>
          <w:tcPr>
            <w:tcW w:w="1710" w:type="dxa"/>
            <w:tcBorders>
              <w:top w:val="single" w:color="auto" w:sz="4" w:space="0"/>
              <w:left w:val="nil"/>
              <w:bottom w:val="single" w:color="auto" w:sz="4" w:space="0"/>
              <w:right w:val="single" w:color="auto" w:sz="4" w:space="0"/>
            </w:tcBorders>
            <w:shd w:val="clear" w:color="auto" w:fill="auto"/>
            <w:vAlign w:val="center"/>
          </w:tcPr>
          <w:p w14:paraId="5E5C637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近年发生的诉讼及仲裁情况的时间要求</w:t>
            </w:r>
          </w:p>
        </w:tc>
        <w:tc>
          <w:tcPr>
            <w:tcW w:w="6777" w:type="dxa"/>
            <w:tcBorders>
              <w:top w:val="single" w:color="auto" w:sz="4" w:space="0"/>
              <w:left w:val="nil"/>
              <w:bottom w:val="single" w:color="auto" w:sz="4" w:space="0"/>
              <w:right w:val="single" w:color="auto" w:sz="4" w:space="0"/>
            </w:tcBorders>
            <w:shd w:val="clear" w:color="auto" w:fill="auto"/>
            <w:vAlign w:val="center"/>
          </w:tcPr>
          <w:p w14:paraId="7296BD7C">
            <w:pPr>
              <w:keepNext w:val="0"/>
              <w:keepLines w:val="0"/>
              <w:widowControl w:val="0"/>
              <w:suppressLineNumbers w:val="0"/>
              <w:spacing w:before="0" w:beforeAutospacing="0" w:after="0" w:afterAutospacing="0" w:line="288" w:lineRule="auto"/>
              <w:ind w:left="0" w:right="0" w:firstLine="105" w:firstLineChars="5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/年/月/日至/年/月/日</w:t>
            </w:r>
          </w:p>
        </w:tc>
      </w:tr>
      <w:tr w14:paraId="3CA7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469C4F0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3.6.1</w:t>
            </w:r>
          </w:p>
        </w:tc>
        <w:tc>
          <w:tcPr>
            <w:tcW w:w="1710" w:type="dxa"/>
            <w:tcBorders>
              <w:top w:val="single" w:color="auto" w:sz="4" w:space="0"/>
              <w:left w:val="nil"/>
              <w:bottom w:val="single" w:color="auto" w:sz="4" w:space="0"/>
              <w:right w:val="single" w:color="auto" w:sz="4" w:space="0"/>
            </w:tcBorders>
            <w:shd w:val="clear" w:color="auto" w:fill="auto"/>
            <w:vAlign w:val="center"/>
          </w:tcPr>
          <w:p w14:paraId="5BAA4AC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是否允许递交备选投标方案</w:t>
            </w:r>
          </w:p>
        </w:tc>
        <w:tc>
          <w:tcPr>
            <w:tcW w:w="6777" w:type="dxa"/>
            <w:tcBorders>
              <w:top w:val="single" w:color="auto" w:sz="4" w:space="0"/>
              <w:left w:val="nil"/>
              <w:bottom w:val="single" w:color="auto" w:sz="4" w:space="0"/>
              <w:right w:val="single" w:color="auto" w:sz="4" w:space="0"/>
            </w:tcBorders>
            <w:shd w:val="clear" w:color="auto" w:fill="auto"/>
            <w:vAlign w:val="center"/>
          </w:tcPr>
          <w:p w14:paraId="6D607192">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color w:val="auto"/>
                <w:kern w:val="0"/>
                <w:sz w:val="21"/>
                <w:szCs w:val="21"/>
                <w:highlight w:val="none"/>
              </w:rPr>
            </w:pPr>
            <w:r>
              <w:rPr>
                <w:rFonts w:hint="default" w:ascii="MS Mincho" w:hAnsi="MS Mincho" w:eastAsia="MS Mincho" w:cs="MS Mincho"/>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不允许</w:t>
            </w:r>
          </w:p>
          <w:p w14:paraId="5370956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□允许</w:t>
            </w:r>
          </w:p>
        </w:tc>
      </w:tr>
      <w:tr w14:paraId="173EC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5A25F42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3.7.3A（2）</w:t>
            </w:r>
          </w:p>
        </w:tc>
        <w:tc>
          <w:tcPr>
            <w:tcW w:w="1710" w:type="dxa"/>
            <w:tcBorders>
              <w:top w:val="single" w:color="auto" w:sz="4" w:space="0"/>
              <w:left w:val="nil"/>
              <w:bottom w:val="single" w:color="auto" w:sz="4" w:space="0"/>
              <w:right w:val="single" w:color="auto" w:sz="4" w:space="0"/>
            </w:tcBorders>
            <w:shd w:val="clear" w:color="auto" w:fill="auto"/>
            <w:vAlign w:val="center"/>
          </w:tcPr>
          <w:p w14:paraId="28BA905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投标文件副本份数及其他要求</w:t>
            </w:r>
          </w:p>
        </w:tc>
        <w:tc>
          <w:tcPr>
            <w:tcW w:w="6777" w:type="dxa"/>
            <w:tcBorders>
              <w:top w:val="single" w:color="auto" w:sz="4" w:space="0"/>
              <w:left w:val="nil"/>
              <w:bottom w:val="single" w:color="auto" w:sz="4" w:space="0"/>
              <w:right w:val="single" w:color="auto" w:sz="4" w:space="0"/>
            </w:tcBorders>
            <w:shd w:val="clear" w:color="auto" w:fill="auto"/>
            <w:vAlign w:val="center"/>
          </w:tcPr>
          <w:p w14:paraId="1ABC21B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tc>
      </w:tr>
      <w:tr w14:paraId="1EC6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7311D49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3.7.3A（3）</w:t>
            </w:r>
          </w:p>
        </w:tc>
        <w:tc>
          <w:tcPr>
            <w:tcW w:w="1710" w:type="dxa"/>
            <w:tcBorders>
              <w:top w:val="single" w:color="auto" w:sz="4" w:space="0"/>
              <w:left w:val="nil"/>
              <w:bottom w:val="single" w:color="auto" w:sz="4" w:space="0"/>
              <w:right w:val="single" w:color="auto" w:sz="4" w:space="0"/>
            </w:tcBorders>
            <w:shd w:val="clear" w:color="auto" w:fill="auto"/>
            <w:vAlign w:val="center"/>
          </w:tcPr>
          <w:p w14:paraId="70E2C95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投标文件是否需分册装订</w:t>
            </w:r>
          </w:p>
        </w:tc>
        <w:tc>
          <w:tcPr>
            <w:tcW w:w="6777" w:type="dxa"/>
            <w:tcBorders>
              <w:top w:val="single" w:color="auto" w:sz="4" w:space="0"/>
              <w:left w:val="nil"/>
              <w:bottom w:val="single" w:color="auto" w:sz="4" w:space="0"/>
              <w:right w:val="single" w:color="auto" w:sz="4" w:space="0"/>
            </w:tcBorders>
            <w:shd w:val="clear" w:color="auto" w:fill="auto"/>
            <w:vAlign w:val="center"/>
          </w:tcPr>
          <w:p w14:paraId="0081AAD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tc>
      </w:tr>
      <w:tr w14:paraId="6115F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553ECEE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3.7.3（B）</w:t>
            </w:r>
          </w:p>
        </w:tc>
        <w:tc>
          <w:tcPr>
            <w:tcW w:w="1710" w:type="dxa"/>
            <w:tcBorders>
              <w:top w:val="single" w:color="auto" w:sz="4" w:space="0"/>
              <w:left w:val="nil"/>
              <w:bottom w:val="single" w:color="auto" w:sz="4" w:space="0"/>
              <w:right w:val="single" w:color="auto" w:sz="4" w:space="0"/>
            </w:tcBorders>
            <w:shd w:val="clear" w:color="auto" w:fill="auto"/>
            <w:vAlign w:val="center"/>
          </w:tcPr>
          <w:p w14:paraId="06D3DCD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投标文件所附证书证件要求</w:t>
            </w:r>
          </w:p>
        </w:tc>
        <w:tc>
          <w:tcPr>
            <w:tcW w:w="6777" w:type="dxa"/>
            <w:tcBorders>
              <w:top w:val="single" w:color="auto" w:sz="4" w:space="0"/>
              <w:left w:val="nil"/>
              <w:bottom w:val="single" w:color="auto" w:sz="4" w:space="0"/>
              <w:right w:val="single" w:color="auto" w:sz="4" w:space="0"/>
            </w:tcBorders>
            <w:shd w:val="clear" w:color="auto" w:fill="auto"/>
            <w:vAlign w:val="center"/>
          </w:tcPr>
          <w:p w14:paraId="33787378">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证书证件需为清晰扫描件，并采用单位数字证书，按照招标文件要求在相应位置加盖电子印章。</w:t>
            </w:r>
          </w:p>
        </w:tc>
      </w:tr>
      <w:tr w14:paraId="0E050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5A4A88EE">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3.7.3（B）</w:t>
            </w:r>
          </w:p>
        </w:tc>
        <w:tc>
          <w:tcPr>
            <w:tcW w:w="1710" w:type="dxa"/>
            <w:tcBorders>
              <w:top w:val="single" w:color="auto" w:sz="4" w:space="0"/>
              <w:left w:val="nil"/>
              <w:bottom w:val="single" w:color="auto" w:sz="4" w:space="0"/>
              <w:right w:val="single" w:color="auto" w:sz="4" w:space="0"/>
            </w:tcBorders>
            <w:shd w:val="clear" w:color="auto" w:fill="auto"/>
            <w:vAlign w:val="center"/>
          </w:tcPr>
          <w:p w14:paraId="3FDB999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投标文件签字或盖章要求</w:t>
            </w:r>
          </w:p>
        </w:tc>
        <w:tc>
          <w:tcPr>
            <w:tcW w:w="6777" w:type="dxa"/>
            <w:tcBorders>
              <w:top w:val="single" w:color="auto" w:sz="4" w:space="0"/>
              <w:left w:val="nil"/>
              <w:bottom w:val="single" w:color="auto" w:sz="4" w:space="0"/>
              <w:right w:val="single" w:color="auto" w:sz="4" w:space="0"/>
            </w:tcBorders>
            <w:shd w:val="clear" w:color="auto" w:fill="auto"/>
            <w:vAlign w:val="center"/>
          </w:tcPr>
          <w:p w14:paraId="59A51660">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投标文件全部采用电子文档，投标文件所附证书证件均为扫描件，并采用单位数字证书，按招标文件要求在相应位置加盖电子印章。投标文件中需个人签字或盖章的，应加盖个人电子印章或在线下完成后扫描上传。具体操作详见广州交易集团有限公司（广州公共资源交易中心）网站《建设工程全流程电子化项目操作指南 》。</w:t>
            </w:r>
          </w:p>
        </w:tc>
      </w:tr>
      <w:tr w14:paraId="545F0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6C311AF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4.1.1（B）</w:t>
            </w:r>
          </w:p>
        </w:tc>
        <w:tc>
          <w:tcPr>
            <w:tcW w:w="1710" w:type="dxa"/>
            <w:tcBorders>
              <w:top w:val="single" w:color="auto" w:sz="4" w:space="0"/>
              <w:left w:val="nil"/>
              <w:bottom w:val="single" w:color="auto" w:sz="4" w:space="0"/>
              <w:right w:val="single" w:color="auto" w:sz="4" w:space="0"/>
            </w:tcBorders>
            <w:shd w:val="clear" w:color="auto" w:fill="auto"/>
            <w:vAlign w:val="center"/>
          </w:tcPr>
          <w:p w14:paraId="207E6C9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投标文件加密要求</w:t>
            </w:r>
          </w:p>
        </w:tc>
        <w:tc>
          <w:tcPr>
            <w:tcW w:w="6777" w:type="dxa"/>
            <w:tcBorders>
              <w:top w:val="single" w:color="auto" w:sz="4" w:space="0"/>
              <w:left w:val="nil"/>
              <w:bottom w:val="single" w:color="auto" w:sz="4" w:space="0"/>
              <w:right w:val="single" w:color="auto" w:sz="4" w:space="0"/>
            </w:tcBorders>
            <w:shd w:val="clear" w:color="auto" w:fill="auto"/>
            <w:vAlign w:val="center"/>
          </w:tcPr>
          <w:p w14:paraId="5B1FC2A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1.网上递交的电子投标文件须进行加密。具体操作详见《建设工程全流程电子化项目操作指南》。</w:t>
            </w:r>
          </w:p>
          <w:p w14:paraId="1FFE2A99">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2.未按要求加密的投标文件，招标人将予以拒收。</w:t>
            </w:r>
          </w:p>
        </w:tc>
      </w:tr>
      <w:tr w14:paraId="6948E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2336F98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4.1.2</w:t>
            </w:r>
          </w:p>
        </w:tc>
        <w:tc>
          <w:tcPr>
            <w:tcW w:w="1710" w:type="dxa"/>
            <w:tcBorders>
              <w:top w:val="single" w:color="auto" w:sz="4" w:space="0"/>
              <w:left w:val="nil"/>
              <w:bottom w:val="single" w:color="auto" w:sz="4" w:space="0"/>
              <w:right w:val="single" w:color="auto" w:sz="4" w:space="0"/>
            </w:tcBorders>
            <w:shd w:val="clear" w:color="auto" w:fill="auto"/>
            <w:vAlign w:val="center"/>
          </w:tcPr>
          <w:p w14:paraId="2588D6D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备用光盘</w:t>
            </w:r>
            <w:r>
              <w:rPr>
                <w:rFonts w:hint="eastAsia" w:ascii="宋体" w:hAnsi="宋体" w:eastAsia="宋体" w:cs="宋体"/>
                <w:b/>
                <w:bCs w:val="0"/>
                <w:color w:val="auto"/>
                <w:kern w:val="2"/>
                <w:sz w:val="21"/>
                <w:szCs w:val="21"/>
                <w:highlight w:val="none"/>
                <w:u w:val="single"/>
                <w:lang w:val="en-US" w:eastAsia="zh-CN" w:bidi="ar"/>
              </w:rPr>
              <w:t>或U盘</w:t>
            </w:r>
            <w:r>
              <w:rPr>
                <w:rFonts w:hint="eastAsia" w:ascii="宋体" w:hAnsi="宋体" w:eastAsia="宋体" w:cs="宋体"/>
                <w:b/>
                <w:bCs w:val="0"/>
                <w:color w:val="auto"/>
                <w:kern w:val="2"/>
                <w:sz w:val="21"/>
                <w:szCs w:val="21"/>
                <w:highlight w:val="none"/>
                <w:lang w:val="en-US" w:eastAsia="zh-CN" w:bidi="ar"/>
              </w:rPr>
              <w:t>封套上应载明的信息</w:t>
            </w:r>
          </w:p>
        </w:tc>
        <w:tc>
          <w:tcPr>
            <w:tcW w:w="6777" w:type="dxa"/>
            <w:tcBorders>
              <w:top w:val="single" w:color="auto" w:sz="4" w:space="0"/>
              <w:left w:val="nil"/>
              <w:bottom w:val="single" w:color="auto" w:sz="4" w:space="0"/>
              <w:right w:val="single" w:color="auto" w:sz="4" w:space="0"/>
            </w:tcBorders>
            <w:shd w:val="clear" w:color="auto" w:fill="auto"/>
            <w:vAlign w:val="center"/>
          </w:tcPr>
          <w:p w14:paraId="5A1C99F1">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0"/>
                <w:sz w:val="21"/>
                <w:szCs w:val="21"/>
                <w:highlight w:val="none"/>
                <w:u w:val="single"/>
                <w:lang w:val="en-US" w:eastAsia="zh-CN" w:bidi="ar"/>
              </w:rPr>
              <w:t>如有提交投标文件光盘或U盘备用，封套上应注明如下信息：</w:t>
            </w:r>
          </w:p>
          <w:p w14:paraId="01F42B11">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0"/>
                <w:sz w:val="21"/>
                <w:szCs w:val="21"/>
                <w:highlight w:val="none"/>
                <w:u w:val="single"/>
                <w:lang w:val="en-US" w:eastAsia="zh-CN" w:bidi="ar"/>
              </w:rPr>
              <w:t>招标人名称：广州市重点公共建设项目管理中心</w:t>
            </w:r>
          </w:p>
          <w:p w14:paraId="3F19DE8D">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0"/>
                <w:sz w:val="21"/>
                <w:szCs w:val="21"/>
                <w:highlight w:val="none"/>
                <w:u w:val="single"/>
                <w:lang w:val="en-US" w:eastAsia="zh-CN" w:bidi="ar"/>
              </w:rPr>
              <w:t>招标人地址：</w:t>
            </w:r>
            <w:r>
              <w:rPr>
                <w:rFonts w:hint="eastAsia" w:ascii="宋体" w:hAnsi="宋体" w:eastAsia="宋体" w:cs="宋体"/>
                <w:b/>
                <w:bCs w:val="0"/>
                <w:color w:val="auto"/>
                <w:kern w:val="2"/>
                <w:sz w:val="21"/>
                <w:szCs w:val="21"/>
                <w:highlight w:val="none"/>
                <w:u w:val="single"/>
                <w:lang w:val="en-US" w:eastAsia="zh-CN" w:bidi="ar"/>
              </w:rPr>
              <w:t>广州大学城内环东星运路1号</w:t>
            </w:r>
          </w:p>
          <w:p w14:paraId="461D326F">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2"/>
                <w:sz w:val="21"/>
                <w:szCs w:val="21"/>
                <w:highlight w:val="none"/>
                <w:u w:val="single"/>
                <w:lang w:val="en-US" w:eastAsia="zh-CN" w:bidi="ar"/>
              </w:rPr>
              <w:t>第十五届全运会广东奥林匹克体育中心升级改造项目、第十五届全运会广东省人民体育场改造项目体育工艺（设备类）采购及相关服务</w:t>
            </w:r>
            <w:r>
              <w:rPr>
                <w:rFonts w:hint="eastAsia" w:ascii="宋体" w:hAnsi="宋体" w:eastAsia="宋体" w:cs="宋体"/>
                <w:b/>
                <w:bCs w:val="0"/>
                <w:color w:val="auto"/>
                <w:kern w:val="0"/>
                <w:sz w:val="21"/>
                <w:szCs w:val="21"/>
                <w:highlight w:val="none"/>
                <w:u w:val="single"/>
                <w:lang w:val="en-US" w:eastAsia="zh-CN" w:bidi="ar"/>
              </w:rPr>
              <w:t>投标文件。</w:t>
            </w:r>
          </w:p>
          <w:p w14:paraId="66ADB9EB">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0"/>
                <w:sz w:val="21"/>
                <w:szCs w:val="21"/>
                <w:highlight w:val="none"/>
                <w:u w:val="single"/>
                <w:lang w:val="en-US" w:eastAsia="zh-CN" w:bidi="ar"/>
              </w:rPr>
              <w:t>招标项目编号：      。</w:t>
            </w:r>
          </w:p>
          <w:p w14:paraId="195FFAB2">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color w:val="auto"/>
                <w:kern w:val="0"/>
                <w:sz w:val="21"/>
                <w:szCs w:val="21"/>
                <w:highlight w:val="none"/>
              </w:rPr>
            </w:pPr>
            <w:r>
              <w:rPr>
                <w:rFonts w:hint="eastAsia" w:ascii="宋体" w:hAnsi="宋体" w:eastAsia="宋体" w:cs="宋体"/>
                <w:b/>
                <w:bCs w:val="0"/>
                <w:color w:val="auto"/>
                <w:kern w:val="0"/>
                <w:sz w:val="21"/>
                <w:szCs w:val="21"/>
                <w:highlight w:val="none"/>
                <w:u w:val="single"/>
                <w:lang w:val="en-US" w:eastAsia="zh-CN" w:bidi="ar"/>
              </w:rPr>
              <w:t>在      年    月    日    时前不得开启</w:t>
            </w:r>
          </w:p>
        </w:tc>
      </w:tr>
      <w:tr w14:paraId="09C95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2DA0413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4.2.1</w:t>
            </w:r>
          </w:p>
        </w:tc>
        <w:tc>
          <w:tcPr>
            <w:tcW w:w="1710" w:type="dxa"/>
            <w:tcBorders>
              <w:top w:val="single" w:color="auto" w:sz="4" w:space="0"/>
              <w:left w:val="nil"/>
              <w:bottom w:val="single" w:color="auto" w:sz="4" w:space="0"/>
              <w:right w:val="single" w:color="auto" w:sz="4" w:space="0"/>
            </w:tcBorders>
            <w:shd w:val="clear" w:color="auto" w:fill="auto"/>
            <w:vAlign w:val="center"/>
          </w:tcPr>
          <w:p w14:paraId="246C7F3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投标截止时间</w:t>
            </w:r>
          </w:p>
        </w:tc>
        <w:tc>
          <w:tcPr>
            <w:tcW w:w="6777" w:type="dxa"/>
            <w:tcBorders>
              <w:top w:val="single" w:color="auto" w:sz="4" w:space="0"/>
              <w:left w:val="nil"/>
              <w:bottom w:val="single" w:color="auto" w:sz="4" w:space="0"/>
              <w:right w:val="single" w:color="auto" w:sz="4" w:space="0"/>
            </w:tcBorders>
            <w:shd w:val="clear" w:color="auto" w:fill="auto"/>
            <w:vAlign w:val="center"/>
          </w:tcPr>
          <w:p w14:paraId="4D581C3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投标截止时间：    年   月    日   时   分（北京时间）</w:t>
            </w:r>
          </w:p>
        </w:tc>
      </w:tr>
      <w:tr w14:paraId="4EDD0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6028C807">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4.2.2</w:t>
            </w:r>
          </w:p>
        </w:tc>
        <w:tc>
          <w:tcPr>
            <w:tcW w:w="1710" w:type="dxa"/>
            <w:tcBorders>
              <w:top w:val="single" w:color="auto" w:sz="4" w:space="0"/>
              <w:left w:val="nil"/>
              <w:bottom w:val="single" w:color="auto" w:sz="4" w:space="0"/>
              <w:right w:val="single" w:color="auto" w:sz="4" w:space="0"/>
            </w:tcBorders>
            <w:shd w:val="clear" w:color="auto" w:fill="auto"/>
            <w:vAlign w:val="center"/>
          </w:tcPr>
          <w:p w14:paraId="34238B78">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递交投标文件地点</w:t>
            </w:r>
          </w:p>
        </w:tc>
        <w:tc>
          <w:tcPr>
            <w:tcW w:w="6777" w:type="dxa"/>
            <w:tcBorders>
              <w:top w:val="single" w:color="auto" w:sz="4" w:space="0"/>
              <w:left w:val="nil"/>
              <w:bottom w:val="single" w:color="auto" w:sz="4" w:space="0"/>
              <w:right w:val="single" w:color="auto" w:sz="4" w:space="0"/>
            </w:tcBorders>
            <w:shd w:val="clear" w:color="auto" w:fill="auto"/>
            <w:vAlign w:val="center"/>
          </w:tcPr>
          <w:p w14:paraId="3E20F56D">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递交投标文件开始时间：   年  月  日  时  分；</w:t>
            </w:r>
          </w:p>
          <w:p w14:paraId="6C8CBCF3">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递交投标文件截止时间：   年  月  日  时  分；</w:t>
            </w:r>
          </w:p>
          <w:p w14:paraId="239DBE94">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b/>
                <w:bCs w:val="0"/>
                <w:color w:val="auto"/>
                <w:kern w:val="2"/>
                <w:sz w:val="21"/>
                <w:szCs w:val="21"/>
                <w:highlight w:val="none"/>
                <w:u w:val="single"/>
              </w:rPr>
            </w:pPr>
            <w:r>
              <w:rPr>
                <w:rFonts w:hint="eastAsia" w:ascii="宋体" w:hAnsi="宋体" w:eastAsia="宋体" w:cs="宋体"/>
                <w:b/>
                <w:bCs w:val="0"/>
                <w:color w:val="auto"/>
                <w:kern w:val="2"/>
                <w:sz w:val="21"/>
                <w:szCs w:val="21"/>
                <w:highlight w:val="none"/>
                <w:u w:val="single"/>
                <w:lang w:val="en-US" w:eastAsia="zh-CN" w:bidi="ar"/>
              </w:rPr>
              <w:t>投标人应在投标文件递交截止时间前通过广州交易集团有限公司（广州公共资源交易中心）电子招标投标交易平台递交电子投标文件。</w:t>
            </w:r>
          </w:p>
          <w:p w14:paraId="55176300">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本项目日程安排及地点信息可在广州交易集团有限公司（广州公共资源交易中心）网站进行查询。</w:t>
            </w:r>
          </w:p>
        </w:tc>
      </w:tr>
      <w:tr w14:paraId="6FDEC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09F5181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4.2.3</w:t>
            </w:r>
          </w:p>
        </w:tc>
        <w:tc>
          <w:tcPr>
            <w:tcW w:w="1710" w:type="dxa"/>
            <w:tcBorders>
              <w:top w:val="single" w:color="auto" w:sz="4" w:space="0"/>
              <w:left w:val="nil"/>
              <w:bottom w:val="single" w:color="auto" w:sz="4" w:space="0"/>
              <w:right w:val="single" w:color="auto" w:sz="4" w:space="0"/>
            </w:tcBorders>
            <w:shd w:val="clear" w:color="auto" w:fill="auto"/>
            <w:vAlign w:val="center"/>
          </w:tcPr>
          <w:p w14:paraId="5F5A6FE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投标文件是否退还</w:t>
            </w:r>
          </w:p>
        </w:tc>
        <w:tc>
          <w:tcPr>
            <w:tcW w:w="6777" w:type="dxa"/>
            <w:tcBorders>
              <w:top w:val="single" w:color="auto" w:sz="4" w:space="0"/>
              <w:left w:val="nil"/>
              <w:bottom w:val="single" w:color="auto" w:sz="4" w:space="0"/>
              <w:right w:val="single" w:color="auto" w:sz="4" w:space="0"/>
            </w:tcBorders>
            <w:shd w:val="clear" w:color="auto" w:fill="auto"/>
            <w:vAlign w:val="center"/>
          </w:tcPr>
          <w:p w14:paraId="68E19328">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color w:val="auto"/>
                <w:kern w:val="0"/>
                <w:sz w:val="21"/>
                <w:szCs w:val="21"/>
                <w:highlight w:val="none"/>
              </w:rPr>
            </w:pPr>
            <w:r>
              <w:rPr>
                <w:rFonts w:hint="default" w:ascii="MS Mincho" w:hAnsi="MS Mincho" w:eastAsia="MS Mincho" w:cs="MS Mincho"/>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否</w:t>
            </w:r>
          </w:p>
          <w:p w14:paraId="05447F25">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□是，退还时间：</w:t>
            </w:r>
          </w:p>
        </w:tc>
      </w:tr>
      <w:tr w14:paraId="52FA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nil"/>
              <w:right w:val="single" w:color="auto" w:sz="4" w:space="0"/>
            </w:tcBorders>
            <w:shd w:val="clear" w:color="auto" w:fill="auto"/>
            <w:vAlign w:val="center"/>
          </w:tcPr>
          <w:p w14:paraId="3C3C0F8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5.1（A）</w:t>
            </w:r>
          </w:p>
        </w:tc>
        <w:tc>
          <w:tcPr>
            <w:tcW w:w="1710" w:type="dxa"/>
            <w:tcBorders>
              <w:top w:val="single" w:color="auto" w:sz="4" w:space="0"/>
              <w:left w:val="nil"/>
              <w:bottom w:val="nil"/>
              <w:right w:val="single" w:color="auto" w:sz="4" w:space="0"/>
            </w:tcBorders>
            <w:shd w:val="clear" w:color="auto" w:fill="auto"/>
            <w:vAlign w:val="center"/>
          </w:tcPr>
          <w:p w14:paraId="4C465E4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开标时间和地点</w:t>
            </w:r>
          </w:p>
        </w:tc>
        <w:tc>
          <w:tcPr>
            <w:tcW w:w="6777" w:type="dxa"/>
            <w:tcBorders>
              <w:top w:val="single" w:color="auto" w:sz="4" w:space="0"/>
              <w:left w:val="nil"/>
              <w:bottom w:val="nil"/>
              <w:right w:val="single" w:color="auto" w:sz="4" w:space="0"/>
            </w:tcBorders>
            <w:shd w:val="clear" w:color="auto" w:fill="auto"/>
            <w:vAlign w:val="center"/>
          </w:tcPr>
          <w:p w14:paraId="22FF3F1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tc>
      </w:tr>
      <w:tr w14:paraId="5D5FD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jc w:val="center"/>
        </w:trPr>
        <w:tc>
          <w:tcPr>
            <w:tcW w:w="1148" w:type="dxa"/>
            <w:tcBorders>
              <w:top w:val="single" w:color="auto" w:sz="4" w:space="0"/>
              <w:left w:val="single" w:color="auto" w:sz="4" w:space="0"/>
              <w:bottom w:val="nil"/>
              <w:right w:val="single" w:color="auto" w:sz="4" w:space="0"/>
            </w:tcBorders>
            <w:shd w:val="clear" w:color="auto" w:fill="auto"/>
            <w:vAlign w:val="center"/>
          </w:tcPr>
          <w:p w14:paraId="4C45A2F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5.1（B）（新增）</w:t>
            </w:r>
          </w:p>
        </w:tc>
        <w:tc>
          <w:tcPr>
            <w:tcW w:w="1710" w:type="dxa"/>
            <w:tcBorders>
              <w:top w:val="single" w:color="auto" w:sz="4" w:space="0"/>
              <w:left w:val="nil"/>
              <w:bottom w:val="nil"/>
              <w:right w:val="single" w:color="auto" w:sz="4" w:space="0"/>
            </w:tcBorders>
            <w:shd w:val="clear" w:color="auto" w:fill="auto"/>
            <w:vAlign w:val="center"/>
          </w:tcPr>
          <w:p w14:paraId="062E5F1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开标时间和地点</w:t>
            </w:r>
          </w:p>
        </w:tc>
        <w:tc>
          <w:tcPr>
            <w:tcW w:w="6777" w:type="dxa"/>
            <w:tcBorders>
              <w:top w:val="single" w:color="auto" w:sz="4" w:space="0"/>
              <w:left w:val="nil"/>
              <w:bottom w:val="nil"/>
              <w:right w:val="single" w:color="auto" w:sz="4" w:space="0"/>
            </w:tcBorders>
            <w:shd w:val="clear" w:color="auto" w:fill="auto"/>
            <w:vAlign w:val="center"/>
          </w:tcPr>
          <w:p w14:paraId="3E7D8A5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开标时间：同投标截止时间</w:t>
            </w:r>
          </w:p>
          <w:p w14:paraId="6B1B50C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开标地点：广州公共资源交易中心</w:t>
            </w:r>
          </w:p>
          <w:p w14:paraId="6C50B000">
            <w:pPr>
              <w:keepNext w:val="0"/>
              <w:keepLines w:val="0"/>
              <w:widowControl w:val="0"/>
              <w:suppressLineNumbers w:val="0"/>
              <w:spacing w:before="0" w:beforeAutospacing="0" w:after="0" w:afterAutospacing="0" w:line="288" w:lineRule="auto"/>
              <w:ind w:left="0" w:right="0" w:firstLine="420" w:firstLineChars="200"/>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本电子招投标项目在本章4.2.1项规定的投标截止时间（开标时间），在广州交易集团有限公司（广州公共资源交易中心）公开开标，并邀请所有投标人的法定代表人或其委托代理人准时参加。投标人也可选择参加在线开标，具体按照交易平台相关指南进行操作。详见：广州交易集团有限公司（广州公共资源交易中心）网站。</w:t>
            </w:r>
          </w:p>
          <w:p w14:paraId="5BBE8789">
            <w:pPr>
              <w:keepNext w:val="0"/>
              <w:keepLines w:val="0"/>
              <w:widowControl w:val="0"/>
              <w:suppressLineNumbers w:val="0"/>
              <w:spacing w:before="0" w:beforeAutospacing="0" w:after="0" w:afterAutospacing="0" w:line="288" w:lineRule="auto"/>
              <w:ind w:left="0" w:right="0" w:firstLine="422" w:firstLineChars="200"/>
              <w:jc w:val="left"/>
              <w:rPr>
                <w:rFonts w:hint="eastAsia" w:ascii="宋体" w:hAnsi="宋体" w:eastAsia="宋体" w:cs="宋体"/>
                <w:color w:val="auto"/>
                <w:kern w:val="2"/>
                <w:sz w:val="21"/>
                <w:szCs w:val="21"/>
                <w:highlight w:val="none"/>
                <w:u w:val="single"/>
              </w:rPr>
            </w:pPr>
            <w:r>
              <w:rPr>
                <w:rFonts w:hint="eastAsia" w:ascii="宋体" w:hAnsi="宋体" w:eastAsia="宋体" w:cs="宋体"/>
                <w:b/>
                <w:bCs w:val="0"/>
                <w:color w:val="auto"/>
                <w:kern w:val="2"/>
                <w:sz w:val="21"/>
                <w:szCs w:val="21"/>
                <w:highlight w:val="none"/>
                <w:u w:val="single"/>
                <w:lang w:val="en-US" w:eastAsia="zh-CN" w:bidi="ar"/>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tc>
      </w:tr>
      <w:tr w14:paraId="28FE2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 w:hRule="atLeast"/>
          <w:jc w:val="center"/>
        </w:trPr>
        <w:tc>
          <w:tcPr>
            <w:tcW w:w="1148" w:type="dxa"/>
            <w:tcBorders>
              <w:top w:val="single" w:color="auto" w:sz="4" w:space="0"/>
              <w:left w:val="single" w:color="auto" w:sz="4" w:space="0"/>
              <w:bottom w:val="nil"/>
              <w:right w:val="single" w:color="auto" w:sz="4" w:space="0"/>
            </w:tcBorders>
            <w:shd w:val="clear" w:color="auto" w:fill="auto"/>
            <w:vAlign w:val="center"/>
          </w:tcPr>
          <w:p w14:paraId="2951FF9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5.2（4）（A）</w:t>
            </w:r>
          </w:p>
        </w:tc>
        <w:tc>
          <w:tcPr>
            <w:tcW w:w="1710" w:type="dxa"/>
            <w:tcBorders>
              <w:top w:val="single" w:color="auto" w:sz="4" w:space="0"/>
              <w:left w:val="nil"/>
              <w:bottom w:val="nil"/>
              <w:right w:val="single" w:color="auto" w:sz="4" w:space="0"/>
            </w:tcBorders>
            <w:shd w:val="clear" w:color="auto" w:fill="auto"/>
            <w:vAlign w:val="center"/>
          </w:tcPr>
          <w:p w14:paraId="1FC4BEE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开标程序</w:t>
            </w:r>
          </w:p>
        </w:tc>
        <w:tc>
          <w:tcPr>
            <w:tcW w:w="6777" w:type="dxa"/>
            <w:tcBorders>
              <w:top w:val="single" w:color="auto" w:sz="4" w:space="0"/>
              <w:left w:val="nil"/>
              <w:bottom w:val="nil"/>
              <w:right w:val="single" w:color="auto" w:sz="4" w:space="0"/>
            </w:tcBorders>
            <w:shd w:val="clear" w:color="auto" w:fill="auto"/>
            <w:vAlign w:val="center"/>
          </w:tcPr>
          <w:p w14:paraId="14B3139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开标顺序：</w:t>
            </w:r>
            <w:r>
              <w:rPr>
                <w:rFonts w:hint="eastAsia" w:ascii="宋体" w:hAnsi="宋体" w:eastAsia="宋体" w:cs="宋体"/>
                <w:color w:val="auto"/>
                <w:kern w:val="2"/>
                <w:sz w:val="21"/>
                <w:szCs w:val="21"/>
                <w:highlight w:val="none"/>
                <w:u w:val="single"/>
                <w:lang w:val="en-US" w:eastAsia="zh-CN" w:bidi="ar"/>
              </w:rPr>
              <w:t>/</w:t>
            </w:r>
          </w:p>
        </w:tc>
      </w:tr>
      <w:tr w14:paraId="10B49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jc w:val="center"/>
        </w:trPr>
        <w:tc>
          <w:tcPr>
            <w:tcW w:w="1148" w:type="dxa"/>
            <w:tcBorders>
              <w:top w:val="single" w:color="auto" w:sz="4" w:space="0"/>
              <w:left w:val="single" w:color="auto" w:sz="4" w:space="0"/>
              <w:bottom w:val="nil"/>
              <w:right w:val="single" w:color="auto" w:sz="4" w:space="0"/>
            </w:tcBorders>
            <w:shd w:val="clear" w:color="auto" w:fill="auto"/>
            <w:vAlign w:val="center"/>
          </w:tcPr>
          <w:p w14:paraId="121966D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5.2（B）(新增)</w:t>
            </w:r>
          </w:p>
        </w:tc>
        <w:tc>
          <w:tcPr>
            <w:tcW w:w="1710" w:type="dxa"/>
            <w:tcBorders>
              <w:top w:val="single" w:color="auto" w:sz="4" w:space="0"/>
              <w:left w:val="nil"/>
              <w:bottom w:val="nil"/>
              <w:right w:val="single" w:color="auto" w:sz="4" w:space="0"/>
            </w:tcBorders>
            <w:shd w:val="clear" w:color="auto" w:fill="auto"/>
            <w:vAlign w:val="center"/>
          </w:tcPr>
          <w:p w14:paraId="7F12E2A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开标程序</w:t>
            </w:r>
          </w:p>
        </w:tc>
        <w:tc>
          <w:tcPr>
            <w:tcW w:w="6777" w:type="dxa"/>
            <w:tcBorders>
              <w:top w:val="single" w:color="auto" w:sz="4" w:space="0"/>
              <w:left w:val="nil"/>
              <w:bottom w:val="nil"/>
              <w:right w:val="single" w:color="auto" w:sz="4" w:space="0"/>
            </w:tcBorders>
            <w:shd w:val="clear" w:color="auto" w:fill="auto"/>
            <w:vAlign w:val="center"/>
          </w:tcPr>
          <w:p w14:paraId="5C081F5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开标程序调整如下：</w:t>
            </w:r>
          </w:p>
          <w:p w14:paraId="3497FB5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5.2.1主持人按下列程序进行开标：</w:t>
            </w:r>
          </w:p>
          <w:p w14:paraId="72F828FF">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（1）宣布开标纪律；</w:t>
            </w:r>
          </w:p>
          <w:p w14:paraId="7BC71ED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（2）公布在投标截止时间前递交投标文件的投标人名称；</w:t>
            </w:r>
          </w:p>
          <w:p w14:paraId="04629DF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（3）宣布开标人、唱标人、记录人、监标人等有关人员姓名；</w:t>
            </w:r>
          </w:p>
          <w:p w14:paraId="54DF0AA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（4）（B）投标人通过电子招标投标交易平台对已递交的电子投标文件进行解密，招标人或招标代理公布招标项目名称、投标人名称、投标报价及其他内容，并记录在案；</w:t>
            </w:r>
          </w:p>
          <w:p w14:paraId="044EB70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（5）（B）投标人代表、招标人代表、监标人、记录人等有关人员在开标记录上签字确认；若有关人员不签字的，不影响开标程序；</w:t>
            </w:r>
          </w:p>
          <w:p w14:paraId="7BA07DF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（6）开标结束。</w:t>
            </w:r>
          </w:p>
          <w:p w14:paraId="5C46146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5.2.2投标截止时间前未完成投标文件传输的或因投标人之外的原因造成投标文件未解密的，视为投标人撤回其投标文件。</w:t>
            </w:r>
            <w:r>
              <w:rPr>
                <w:rFonts w:hint="eastAsia" w:ascii="宋体" w:hAnsi="宋体" w:eastAsia="宋体" w:cs="宋体"/>
                <w:color w:val="auto"/>
                <w:kern w:val="0"/>
                <w:sz w:val="21"/>
                <w:szCs w:val="21"/>
                <w:highlight w:val="none"/>
                <w:lang w:val="en-US" w:eastAsia="zh-CN" w:bidi="ar"/>
              </w:rPr>
              <w:t>因投标人原因造成投标文件未解密的，或未在投标截止时间后半小时内解密的且未提交光盘</w:t>
            </w:r>
            <w:r>
              <w:rPr>
                <w:rFonts w:hint="eastAsia" w:ascii="宋体" w:hAnsi="宋体" w:eastAsia="宋体" w:cs="宋体"/>
                <w:color w:val="auto"/>
                <w:kern w:val="2"/>
                <w:sz w:val="21"/>
                <w:szCs w:val="21"/>
                <w:highlight w:val="none"/>
                <w:u w:val="single"/>
                <w:lang w:val="en-US" w:eastAsia="zh-CN" w:bidi="ar"/>
              </w:rPr>
              <w:t>或U盘</w:t>
            </w:r>
            <w:r>
              <w:rPr>
                <w:rFonts w:hint="eastAsia" w:ascii="宋体" w:hAnsi="宋体" w:eastAsia="宋体" w:cs="宋体"/>
                <w:color w:val="auto"/>
                <w:kern w:val="0"/>
                <w:sz w:val="21"/>
                <w:szCs w:val="21"/>
                <w:highlight w:val="none"/>
                <w:lang w:val="en-US" w:eastAsia="zh-CN" w:bidi="ar"/>
              </w:rPr>
              <w:t>备用的，视为撤销其投标文件。</w:t>
            </w:r>
          </w:p>
          <w:p w14:paraId="74DF459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5.2.3开标时，两个（含两个）以上的投标人加密打包投标文件的电脑机器特征码一致的，不参与下一程序，并由评标委员会否决其投标。</w:t>
            </w:r>
          </w:p>
        </w:tc>
      </w:tr>
      <w:tr w14:paraId="1D46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0F316C6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6.1.1</w:t>
            </w:r>
          </w:p>
        </w:tc>
        <w:tc>
          <w:tcPr>
            <w:tcW w:w="1710" w:type="dxa"/>
            <w:tcBorders>
              <w:top w:val="single" w:color="auto" w:sz="4" w:space="0"/>
              <w:left w:val="nil"/>
              <w:bottom w:val="single" w:color="auto" w:sz="4" w:space="0"/>
              <w:right w:val="single" w:color="auto" w:sz="4" w:space="0"/>
            </w:tcBorders>
            <w:shd w:val="clear" w:color="auto" w:fill="auto"/>
            <w:vAlign w:val="center"/>
          </w:tcPr>
          <w:p w14:paraId="54C56D1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评标委员会的组建</w:t>
            </w:r>
          </w:p>
        </w:tc>
        <w:tc>
          <w:tcPr>
            <w:tcW w:w="6777" w:type="dxa"/>
            <w:tcBorders>
              <w:top w:val="single" w:color="auto" w:sz="4" w:space="0"/>
              <w:left w:val="nil"/>
              <w:bottom w:val="single" w:color="auto" w:sz="4" w:space="0"/>
              <w:right w:val="single" w:color="auto" w:sz="4" w:space="0"/>
            </w:tcBorders>
            <w:shd w:val="clear" w:color="auto" w:fill="auto"/>
            <w:vAlign w:val="center"/>
          </w:tcPr>
          <w:p w14:paraId="5F63612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评标委员会由招标人依法组建</w:t>
            </w:r>
            <w:r>
              <w:rPr>
                <w:rFonts w:hint="eastAsia" w:ascii="宋体" w:hAnsi="宋体" w:eastAsia="宋体" w:cs="宋体"/>
                <w:color w:val="auto"/>
                <w:kern w:val="2"/>
                <w:sz w:val="21"/>
                <w:szCs w:val="21"/>
                <w:highlight w:val="none"/>
                <w:lang w:val="en-US" w:eastAsia="zh-CN" w:bidi="ar"/>
              </w:rPr>
              <w:t>。</w:t>
            </w:r>
          </w:p>
        </w:tc>
      </w:tr>
      <w:tr w14:paraId="47152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6CFFA551">
            <w:pPr>
              <w:pStyle w:val="13"/>
              <w:widowControl/>
              <w:kinsoku w:val="0"/>
              <w:overflowPunct w:val="0"/>
              <w:spacing w:line="288"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6.3.2</w:t>
            </w:r>
          </w:p>
        </w:tc>
        <w:tc>
          <w:tcPr>
            <w:tcW w:w="1710" w:type="dxa"/>
            <w:tcBorders>
              <w:top w:val="single" w:color="auto" w:sz="4" w:space="0"/>
              <w:left w:val="nil"/>
              <w:bottom w:val="single" w:color="auto" w:sz="4" w:space="0"/>
              <w:right w:val="single" w:color="auto" w:sz="4" w:space="0"/>
            </w:tcBorders>
            <w:shd w:val="clear" w:color="auto" w:fill="auto"/>
            <w:vAlign w:val="center"/>
          </w:tcPr>
          <w:p w14:paraId="024001EE">
            <w:pPr>
              <w:pStyle w:val="13"/>
              <w:widowControl/>
              <w:kinsoku w:val="0"/>
              <w:overflowPunct w:val="0"/>
              <w:spacing w:line="288"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评标委员会推荐中标候选人的人数</w:t>
            </w:r>
          </w:p>
        </w:tc>
        <w:tc>
          <w:tcPr>
            <w:tcW w:w="6777" w:type="dxa"/>
            <w:tcBorders>
              <w:top w:val="single" w:color="auto" w:sz="4" w:space="0"/>
              <w:left w:val="nil"/>
              <w:bottom w:val="single" w:color="auto" w:sz="4" w:space="0"/>
              <w:right w:val="single" w:color="auto" w:sz="4" w:space="0"/>
            </w:tcBorders>
            <w:shd w:val="clear" w:color="auto" w:fill="auto"/>
            <w:vAlign w:val="center"/>
          </w:tcPr>
          <w:p w14:paraId="3A4DF4DB">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推荐中标候选人3人</w:t>
            </w:r>
          </w:p>
        </w:tc>
      </w:tr>
      <w:tr w14:paraId="53313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7E03632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7.1</w:t>
            </w:r>
          </w:p>
        </w:tc>
        <w:tc>
          <w:tcPr>
            <w:tcW w:w="1710" w:type="dxa"/>
            <w:tcBorders>
              <w:top w:val="single" w:color="auto" w:sz="4" w:space="0"/>
              <w:left w:val="nil"/>
              <w:bottom w:val="single" w:color="auto" w:sz="4" w:space="0"/>
              <w:right w:val="single" w:color="auto" w:sz="4" w:space="0"/>
            </w:tcBorders>
            <w:shd w:val="clear" w:color="auto" w:fill="auto"/>
            <w:vAlign w:val="center"/>
          </w:tcPr>
          <w:p w14:paraId="1CB2B3A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中标候选人公示媒介及期限</w:t>
            </w:r>
          </w:p>
        </w:tc>
        <w:tc>
          <w:tcPr>
            <w:tcW w:w="6777" w:type="dxa"/>
            <w:tcBorders>
              <w:top w:val="single" w:color="auto" w:sz="4" w:space="0"/>
              <w:left w:val="nil"/>
              <w:bottom w:val="single" w:color="auto" w:sz="4" w:space="0"/>
              <w:right w:val="single" w:color="auto" w:sz="4" w:space="0"/>
            </w:tcBorders>
            <w:shd w:val="clear" w:color="auto" w:fill="auto"/>
            <w:vAlign w:val="center"/>
          </w:tcPr>
          <w:p w14:paraId="13AA18E6">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公示媒介：</w:t>
            </w:r>
            <w:r>
              <w:rPr>
                <w:rFonts w:hint="eastAsia" w:ascii="宋体" w:hAnsi="宋体" w:eastAsia="宋体" w:cs="宋体"/>
                <w:color w:val="auto"/>
                <w:kern w:val="2"/>
                <w:sz w:val="21"/>
                <w:szCs w:val="21"/>
                <w:highlight w:val="none"/>
                <w:u w:val="single"/>
                <w:lang w:val="en-US" w:eastAsia="zh-CN" w:bidi="ar"/>
              </w:rPr>
              <w:t xml:space="preserve"> 广州交易集团有限公司（广州公共资源交易中心）网站、广东省招标投标监管网、中国招标投标公共服务平台。</w:t>
            </w:r>
          </w:p>
          <w:p w14:paraId="6A211011">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公示期限：3日（最后一天为工作日）</w:t>
            </w:r>
            <w:r>
              <w:rPr>
                <w:rFonts w:hint="eastAsia" w:ascii="宋体" w:hAnsi="宋体" w:eastAsia="宋体" w:cs="宋体"/>
                <w:color w:val="auto"/>
                <w:kern w:val="2"/>
                <w:sz w:val="21"/>
                <w:szCs w:val="21"/>
                <w:highlight w:val="none"/>
                <w:u w:val="single"/>
                <w:lang w:val="en-US" w:eastAsia="zh-CN" w:bidi="ar"/>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11AA2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59ED3BD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7.4</w:t>
            </w:r>
          </w:p>
        </w:tc>
        <w:tc>
          <w:tcPr>
            <w:tcW w:w="1710" w:type="dxa"/>
            <w:tcBorders>
              <w:top w:val="single" w:color="auto" w:sz="4" w:space="0"/>
              <w:left w:val="nil"/>
              <w:bottom w:val="single" w:color="auto" w:sz="4" w:space="0"/>
              <w:right w:val="single" w:color="auto" w:sz="4" w:space="0"/>
            </w:tcBorders>
            <w:shd w:val="clear" w:color="auto" w:fill="auto"/>
            <w:vAlign w:val="center"/>
          </w:tcPr>
          <w:p w14:paraId="27B929C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是否授权评标委员会确定中标人</w:t>
            </w:r>
          </w:p>
        </w:tc>
        <w:tc>
          <w:tcPr>
            <w:tcW w:w="6777" w:type="dxa"/>
            <w:tcBorders>
              <w:top w:val="single" w:color="auto" w:sz="4" w:space="0"/>
              <w:left w:val="nil"/>
              <w:bottom w:val="single" w:color="auto" w:sz="4" w:space="0"/>
              <w:right w:val="single" w:color="auto" w:sz="4" w:space="0"/>
            </w:tcBorders>
            <w:shd w:val="clear" w:color="auto" w:fill="auto"/>
            <w:vAlign w:val="center"/>
          </w:tcPr>
          <w:p w14:paraId="4E793F2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□是</w:t>
            </w:r>
          </w:p>
          <w:p w14:paraId="6260C30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default" w:ascii="MS Mincho" w:hAnsi="MS Mincho" w:eastAsia="MS Mincho" w:cs="MS Mincho"/>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否</w:t>
            </w:r>
          </w:p>
        </w:tc>
      </w:tr>
      <w:tr w14:paraId="79ED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5E6A8D5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7.6.1</w:t>
            </w:r>
          </w:p>
        </w:tc>
        <w:tc>
          <w:tcPr>
            <w:tcW w:w="1710" w:type="dxa"/>
            <w:tcBorders>
              <w:top w:val="single" w:color="auto" w:sz="4" w:space="0"/>
              <w:left w:val="nil"/>
              <w:bottom w:val="single" w:color="auto" w:sz="4" w:space="0"/>
              <w:right w:val="single" w:color="auto" w:sz="4" w:space="0"/>
            </w:tcBorders>
            <w:shd w:val="clear" w:color="auto" w:fill="auto"/>
            <w:vAlign w:val="center"/>
          </w:tcPr>
          <w:p w14:paraId="59022DC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履约</w:t>
            </w:r>
            <w:r>
              <w:rPr>
                <w:rFonts w:hint="default" w:ascii="宋体" w:hAnsi="宋体" w:eastAsia="宋体" w:cs="宋体"/>
                <w:color w:val="auto"/>
                <w:kern w:val="2"/>
                <w:sz w:val="21"/>
                <w:szCs w:val="21"/>
                <w:highlight w:val="none"/>
                <w:lang w:eastAsia="zh-CN" w:bidi="ar"/>
              </w:rPr>
              <w:t>担保</w:t>
            </w:r>
          </w:p>
        </w:tc>
        <w:tc>
          <w:tcPr>
            <w:tcW w:w="6777" w:type="dxa"/>
            <w:tcBorders>
              <w:top w:val="single" w:color="auto" w:sz="4" w:space="0"/>
              <w:left w:val="nil"/>
              <w:bottom w:val="single" w:color="auto" w:sz="4" w:space="0"/>
              <w:right w:val="single" w:color="auto" w:sz="4" w:space="0"/>
            </w:tcBorders>
            <w:shd w:val="clear" w:color="auto" w:fill="auto"/>
            <w:vAlign w:val="center"/>
          </w:tcPr>
          <w:p w14:paraId="0BE2CABE">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是否要求中标人提交</w:t>
            </w:r>
            <w:r>
              <w:rPr>
                <w:rFonts w:hint="eastAsia" w:ascii="宋体" w:hAnsi="宋体" w:eastAsia="宋体" w:cs="宋体"/>
                <w:color w:val="auto"/>
                <w:kern w:val="2"/>
                <w:sz w:val="21"/>
                <w:szCs w:val="21"/>
                <w:highlight w:val="none"/>
                <w:lang w:val="en-US" w:eastAsia="zh-CN" w:bidi="ar"/>
              </w:rPr>
              <w:t>履约</w:t>
            </w:r>
            <w:r>
              <w:rPr>
                <w:rFonts w:hint="default" w:ascii="宋体" w:hAnsi="宋体" w:eastAsia="宋体" w:cs="宋体"/>
                <w:color w:val="auto"/>
                <w:kern w:val="2"/>
                <w:sz w:val="21"/>
                <w:szCs w:val="21"/>
                <w:highlight w:val="none"/>
                <w:lang w:eastAsia="zh-CN" w:bidi="ar"/>
              </w:rPr>
              <w:t>担保</w:t>
            </w:r>
            <w:r>
              <w:rPr>
                <w:rFonts w:hint="eastAsia" w:ascii="宋体" w:hAnsi="宋体" w:eastAsia="宋体" w:cs="宋体"/>
                <w:color w:val="auto"/>
                <w:kern w:val="0"/>
                <w:sz w:val="21"/>
                <w:szCs w:val="21"/>
                <w:highlight w:val="none"/>
                <w:lang w:val="en-US" w:eastAsia="zh-CN" w:bidi="ar"/>
              </w:rPr>
              <w:t>：</w:t>
            </w:r>
          </w:p>
          <w:p w14:paraId="1A7A3D9B">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color w:val="auto"/>
                <w:kern w:val="0"/>
                <w:sz w:val="21"/>
                <w:szCs w:val="21"/>
                <w:highlight w:val="none"/>
              </w:rPr>
            </w:pPr>
            <w:r>
              <w:rPr>
                <w:rFonts w:hint="default" w:ascii="MS Mincho" w:hAnsi="MS Mincho" w:eastAsia="MS Mincho" w:cs="MS Mincho"/>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要求， </w:t>
            </w:r>
          </w:p>
          <w:p w14:paraId="1DB586D4">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中标人提供的履约</w:t>
            </w:r>
            <w:r>
              <w:rPr>
                <w:rFonts w:hint="default" w:ascii="宋体" w:hAnsi="宋体" w:eastAsia="宋体" w:cs="宋体"/>
                <w:color w:val="auto"/>
                <w:kern w:val="2"/>
                <w:sz w:val="21"/>
                <w:szCs w:val="21"/>
                <w:highlight w:val="none"/>
                <w:lang w:eastAsia="zh-CN" w:bidi="ar"/>
              </w:rPr>
              <w:t>担保</w:t>
            </w:r>
            <w:r>
              <w:rPr>
                <w:rFonts w:hint="eastAsia" w:ascii="宋体" w:hAnsi="宋体" w:eastAsia="宋体" w:cs="宋体"/>
                <w:color w:val="auto"/>
                <w:kern w:val="2"/>
                <w:sz w:val="21"/>
                <w:szCs w:val="21"/>
                <w:highlight w:val="none"/>
                <w:lang w:val="en-US" w:eastAsia="zh-CN" w:bidi="ar"/>
              </w:rPr>
              <w:t>为</w:t>
            </w:r>
            <w:r>
              <w:rPr>
                <w:rFonts w:hint="default" w:ascii="宋体" w:hAnsi="宋体" w:eastAsia="宋体" w:cs="宋体"/>
                <w:color w:val="auto"/>
                <w:kern w:val="2"/>
                <w:sz w:val="21"/>
                <w:szCs w:val="21"/>
                <w:highlight w:val="none"/>
                <w:lang w:eastAsia="zh-CN" w:bidi="ar"/>
              </w:rPr>
              <w:t>现金支付部分</w:t>
            </w:r>
            <w:r>
              <w:rPr>
                <w:rFonts w:hint="eastAsia" w:ascii="宋体" w:hAnsi="宋体" w:eastAsia="宋体" w:cs="宋体"/>
                <w:color w:val="auto"/>
                <w:kern w:val="2"/>
                <w:sz w:val="21"/>
                <w:szCs w:val="21"/>
                <w:highlight w:val="none"/>
                <w:lang w:val="en-US" w:eastAsia="zh-CN" w:bidi="ar"/>
              </w:rPr>
              <w:t>的10%。</w:t>
            </w:r>
          </w:p>
          <w:p w14:paraId="30F7BF97">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履约</w:t>
            </w:r>
            <w:r>
              <w:rPr>
                <w:rFonts w:hint="default" w:ascii="宋体" w:hAnsi="宋体" w:eastAsia="宋体" w:cs="宋体"/>
                <w:color w:val="auto"/>
                <w:kern w:val="2"/>
                <w:sz w:val="21"/>
                <w:szCs w:val="21"/>
                <w:highlight w:val="none"/>
                <w:lang w:eastAsia="zh-CN" w:bidi="ar"/>
              </w:rPr>
              <w:t>担保</w:t>
            </w:r>
            <w:r>
              <w:rPr>
                <w:rFonts w:hint="eastAsia" w:ascii="宋体" w:hAnsi="宋体" w:eastAsia="宋体" w:cs="宋体"/>
                <w:color w:val="auto"/>
                <w:kern w:val="0"/>
                <w:sz w:val="21"/>
                <w:szCs w:val="21"/>
                <w:highlight w:val="none"/>
                <w:lang w:val="en-US" w:eastAsia="zh-CN" w:bidi="ar"/>
              </w:rPr>
              <w:t>的形式：中标人根据自身情况，自主选择提供</w:t>
            </w:r>
            <w:r>
              <w:rPr>
                <w:rFonts w:hint="eastAsia" w:ascii="宋体" w:hAnsi="宋体" w:eastAsia="宋体" w:cs="宋体"/>
                <w:color w:val="auto"/>
                <w:kern w:val="2"/>
                <w:sz w:val="21"/>
                <w:szCs w:val="21"/>
                <w:highlight w:val="none"/>
                <w:lang w:val="en-US" w:eastAsia="zh-CN" w:bidi="ar"/>
              </w:rPr>
              <w:t>履约</w:t>
            </w:r>
            <w:r>
              <w:rPr>
                <w:rFonts w:hint="default" w:ascii="宋体" w:hAnsi="宋体" w:eastAsia="宋体" w:cs="宋体"/>
                <w:color w:val="auto"/>
                <w:kern w:val="2"/>
                <w:sz w:val="21"/>
                <w:szCs w:val="21"/>
                <w:highlight w:val="none"/>
                <w:lang w:eastAsia="zh-CN" w:bidi="ar"/>
              </w:rPr>
              <w:t>担保</w:t>
            </w:r>
            <w:r>
              <w:rPr>
                <w:rFonts w:hint="eastAsia" w:ascii="宋体" w:hAnsi="宋体" w:eastAsia="宋体" w:cs="宋体"/>
                <w:color w:val="auto"/>
                <w:kern w:val="0"/>
                <w:sz w:val="21"/>
                <w:szCs w:val="21"/>
                <w:highlight w:val="none"/>
                <w:lang w:val="en-US" w:eastAsia="zh-CN" w:bidi="ar"/>
              </w:rPr>
              <w:t>的形式。担保内容、担保范围、担保金额、担保要求</w:t>
            </w:r>
            <w:r>
              <w:rPr>
                <w:rFonts w:hint="default" w:ascii="宋体" w:hAnsi="宋体" w:eastAsia="宋体" w:cs="宋体"/>
                <w:color w:val="auto"/>
                <w:kern w:val="0"/>
                <w:sz w:val="21"/>
                <w:szCs w:val="21"/>
                <w:highlight w:val="none"/>
                <w:lang w:eastAsia="zh-CN" w:bidi="ar"/>
              </w:rPr>
              <w:t>、提交时限要求</w:t>
            </w:r>
            <w:r>
              <w:rPr>
                <w:rFonts w:hint="eastAsia" w:ascii="宋体" w:hAnsi="宋体" w:eastAsia="宋体" w:cs="宋体"/>
                <w:color w:val="auto"/>
                <w:kern w:val="0"/>
                <w:sz w:val="21"/>
                <w:szCs w:val="21"/>
                <w:highlight w:val="none"/>
                <w:lang w:val="en-US" w:eastAsia="zh-CN" w:bidi="ar"/>
              </w:rPr>
              <w:t>等须按合同约定。</w:t>
            </w:r>
          </w:p>
          <w:p w14:paraId="05719066">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□不要求</w:t>
            </w:r>
          </w:p>
        </w:tc>
      </w:tr>
      <w:tr w14:paraId="54BF6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60EAC19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1710" w:type="dxa"/>
            <w:tcBorders>
              <w:top w:val="single" w:color="auto" w:sz="4" w:space="0"/>
              <w:left w:val="nil"/>
              <w:bottom w:val="single" w:color="auto" w:sz="4" w:space="0"/>
              <w:right w:val="single" w:color="auto" w:sz="4" w:space="0"/>
            </w:tcBorders>
            <w:shd w:val="clear" w:color="auto" w:fill="auto"/>
            <w:vAlign w:val="center"/>
          </w:tcPr>
          <w:p w14:paraId="2A9B448E">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是否采用电子招标投标</w:t>
            </w:r>
          </w:p>
        </w:tc>
        <w:tc>
          <w:tcPr>
            <w:tcW w:w="6777" w:type="dxa"/>
            <w:tcBorders>
              <w:top w:val="single" w:color="auto" w:sz="4" w:space="0"/>
              <w:left w:val="nil"/>
              <w:bottom w:val="single" w:color="auto" w:sz="4" w:space="0"/>
              <w:right w:val="single" w:color="auto" w:sz="4" w:space="0"/>
            </w:tcBorders>
            <w:shd w:val="clear" w:color="auto" w:fill="auto"/>
            <w:vAlign w:val="center"/>
          </w:tcPr>
          <w:p w14:paraId="72A780F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□否</w:t>
            </w:r>
          </w:p>
          <w:p w14:paraId="6B9B542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default" w:ascii="MS Mincho" w:hAnsi="MS Mincho" w:eastAsia="MS Mincho" w:cs="MS Mincho"/>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是，具体要求：</w:t>
            </w:r>
          </w:p>
          <w:p w14:paraId="48B9E53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1、具体操作详见《建设工程全流程电子化项目操作指南》。</w:t>
            </w:r>
          </w:p>
          <w:p w14:paraId="4C88527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2、递交投标文件光盘</w:t>
            </w:r>
            <w:r>
              <w:rPr>
                <w:rFonts w:hint="eastAsia" w:ascii="宋体" w:hAnsi="宋体" w:eastAsia="宋体" w:cs="宋体"/>
                <w:color w:val="auto"/>
                <w:kern w:val="2"/>
                <w:sz w:val="21"/>
                <w:szCs w:val="21"/>
                <w:highlight w:val="none"/>
                <w:u w:val="single"/>
                <w:lang w:val="en-US" w:eastAsia="zh-CN" w:bidi="ar"/>
              </w:rPr>
              <w:t>或U盘</w:t>
            </w:r>
            <w:r>
              <w:rPr>
                <w:rFonts w:hint="eastAsia" w:ascii="宋体" w:hAnsi="宋体" w:eastAsia="宋体" w:cs="宋体"/>
                <w:color w:val="auto"/>
                <w:kern w:val="2"/>
                <w:sz w:val="21"/>
                <w:szCs w:val="21"/>
                <w:highlight w:val="none"/>
                <w:lang w:val="en-US" w:eastAsia="zh-CN" w:bidi="ar"/>
              </w:rPr>
              <w:t>备用</w:t>
            </w:r>
          </w:p>
          <w:p w14:paraId="46309343">
            <w:pPr>
              <w:keepNext w:val="0"/>
              <w:keepLines w:val="0"/>
              <w:widowControl w:val="0"/>
              <w:suppressLineNumbers w:val="0"/>
              <w:spacing w:before="0" w:beforeAutospacing="0" w:after="0" w:afterAutospacing="0" w:line="288" w:lineRule="auto"/>
              <w:ind w:left="0" w:right="0" w:firstLine="210" w:firstLineChars="100"/>
              <w:jc w:val="left"/>
              <w:rPr>
                <w:rFonts w:hint="eastAsia" w:ascii="宋体" w:hAnsi="宋体" w:eastAsia="宋体" w:cs="宋体"/>
                <w:b/>
                <w:bCs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（1）投标人可制作非加密的电子投标文件（PDF格式）刻入光盘</w:t>
            </w:r>
            <w:r>
              <w:rPr>
                <w:rFonts w:hint="eastAsia" w:ascii="宋体" w:hAnsi="宋体" w:eastAsia="宋体" w:cs="宋体"/>
                <w:color w:val="auto"/>
                <w:kern w:val="2"/>
                <w:sz w:val="21"/>
                <w:szCs w:val="21"/>
                <w:highlight w:val="none"/>
                <w:u w:val="single"/>
                <w:lang w:val="en-US" w:eastAsia="zh-CN" w:bidi="ar"/>
              </w:rPr>
              <w:t>或U盘</w:t>
            </w:r>
            <w:r>
              <w:rPr>
                <w:rFonts w:hint="eastAsia" w:ascii="宋体" w:hAnsi="宋体" w:eastAsia="宋体" w:cs="宋体"/>
                <w:color w:val="auto"/>
                <w:kern w:val="2"/>
                <w:sz w:val="21"/>
                <w:szCs w:val="21"/>
                <w:highlight w:val="none"/>
                <w:lang w:val="en-US" w:eastAsia="zh-CN" w:bidi="ar"/>
              </w:rPr>
              <w:t>（1份），在规定的时间、地点提交备用光盘</w:t>
            </w:r>
            <w:r>
              <w:rPr>
                <w:rFonts w:hint="eastAsia" w:ascii="宋体" w:hAnsi="宋体" w:eastAsia="宋体" w:cs="宋体"/>
                <w:color w:val="auto"/>
                <w:kern w:val="2"/>
                <w:sz w:val="21"/>
                <w:szCs w:val="21"/>
                <w:highlight w:val="none"/>
                <w:u w:val="single"/>
                <w:lang w:val="en-US" w:eastAsia="zh-CN" w:bidi="ar"/>
              </w:rPr>
              <w:t>或U盘</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b/>
                <w:bCs w:val="0"/>
                <w:color w:val="auto"/>
                <w:kern w:val="2"/>
                <w:sz w:val="21"/>
                <w:szCs w:val="21"/>
                <w:highlight w:val="none"/>
                <w:u w:val="single"/>
                <w:lang w:val="en-US" w:eastAsia="zh-CN" w:bidi="ar"/>
              </w:rPr>
              <w:t>投标人应凭法定代表人证明书及法定代表人授权委托书（授权代表递交时出具）递交投标文件备用光盘，并出示本人身份证原件。</w:t>
            </w:r>
            <w:r>
              <w:rPr>
                <w:rFonts w:hint="eastAsia" w:ascii="宋体" w:hAnsi="宋体" w:eastAsia="宋体" w:cs="宋体"/>
                <w:b/>
                <w:bCs w:val="0"/>
                <w:color w:val="auto"/>
                <w:kern w:val="2"/>
                <w:sz w:val="21"/>
                <w:szCs w:val="21"/>
                <w:highlight w:val="none"/>
                <w:lang w:val="en-US" w:eastAsia="zh-CN" w:bidi="ar"/>
              </w:rPr>
              <w:t>刻录好的投标文件光盘</w:t>
            </w:r>
            <w:r>
              <w:rPr>
                <w:rFonts w:hint="eastAsia" w:ascii="宋体" w:hAnsi="宋体" w:eastAsia="宋体" w:cs="宋体"/>
                <w:b/>
                <w:bCs w:val="0"/>
                <w:color w:val="auto"/>
                <w:kern w:val="2"/>
                <w:sz w:val="21"/>
                <w:szCs w:val="21"/>
                <w:highlight w:val="none"/>
                <w:u w:val="single"/>
                <w:lang w:val="en-US" w:eastAsia="zh-CN" w:bidi="ar"/>
              </w:rPr>
              <w:t>或U盘</w:t>
            </w:r>
            <w:r>
              <w:rPr>
                <w:rFonts w:hint="eastAsia" w:ascii="宋体" w:hAnsi="宋体" w:eastAsia="宋体" w:cs="宋体"/>
                <w:b/>
                <w:bCs w:val="0"/>
                <w:color w:val="auto"/>
                <w:kern w:val="2"/>
                <w:sz w:val="21"/>
                <w:szCs w:val="21"/>
                <w:highlight w:val="none"/>
                <w:lang w:val="en-US" w:eastAsia="zh-CN" w:bidi="ar"/>
              </w:rPr>
              <w:t>密封在密封袋中，并在封口处加盖投标人单位公章。密封袋上应写明项目名称和招标人名称。</w:t>
            </w:r>
          </w:p>
          <w:p w14:paraId="402377EB">
            <w:pPr>
              <w:keepNext w:val="0"/>
              <w:keepLines w:val="0"/>
              <w:widowControl w:val="0"/>
              <w:suppressLineNumbers w:val="0"/>
              <w:spacing w:before="0" w:beforeAutospacing="0" w:after="0" w:afterAutospacing="0" w:line="288" w:lineRule="auto"/>
              <w:ind w:left="0" w:right="0" w:firstLine="210" w:firstLineChars="1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（2）递交的投标文件（光盘</w:t>
            </w:r>
            <w:r>
              <w:rPr>
                <w:rFonts w:hint="eastAsia" w:ascii="宋体" w:hAnsi="宋体" w:eastAsia="宋体" w:cs="宋体"/>
                <w:color w:val="auto"/>
                <w:kern w:val="2"/>
                <w:sz w:val="21"/>
                <w:szCs w:val="21"/>
                <w:highlight w:val="none"/>
                <w:u w:val="single"/>
                <w:lang w:val="en-US" w:eastAsia="zh-CN" w:bidi="ar"/>
              </w:rPr>
              <w:t>或U盘</w:t>
            </w:r>
            <w:r>
              <w:rPr>
                <w:rFonts w:hint="eastAsia" w:ascii="宋体" w:hAnsi="宋体" w:eastAsia="宋体" w:cs="宋体"/>
                <w:color w:val="auto"/>
                <w:kern w:val="2"/>
                <w:sz w:val="21"/>
                <w:szCs w:val="21"/>
                <w:highlight w:val="none"/>
                <w:lang w:val="en-US" w:eastAsia="zh-CN" w:bidi="ar"/>
              </w:rPr>
              <w:t>）不得加密。光盘</w:t>
            </w:r>
            <w:r>
              <w:rPr>
                <w:rFonts w:hint="eastAsia" w:ascii="宋体" w:hAnsi="宋体" w:eastAsia="宋体" w:cs="宋体"/>
                <w:color w:val="auto"/>
                <w:kern w:val="2"/>
                <w:sz w:val="21"/>
                <w:szCs w:val="21"/>
                <w:highlight w:val="none"/>
                <w:u w:val="single"/>
                <w:lang w:val="en-US" w:eastAsia="zh-CN" w:bidi="ar"/>
              </w:rPr>
              <w:t>或U盘</w:t>
            </w:r>
            <w:r>
              <w:rPr>
                <w:rFonts w:hint="eastAsia" w:ascii="宋体" w:hAnsi="宋体" w:eastAsia="宋体" w:cs="宋体"/>
                <w:color w:val="auto"/>
                <w:kern w:val="2"/>
                <w:sz w:val="21"/>
                <w:szCs w:val="21"/>
                <w:highlight w:val="none"/>
                <w:lang w:val="en-US" w:eastAsia="zh-CN" w:bidi="ar"/>
              </w:rPr>
              <w:t>（备用投标文件）无法读取或导入的，则视为未提交备用投标文件光盘</w:t>
            </w:r>
            <w:r>
              <w:rPr>
                <w:rFonts w:hint="eastAsia" w:ascii="宋体" w:hAnsi="宋体" w:eastAsia="宋体" w:cs="宋体"/>
                <w:color w:val="auto"/>
                <w:kern w:val="2"/>
                <w:sz w:val="21"/>
                <w:szCs w:val="21"/>
                <w:highlight w:val="none"/>
                <w:u w:val="single"/>
                <w:lang w:val="en-US" w:eastAsia="zh-CN" w:bidi="ar"/>
              </w:rPr>
              <w:t>或U盘</w:t>
            </w:r>
            <w:r>
              <w:rPr>
                <w:rFonts w:hint="eastAsia" w:ascii="宋体" w:hAnsi="宋体" w:eastAsia="宋体" w:cs="宋体"/>
                <w:color w:val="auto"/>
                <w:kern w:val="2"/>
                <w:sz w:val="21"/>
                <w:szCs w:val="21"/>
                <w:highlight w:val="none"/>
                <w:lang w:val="en-US" w:eastAsia="zh-CN" w:bidi="ar"/>
              </w:rPr>
              <w:t>。如果投标人没有按规定通过交易平台网上递交电子投标文件的，不再读取提交的光盘</w:t>
            </w:r>
            <w:r>
              <w:rPr>
                <w:rFonts w:hint="eastAsia" w:ascii="宋体" w:hAnsi="宋体" w:eastAsia="宋体" w:cs="宋体"/>
                <w:color w:val="auto"/>
                <w:kern w:val="2"/>
                <w:sz w:val="21"/>
                <w:szCs w:val="21"/>
                <w:highlight w:val="none"/>
                <w:u w:val="single"/>
                <w:lang w:val="en-US" w:eastAsia="zh-CN" w:bidi="ar"/>
              </w:rPr>
              <w:t>或U盘</w:t>
            </w:r>
            <w:r>
              <w:rPr>
                <w:rFonts w:hint="eastAsia" w:ascii="宋体" w:hAnsi="宋体" w:eastAsia="宋体" w:cs="宋体"/>
                <w:color w:val="auto"/>
                <w:kern w:val="2"/>
                <w:sz w:val="21"/>
                <w:szCs w:val="21"/>
                <w:highlight w:val="none"/>
                <w:lang w:val="en-US" w:eastAsia="zh-CN" w:bidi="ar"/>
              </w:rPr>
              <w:t>。投标人可选择不提交光盘</w:t>
            </w:r>
            <w:r>
              <w:rPr>
                <w:rFonts w:hint="eastAsia" w:ascii="宋体" w:hAnsi="宋体" w:eastAsia="宋体" w:cs="宋体"/>
                <w:color w:val="auto"/>
                <w:kern w:val="2"/>
                <w:sz w:val="21"/>
                <w:szCs w:val="21"/>
                <w:highlight w:val="none"/>
                <w:u w:val="single"/>
                <w:lang w:val="en-US" w:eastAsia="zh-CN" w:bidi="ar"/>
              </w:rPr>
              <w:t>或U盘</w:t>
            </w:r>
            <w:r>
              <w:rPr>
                <w:rFonts w:hint="eastAsia" w:ascii="宋体" w:hAnsi="宋体" w:eastAsia="宋体" w:cs="宋体"/>
                <w:color w:val="auto"/>
                <w:kern w:val="2"/>
                <w:sz w:val="21"/>
                <w:szCs w:val="21"/>
                <w:highlight w:val="none"/>
                <w:lang w:val="en-US" w:eastAsia="zh-CN" w:bidi="ar"/>
              </w:rPr>
              <w:t>备用。</w:t>
            </w:r>
          </w:p>
          <w:p w14:paraId="2BE8E13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3、补救方案</w:t>
            </w:r>
          </w:p>
          <w:p w14:paraId="1AD32A9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（1）投标文件解密失败的补救方案：</w:t>
            </w:r>
          </w:p>
          <w:p w14:paraId="7F22537B">
            <w:pPr>
              <w:keepNext w:val="0"/>
              <w:keepLines w:val="0"/>
              <w:widowControl w:val="0"/>
              <w:suppressLineNumbers w:val="0"/>
              <w:spacing w:before="0" w:beforeAutospacing="0" w:after="0" w:afterAutospacing="0" w:line="288" w:lineRule="auto"/>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在规定时间内，因投标人之外原因(指网络瘫痪、服务器损坏、交易系统故障短期无法恢复等)导致的电子投标文件解密失败，在开标现场读取光盘</w:t>
            </w:r>
            <w:r>
              <w:rPr>
                <w:rFonts w:hint="eastAsia" w:ascii="宋体" w:hAnsi="宋体" w:eastAsia="宋体" w:cs="宋体"/>
                <w:color w:val="auto"/>
                <w:kern w:val="2"/>
                <w:sz w:val="21"/>
                <w:szCs w:val="21"/>
                <w:highlight w:val="none"/>
                <w:u w:val="single"/>
                <w:lang w:val="en-US" w:eastAsia="zh-CN" w:bidi="ar"/>
              </w:rPr>
              <w:t>或U盘</w:t>
            </w:r>
            <w:r>
              <w:rPr>
                <w:rFonts w:hint="eastAsia" w:ascii="宋体" w:hAnsi="宋体" w:eastAsia="宋体" w:cs="宋体"/>
                <w:color w:val="auto"/>
                <w:kern w:val="2"/>
                <w:sz w:val="21"/>
                <w:szCs w:val="21"/>
                <w:highlight w:val="none"/>
                <w:lang w:val="en-US" w:eastAsia="zh-CN" w:bidi="ar"/>
              </w:rPr>
              <w:t>内容，继续开标程序。评标委员会对其投标文件的评审以光盘</w:t>
            </w:r>
            <w:r>
              <w:rPr>
                <w:rFonts w:hint="eastAsia" w:ascii="宋体" w:hAnsi="宋体" w:eastAsia="宋体" w:cs="宋体"/>
                <w:color w:val="auto"/>
                <w:kern w:val="2"/>
                <w:sz w:val="21"/>
                <w:szCs w:val="21"/>
                <w:highlight w:val="none"/>
                <w:u w:val="single"/>
                <w:lang w:val="en-US" w:eastAsia="zh-CN" w:bidi="ar"/>
              </w:rPr>
              <w:t>或U盘</w:t>
            </w:r>
            <w:r>
              <w:rPr>
                <w:rFonts w:hint="eastAsia" w:ascii="宋体" w:hAnsi="宋体" w:eastAsia="宋体" w:cs="宋体"/>
                <w:color w:val="auto"/>
                <w:kern w:val="2"/>
                <w:sz w:val="21"/>
                <w:szCs w:val="21"/>
                <w:highlight w:val="none"/>
                <w:lang w:val="en-US" w:eastAsia="zh-CN" w:bidi="ar"/>
              </w:rPr>
              <w:t>内容为准。因投标人之外原因且未递交电子光盘</w:t>
            </w:r>
            <w:r>
              <w:rPr>
                <w:rFonts w:hint="eastAsia" w:ascii="宋体" w:hAnsi="宋体" w:eastAsia="宋体" w:cs="宋体"/>
                <w:color w:val="auto"/>
                <w:kern w:val="2"/>
                <w:sz w:val="21"/>
                <w:szCs w:val="21"/>
                <w:highlight w:val="none"/>
                <w:u w:val="single"/>
                <w:lang w:val="en-US" w:eastAsia="zh-CN" w:bidi="ar"/>
              </w:rPr>
              <w:t>或U盘</w:t>
            </w:r>
            <w:r>
              <w:rPr>
                <w:rFonts w:hint="eastAsia" w:ascii="宋体" w:hAnsi="宋体" w:eastAsia="宋体" w:cs="宋体"/>
                <w:color w:val="auto"/>
                <w:kern w:val="2"/>
                <w:sz w:val="21"/>
                <w:szCs w:val="21"/>
                <w:highlight w:val="none"/>
                <w:lang w:val="en-US" w:eastAsia="zh-CN" w:bidi="ar"/>
              </w:rPr>
              <w:t>的，视为撤销投标文件。</w:t>
            </w:r>
          </w:p>
          <w:p w14:paraId="1474FCF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（2）评标时突发情况的补救方案</w:t>
            </w:r>
          </w:p>
          <w:p w14:paraId="7233B1F0">
            <w:pPr>
              <w:keepNext w:val="0"/>
              <w:keepLines w:val="0"/>
              <w:widowControl w:val="0"/>
              <w:suppressLineNumbers w:val="0"/>
              <w:spacing w:before="0" w:beforeAutospacing="0" w:after="0" w:afterAutospacing="0" w:line="288" w:lineRule="auto"/>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若遇不可抗力发生（指：网络瘫痪、服务器损坏、交易系统故障短期无法恢复等因素），由评标委员会开启现场递交的全部投标文件光盘</w:t>
            </w:r>
            <w:r>
              <w:rPr>
                <w:rFonts w:hint="eastAsia" w:ascii="宋体" w:hAnsi="宋体" w:eastAsia="宋体" w:cs="宋体"/>
                <w:color w:val="auto"/>
                <w:kern w:val="2"/>
                <w:sz w:val="21"/>
                <w:szCs w:val="21"/>
                <w:highlight w:val="none"/>
                <w:u w:val="single"/>
                <w:lang w:val="en-US" w:eastAsia="zh-CN" w:bidi="ar"/>
              </w:rPr>
              <w:t>或U盘</w:t>
            </w:r>
            <w:r>
              <w:rPr>
                <w:rFonts w:hint="eastAsia" w:ascii="宋体" w:hAnsi="宋体" w:eastAsia="宋体" w:cs="宋体"/>
                <w:color w:val="auto"/>
                <w:kern w:val="2"/>
                <w:sz w:val="21"/>
                <w:szCs w:val="21"/>
                <w:highlight w:val="none"/>
                <w:lang w:val="en-US" w:eastAsia="zh-CN" w:bidi="ar"/>
              </w:rPr>
              <w:t>，并按光盘</w:t>
            </w:r>
            <w:r>
              <w:rPr>
                <w:rFonts w:hint="eastAsia" w:ascii="宋体" w:hAnsi="宋体" w:eastAsia="宋体" w:cs="宋体"/>
                <w:color w:val="auto"/>
                <w:kern w:val="2"/>
                <w:sz w:val="21"/>
                <w:szCs w:val="21"/>
                <w:highlight w:val="none"/>
                <w:u w:val="single"/>
                <w:lang w:val="en-US" w:eastAsia="zh-CN" w:bidi="ar"/>
              </w:rPr>
              <w:t>或U盘</w:t>
            </w:r>
            <w:r>
              <w:rPr>
                <w:rFonts w:hint="eastAsia" w:ascii="宋体" w:hAnsi="宋体" w:eastAsia="宋体" w:cs="宋体"/>
                <w:color w:val="auto"/>
                <w:kern w:val="2"/>
                <w:sz w:val="21"/>
                <w:szCs w:val="21"/>
                <w:highlight w:val="none"/>
                <w:lang w:val="en-US" w:eastAsia="zh-CN" w:bidi="ar"/>
              </w:rPr>
              <w:t>内容进行评审。</w:t>
            </w:r>
          </w:p>
          <w:p w14:paraId="794D199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（3）除发生上述情况外，开标评标均以投标人通过交易平台网上递交的电子投标文件为准。</w:t>
            </w:r>
          </w:p>
        </w:tc>
      </w:tr>
      <w:tr w14:paraId="34526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6EF31D7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1710" w:type="dxa"/>
            <w:tcBorders>
              <w:top w:val="single" w:color="auto" w:sz="4" w:space="0"/>
              <w:left w:val="nil"/>
              <w:bottom w:val="single" w:color="auto" w:sz="4" w:space="0"/>
              <w:right w:val="single" w:color="auto" w:sz="4" w:space="0"/>
            </w:tcBorders>
            <w:shd w:val="clear" w:color="auto" w:fill="auto"/>
            <w:vAlign w:val="center"/>
          </w:tcPr>
          <w:p w14:paraId="4F8D552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需要补充的其他内容</w:t>
            </w:r>
          </w:p>
        </w:tc>
        <w:tc>
          <w:tcPr>
            <w:tcW w:w="6777" w:type="dxa"/>
            <w:tcBorders>
              <w:top w:val="single" w:color="auto" w:sz="4" w:space="0"/>
              <w:left w:val="nil"/>
              <w:bottom w:val="single" w:color="auto" w:sz="4" w:space="0"/>
              <w:right w:val="single" w:color="auto" w:sz="4" w:space="0"/>
            </w:tcBorders>
            <w:shd w:val="clear" w:color="auto" w:fill="auto"/>
            <w:vAlign w:val="center"/>
          </w:tcPr>
          <w:p w14:paraId="7725136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w:t>
            </w:r>
          </w:p>
        </w:tc>
      </w:tr>
      <w:tr w14:paraId="15622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6E55D33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10.1</w:t>
            </w:r>
          </w:p>
        </w:tc>
        <w:tc>
          <w:tcPr>
            <w:tcW w:w="1710" w:type="dxa"/>
            <w:tcBorders>
              <w:top w:val="single" w:color="auto" w:sz="4" w:space="0"/>
              <w:left w:val="nil"/>
              <w:bottom w:val="single" w:color="auto" w:sz="4" w:space="0"/>
              <w:right w:val="single" w:color="auto" w:sz="4" w:space="0"/>
            </w:tcBorders>
            <w:shd w:val="clear" w:color="auto" w:fill="auto"/>
            <w:vAlign w:val="center"/>
          </w:tcPr>
          <w:p w14:paraId="1732A44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特别提示</w:t>
            </w:r>
          </w:p>
        </w:tc>
        <w:tc>
          <w:tcPr>
            <w:tcW w:w="6777" w:type="dxa"/>
            <w:tcBorders>
              <w:top w:val="single" w:color="auto" w:sz="4" w:space="0"/>
              <w:left w:val="nil"/>
              <w:bottom w:val="single" w:color="auto" w:sz="4" w:space="0"/>
              <w:right w:val="single" w:color="auto" w:sz="4" w:space="0"/>
            </w:tcBorders>
            <w:shd w:val="clear" w:color="auto" w:fill="auto"/>
            <w:vAlign w:val="center"/>
          </w:tcPr>
          <w:p w14:paraId="10CEBA0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投标人在本项目招标人的工程项目中存在下列行为的，将被拒绝一年内参与我单位后续工程项目投标。（注：拒绝投标时限由招标人视严重程度确定，最低三个月起，自招标人发出通知之日起计）：</w:t>
            </w:r>
          </w:p>
          <w:p w14:paraId="57E6B5D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1.将中标工程转包或者违法分包的;</w:t>
            </w:r>
          </w:p>
          <w:p w14:paraId="002AF06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2.在中标工程中不执行质量、安全生产相关规定的，造成质量或安全事故的；</w:t>
            </w:r>
          </w:p>
          <w:p w14:paraId="30FD615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3.存在围标或串标情形的;</w:t>
            </w:r>
          </w:p>
          <w:p w14:paraId="2331E7C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4.在投标文件中提供虚假材料的；</w:t>
            </w:r>
          </w:p>
          <w:p w14:paraId="424A15A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5.存在行贿情形的;</w:t>
            </w:r>
          </w:p>
          <w:p w14:paraId="1ED49B4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6.</w:t>
            </w:r>
            <w:r>
              <w:rPr>
                <w:rFonts w:hint="eastAsia" w:ascii="宋体" w:hAnsi="宋体" w:eastAsia="宋体" w:cs="宋体"/>
                <w:bCs/>
                <w:color w:val="auto"/>
                <w:kern w:val="2"/>
                <w:sz w:val="21"/>
                <w:szCs w:val="21"/>
                <w:highlight w:val="none"/>
                <w:lang w:val="en-US" w:eastAsia="zh-CN" w:bidi="ar"/>
              </w:rPr>
              <w:t>拖欠农民工工资的；</w:t>
            </w:r>
          </w:p>
          <w:p w14:paraId="7A6EAF9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7.</w:t>
            </w:r>
            <w:r>
              <w:rPr>
                <w:rFonts w:hint="eastAsia" w:ascii="宋体" w:hAnsi="宋体" w:eastAsia="宋体" w:cs="宋体"/>
                <w:bCs/>
                <w:color w:val="auto"/>
                <w:kern w:val="2"/>
                <w:sz w:val="21"/>
                <w:szCs w:val="21"/>
                <w:highlight w:val="none"/>
                <w:lang w:val="en-US" w:eastAsia="zh-CN" w:bidi="ar"/>
              </w:rPr>
              <w:t>未按照国家、省、市有关建筑施工实名制管理和工人工资支付分账管理的规定执行，被行政监管部门处罚的。</w:t>
            </w:r>
          </w:p>
          <w:p w14:paraId="2D1BB00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8.</w:t>
            </w:r>
            <w:r>
              <w:rPr>
                <w:rFonts w:hint="eastAsia" w:ascii="宋体" w:hAnsi="宋体" w:eastAsia="宋体" w:cs="宋体"/>
                <w:bCs/>
                <w:color w:val="auto"/>
                <w:kern w:val="2"/>
                <w:sz w:val="21"/>
                <w:szCs w:val="21"/>
                <w:highlight w:val="none"/>
                <w:lang w:val="en-US" w:eastAsia="zh-CN" w:bidi="ar"/>
              </w:rPr>
              <w:t>中标人在项目实施过程中选取的专业分包单位或劳务企业或劳务班组长与投标时不一致的（如有）。</w:t>
            </w:r>
          </w:p>
        </w:tc>
      </w:tr>
      <w:tr w14:paraId="2B9E4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1FF1ADC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10.2</w:t>
            </w:r>
          </w:p>
        </w:tc>
        <w:tc>
          <w:tcPr>
            <w:tcW w:w="1710" w:type="dxa"/>
            <w:tcBorders>
              <w:top w:val="single" w:color="auto" w:sz="4" w:space="0"/>
              <w:left w:val="nil"/>
              <w:bottom w:val="single" w:color="auto" w:sz="4" w:space="0"/>
              <w:right w:val="single" w:color="auto" w:sz="4" w:space="0"/>
            </w:tcBorders>
            <w:shd w:val="clear" w:color="auto" w:fill="auto"/>
            <w:vAlign w:val="center"/>
          </w:tcPr>
          <w:p w14:paraId="1DF8673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送达</w:t>
            </w:r>
          </w:p>
        </w:tc>
        <w:tc>
          <w:tcPr>
            <w:tcW w:w="6777" w:type="dxa"/>
            <w:tcBorders>
              <w:top w:val="single" w:color="auto" w:sz="4" w:space="0"/>
              <w:left w:val="nil"/>
              <w:bottom w:val="single" w:color="auto" w:sz="4" w:space="0"/>
              <w:right w:val="single" w:color="auto" w:sz="4" w:space="0"/>
            </w:tcBorders>
            <w:shd w:val="clear" w:color="auto" w:fill="auto"/>
            <w:vAlign w:val="center"/>
          </w:tcPr>
          <w:p w14:paraId="07E0A05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《投诉处理决定书》和《行政处理决定书》在广州市住房和城乡建设局网站上公布的，视为送达其他与决定书有关的当事人。</w:t>
            </w:r>
          </w:p>
        </w:tc>
      </w:tr>
      <w:tr w14:paraId="7B817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473EDE9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10.3</w:t>
            </w:r>
          </w:p>
        </w:tc>
        <w:tc>
          <w:tcPr>
            <w:tcW w:w="1710" w:type="dxa"/>
            <w:tcBorders>
              <w:top w:val="single" w:color="auto" w:sz="4" w:space="0"/>
              <w:left w:val="nil"/>
              <w:bottom w:val="single" w:color="auto" w:sz="4" w:space="0"/>
              <w:right w:val="single" w:color="auto" w:sz="4" w:space="0"/>
            </w:tcBorders>
            <w:shd w:val="clear" w:color="auto" w:fill="auto"/>
            <w:vAlign w:val="center"/>
          </w:tcPr>
          <w:p w14:paraId="371B74C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招标失败的情形</w:t>
            </w:r>
          </w:p>
        </w:tc>
        <w:tc>
          <w:tcPr>
            <w:tcW w:w="6777" w:type="dxa"/>
            <w:tcBorders>
              <w:top w:val="single" w:color="auto" w:sz="4" w:space="0"/>
              <w:left w:val="nil"/>
              <w:bottom w:val="single" w:color="auto" w:sz="4" w:space="0"/>
              <w:right w:val="single" w:color="auto" w:sz="4" w:space="0"/>
            </w:tcBorders>
            <w:shd w:val="clear" w:color="auto" w:fill="auto"/>
            <w:vAlign w:val="center"/>
          </w:tcPr>
          <w:p w14:paraId="3C0069E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本项目采用资格后审方式，满足资格审查合格条件或通过初步评审的投标申请人不足3名时为招标失败。招标人分析招标失败原因，修正招标方案，重新组织招标。</w:t>
            </w:r>
          </w:p>
        </w:tc>
      </w:tr>
      <w:tr w14:paraId="363A0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28C14FE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10.4</w:t>
            </w:r>
          </w:p>
        </w:tc>
        <w:tc>
          <w:tcPr>
            <w:tcW w:w="1710" w:type="dxa"/>
            <w:tcBorders>
              <w:top w:val="single" w:color="auto" w:sz="4" w:space="0"/>
              <w:left w:val="nil"/>
              <w:bottom w:val="single" w:color="auto" w:sz="4" w:space="0"/>
              <w:right w:val="single" w:color="auto" w:sz="4" w:space="0"/>
            </w:tcBorders>
            <w:shd w:val="clear" w:color="auto" w:fill="auto"/>
            <w:vAlign w:val="center"/>
          </w:tcPr>
          <w:p w14:paraId="06775C8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4.3.4投标文件修改</w:t>
            </w:r>
          </w:p>
        </w:tc>
        <w:tc>
          <w:tcPr>
            <w:tcW w:w="6777" w:type="dxa"/>
            <w:tcBorders>
              <w:top w:val="single" w:color="auto" w:sz="4" w:space="0"/>
              <w:left w:val="nil"/>
              <w:bottom w:val="single" w:color="auto" w:sz="4" w:space="0"/>
              <w:right w:val="single" w:color="auto" w:sz="4" w:space="0"/>
            </w:tcBorders>
            <w:shd w:val="clear" w:color="auto" w:fill="auto"/>
            <w:vAlign w:val="center"/>
          </w:tcPr>
          <w:p w14:paraId="6C8055A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修改的内容为投标文件的组成部分。修改的投标文件应按照本章第3条、第4条的规定进行编制、密封、标记和递交。</w:t>
            </w:r>
          </w:p>
        </w:tc>
      </w:tr>
      <w:tr w14:paraId="43532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6FD8DEB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10.5</w:t>
            </w:r>
          </w:p>
        </w:tc>
        <w:tc>
          <w:tcPr>
            <w:tcW w:w="1710" w:type="dxa"/>
            <w:tcBorders>
              <w:top w:val="single" w:color="auto" w:sz="4" w:space="0"/>
              <w:left w:val="nil"/>
              <w:bottom w:val="single" w:color="auto" w:sz="4" w:space="0"/>
              <w:right w:val="single" w:color="auto" w:sz="4" w:space="0"/>
            </w:tcBorders>
            <w:shd w:val="clear" w:color="auto" w:fill="auto"/>
            <w:vAlign w:val="center"/>
          </w:tcPr>
          <w:p w14:paraId="6175152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w:t>
            </w:r>
          </w:p>
        </w:tc>
        <w:tc>
          <w:tcPr>
            <w:tcW w:w="6777" w:type="dxa"/>
            <w:tcBorders>
              <w:top w:val="single" w:color="auto" w:sz="4" w:space="0"/>
              <w:left w:val="nil"/>
              <w:bottom w:val="single" w:color="auto" w:sz="4" w:space="0"/>
              <w:right w:val="single" w:color="auto" w:sz="4" w:space="0"/>
            </w:tcBorders>
            <w:shd w:val="clear" w:color="auto" w:fill="auto"/>
            <w:vAlign w:val="center"/>
          </w:tcPr>
          <w:p w14:paraId="2EC922B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1.招标公告、招标文件、答疑纪要等招标资料全部发布在广州交易集团有限公司（广州公共资源交易中心）网站，由投标人自行下载查阅。</w:t>
            </w:r>
          </w:p>
          <w:p w14:paraId="2FBA836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2.投标截止时间、开标时间和地点：发布在广州交易集团有限公司（广州公共资源交易中心）网站（具体详见网站“日程安排”栏目）。</w:t>
            </w:r>
          </w:p>
          <w:p w14:paraId="7FB5537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 中标单位在中标候选人公示后3个工作日内，补送一正四副正式书面投标文件（要求与网上上传电子投标文件完全一致，并加盖公章）及电子文件光盘给招标人。</w:t>
            </w:r>
          </w:p>
        </w:tc>
      </w:tr>
    </w:tbl>
    <w:p w14:paraId="67DF50C1">
      <w:pPr>
        <w:keepNext/>
        <w:keepLines/>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br w:type="page"/>
      </w:r>
      <w:bookmarkStart w:id="3" w:name="_Toc14735135"/>
      <w:bookmarkEnd w:id="3"/>
      <w:bookmarkStart w:id="4" w:name="_Toc532367872"/>
      <w:bookmarkEnd w:id="4"/>
      <w:bookmarkStart w:id="5" w:name="_Toc526001312"/>
      <w:bookmarkEnd w:id="5"/>
      <w:bookmarkStart w:id="6" w:name="_Toc7454651"/>
      <w:bookmarkEnd w:id="6"/>
      <w:bookmarkStart w:id="7" w:name="_Toc7454652"/>
      <w:bookmarkEnd w:id="7"/>
    </w:p>
    <w:p w14:paraId="1D7B3256">
      <w:pPr>
        <w:keepNext/>
        <w:keepLines/>
        <w:widowControl w:val="0"/>
        <w:suppressLineNumbers w:val="0"/>
        <w:spacing w:before="0" w:beforeAutospacing="0" w:after="0" w:afterAutospacing="0" w:line="360" w:lineRule="auto"/>
        <w:ind w:left="0" w:right="0"/>
        <w:jc w:val="center"/>
        <w:outlineLvl w:val="1"/>
        <w:rPr>
          <w:rFonts w:hint="eastAsia"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lang w:val="en-US" w:eastAsia="zh-CN" w:bidi="ar"/>
        </w:rPr>
        <w:t>二、 投标人须知</w:t>
      </w:r>
    </w:p>
    <w:p w14:paraId="4F350D14">
      <w:pPr>
        <w:keepNext/>
        <w:keepLines/>
        <w:widowControl w:val="0"/>
        <w:suppressLineNumbers w:val="0"/>
        <w:spacing w:before="240" w:beforeAutospacing="0" w:after="240" w:afterAutospacing="0" w:line="360" w:lineRule="auto"/>
        <w:ind w:left="0" w:right="0"/>
        <w:jc w:val="left"/>
        <w:outlineLvl w:val="2"/>
        <w:rPr>
          <w:rFonts w:hint="eastAsia" w:ascii="宋体" w:hAnsi="宋体" w:eastAsia="宋体" w:cs="宋体"/>
          <w:b/>
          <w:color w:val="auto"/>
          <w:kern w:val="2"/>
          <w:sz w:val="30"/>
          <w:szCs w:val="30"/>
          <w:highlight w:val="none"/>
        </w:rPr>
      </w:pPr>
      <w:bookmarkStart w:id="8" w:name="_Toc7950"/>
      <w:bookmarkEnd w:id="8"/>
      <w:bookmarkStart w:id="9" w:name="_Toc8300"/>
      <w:bookmarkEnd w:id="9"/>
      <w:bookmarkStart w:id="10" w:name="_Toc13865"/>
      <w:bookmarkEnd w:id="10"/>
      <w:bookmarkStart w:id="11" w:name="_Toc377719900"/>
      <w:bookmarkEnd w:id="11"/>
      <w:bookmarkStart w:id="12" w:name="_Toc532367873"/>
      <w:bookmarkEnd w:id="12"/>
      <w:bookmarkStart w:id="13" w:name="_Toc31905"/>
      <w:bookmarkEnd w:id="13"/>
      <w:bookmarkStart w:id="14" w:name="_Toc6964"/>
      <w:bookmarkEnd w:id="14"/>
      <w:bookmarkStart w:id="15" w:name="_Toc21041"/>
      <w:bookmarkEnd w:id="15"/>
      <w:bookmarkStart w:id="16" w:name="_Toc32719"/>
      <w:bookmarkEnd w:id="16"/>
      <w:bookmarkStart w:id="17" w:name="_Toc29394"/>
      <w:r>
        <w:rPr>
          <w:rFonts w:hint="eastAsia" w:ascii="宋体" w:hAnsi="宋体" w:eastAsia="宋体" w:cs="宋体"/>
          <w:b/>
          <w:color w:val="auto"/>
          <w:kern w:val="2"/>
          <w:sz w:val="30"/>
          <w:szCs w:val="30"/>
          <w:highlight w:val="none"/>
          <w:lang w:val="en-US" w:eastAsia="zh-CN" w:bidi="ar"/>
        </w:rPr>
        <w:t>1. 总则</w:t>
      </w:r>
      <w:bookmarkEnd w:id="17"/>
    </w:p>
    <w:p w14:paraId="10A3D327">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1.1  招标项目概况</w:t>
      </w:r>
    </w:p>
    <w:p w14:paraId="3C77DA48">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1.1.1根据《中华人民共和国招标投标法》、《中华人民共和国招标投标法实施条例》等有关法律、法规和规章的规定，本招标项目已具备招标条件，现对设备采购进行招标。</w:t>
      </w:r>
    </w:p>
    <w:p w14:paraId="6154149F">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1.1.2招标人：见投标人须知前附表。</w:t>
      </w:r>
    </w:p>
    <w:p w14:paraId="0A915BAA">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1.1.3招标代理机构：见投标人须知前附表。</w:t>
      </w:r>
    </w:p>
    <w:p w14:paraId="124EEA7F">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1.1.4招标项目名称：见投标人须知前附表。</w:t>
      </w:r>
    </w:p>
    <w:p w14:paraId="7D2D145D">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1.1.5项目建设地点：见投标人须知前附表。</w:t>
      </w:r>
    </w:p>
    <w:p w14:paraId="15977296">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1.2 招标项目的资金来源和落实情况</w:t>
      </w:r>
    </w:p>
    <w:p w14:paraId="397E82B5">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1.2.1资金来源及比例：见投标人须知前附表。</w:t>
      </w:r>
    </w:p>
    <w:p w14:paraId="7E044806">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1.2.2资金落实情况：见投标人须知前附表。</w:t>
      </w:r>
    </w:p>
    <w:p w14:paraId="72082F24">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1.3 招标内容、交货期、交货地点和技术性能指标</w:t>
      </w:r>
    </w:p>
    <w:p w14:paraId="27CCF968">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1.3.1招标范围：见投标人须知前附表。</w:t>
      </w:r>
    </w:p>
    <w:p w14:paraId="78046BAD">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1.3.2交货期：见投标人须知前附表。</w:t>
      </w:r>
    </w:p>
    <w:p w14:paraId="451B9FAE">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1.3.3交货地点：见投标人须知前附表。</w:t>
      </w:r>
    </w:p>
    <w:p w14:paraId="3250EA56">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1.3.4技术性能指标：见投标人须知前附表。</w:t>
      </w:r>
    </w:p>
    <w:p w14:paraId="61DCDDEA">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1.4 投标人资格要求</w:t>
      </w:r>
    </w:p>
    <w:p w14:paraId="03727CCB">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1.4.1投标人应具备承担本招标项目资质条件、能力和信誉：</w:t>
      </w:r>
    </w:p>
    <w:p w14:paraId="67112519">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（1）资质要求：见投标人须知前附表；</w:t>
      </w:r>
    </w:p>
    <w:p w14:paraId="05D2DFD2">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（2）财务要求：见投标人须知前附表；</w:t>
      </w:r>
    </w:p>
    <w:p w14:paraId="543A034F">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（3）业绩要求：见投标人须知前附表；</w:t>
      </w:r>
    </w:p>
    <w:p w14:paraId="5D49DA78">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（4）信誉要求：见投标人须知前附表；</w:t>
      </w:r>
    </w:p>
    <w:p w14:paraId="0A4813C8">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（5）其他要求：见投标人须知前附表；</w:t>
      </w:r>
    </w:p>
    <w:p w14:paraId="639165DB">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投标人为代理经销商的，对投标人的资质要求包含对制造商的资质要求，对投标人的要求包含对投标设备的业绩要求。</w:t>
      </w:r>
    </w:p>
    <w:p w14:paraId="716ACF1F">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需要提交的相关证明材料见本章第3.5款的规定。</w:t>
      </w:r>
    </w:p>
    <w:p w14:paraId="6880EDA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1.4.2投标人须知前附表规定接受联合体投标的，联合体除应符合本章第1.4.1项和投标人须知前附表的要求外，还应遵守以下规定：（本项目不适用）</w:t>
      </w:r>
    </w:p>
    <w:p w14:paraId="1ACD5659">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（1）联合体各方应按招标文件提供的格式签订联合体协议书，明确联合体牵头人和各方权利义务，并承诺就中标项目向招标人承担连带责任；</w:t>
      </w:r>
    </w:p>
    <w:p w14:paraId="7FDC6867">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（2）由同一专业的单位组成的联合体，按照资质等级较低的单位确定资质等级；</w:t>
      </w:r>
    </w:p>
    <w:p w14:paraId="4EA0E77F">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（3）联合体各方不得再以自己名义单独或参加其他联合体在本招标项目中投标，否则各相关投标均无效。</w:t>
      </w:r>
    </w:p>
    <w:p w14:paraId="643886D2">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1.4.3投标人不得存在下列情形之一：</w:t>
      </w:r>
    </w:p>
    <w:p w14:paraId="42D5C7E2">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（1）与招标人存在利害关系且可能影响招标公正性；</w:t>
      </w:r>
    </w:p>
    <w:p w14:paraId="56DBA119">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（2）为本标段其他投标人代理同一制造商同一品牌同一型号的设备投标；</w:t>
      </w:r>
    </w:p>
    <w:p w14:paraId="40B7F325">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（3）为本标段提供过设计、编制技术规范和其他文件的咨询服务；</w:t>
      </w:r>
    </w:p>
    <w:p w14:paraId="460D8B83">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（4）为本标段的相关监理人，或者与本工程项目的相关监理人存在隶属关系或者其他利害关系；</w:t>
      </w:r>
    </w:p>
    <w:p w14:paraId="190C2973">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（5）为本标段的代建人；</w:t>
      </w:r>
    </w:p>
    <w:p w14:paraId="3254ADD8">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（6）为本标段的招标代理机构；</w:t>
      </w:r>
    </w:p>
    <w:p w14:paraId="20CFF2E7">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（7）与本标段的监理人或代建人或招标代理机构同为一个法定代表人；</w:t>
      </w:r>
    </w:p>
    <w:p w14:paraId="69862F01">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（8）与本标段的监理人或代建人或招标代理机构存在控股或参股关系；</w:t>
      </w:r>
    </w:p>
    <w:p w14:paraId="3E2F2E52">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（9）被依法暂停或者取消投标资格</w:t>
      </w:r>
      <w:r>
        <w:rPr>
          <w:rFonts w:hint="eastAsia" w:ascii="宋体" w:hAnsi="宋体" w:eastAsia="宋体" w:cs="宋体"/>
          <w:color w:val="auto"/>
          <w:kern w:val="2"/>
          <w:sz w:val="24"/>
          <w:szCs w:val="24"/>
          <w:highlight w:val="none"/>
          <w:u w:val="single"/>
          <w:lang w:val="en-US" w:eastAsia="zh-CN" w:bidi="ar"/>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color w:val="auto"/>
          <w:kern w:val="2"/>
          <w:sz w:val="24"/>
          <w:szCs w:val="24"/>
          <w:highlight w:val="none"/>
          <w:lang w:val="en-US" w:eastAsia="zh-CN" w:bidi="ar"/>
        </w:rPr>
        <w:t>；</w:t>
      </w:r>
    </w:p>
    <w:p w14:paraId="51C5F234">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（10）被责令停产停业、暂扣或者吊销许可证、暂扣或者吊销执照</w:t>
      </w:r>
      <w:r>
        <w:rPr>
          <w:rFonts w:hint="eastAsia" w:ascii="宋体" w:hAnsi="宋体" w:eastAsia="宋体" w:cs="宋体"/>
          <w:color w:val="auto"/>
          <w:kern w:val="2"/>
          <w:sz w:val="24"/>
          <w:szCs w:val="24"/>
          <w:highlight w:val="none"/>
          <w:u w:val="single"/>
          <w:lang w:val="en-US" w:eastAsia="zh-CN" w:bidi="ar"/>
        </w:rPr>
        <w:t>（本项事实应当以根据《中华人民共和国行政处罚法》依法作出并已经生效的行政处罚决定为认定依据。）</w:t>
      </w:r>
      <w:r>
        <w:rPr>
          <w:rFonts w:hint="eastAsia" w:ascii="宋体" w:hAnsi="宋体" w:eastAsia="宋体" w:cs="宋体"/>
          <w:color w:val="auto"/>
          <w:kern w:val="2"/>
          <w:sz w:val="24"/>
          <w:szCs w:val="24"/>
          <w:highlight w:val="none"/>
          <w:lang w:val="en-US" w:eastAsia="zh-CN" w:bidi="ar"/>
        </w:rPr>
        <w:t>；</w:t>
      </w:r>
    </w:p>
    <w:p w14:paraId="7FF6EE69">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（11）进入清算程序，或被宣告破产，或其他丧失履约能力的情形；</w:t>
      </w:r>
    </w:p>
    <w:p w14:paraId="55B7BE52">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（12）</w:t>
      </w:r>
      <w:r>
        <w:rPr>
          <w:rFonts w:hint="eastAsia" w:ascii="宋体" w:hAnsi="宋体" w:eastAsia="宋体" w:cs="宋体"/>
          <w:color w:val="auto"/>
          <w:kern w:val="2"/>
          <w:sz w:val="24"/>
          <w:szCs w:val="24"/>
          <w:highlight w:val="none"/>
          <w:u w:val="single"/>
          <w:lang w:val="en-US" w:eastAsia="zh-CN" w:bidi="ar"/>
        </w:rPr>
        <w:t>在最近三年内发生重大产品质量问题（“</w:t>
      </w:r>
      <w:r>
        <w:rPr>
          <w:rFonts w:hint="eastAsia" w:ascii="宋体" w:hAnsi="宋体" w:eastAsia="宋体" w:cs="宋体"/>
          <w:b/>
          <w:color w:val="auto"/>
          <w:kern w:val="2"/>
          <w:sz w:val="24"/>
          <w:szCs w:val="24"/>
          <w:highlight w:val="none"/>
          <w:u w:val="single"/>
          <w:lang w:val="en-US" w:eastAsia="zh-CN" w:bidi="ar"/>
        </w:rPr>
        <w:t>重大产品质量问题</w:t>
      </w:r>
      <w:r>
        <w:rPr>
          <w:rFonts w:hint="eastAsia" w:ascii="宋体" w:hAnsi="宋体" w:eastAsia="宋体" w:cs="宋体"/>
          <w:color w:val="auto"/>
          <w:kern w:val="2"/>
          <w:sz w:val="24"/>
          <w:szCs w:val="24"/>
          <w:highlight w:val="none"/>
          <w:u w:val="single"/>
          <w:lang w:val="en-US" w:eastAsia="zh-CN" w:bidi="ar"/>
        </w:rPr>
        <w:t>”以相关行业主管部门的行政处罚决定或司法机关出具的有关法律文书为准；“最近三年”是指从投标截止时间之日起逆推三年，以相关行业主管部门、司法机关、仲裁机构出具的生效文件的落款时间起计算）；</w:t>
      </w:r>
    </w:p>
    <w:p w14:paraId="731BC484">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（13）法律法规或投标人须知前附表规定的其他情形。</w:t>
      </w:r>
    </w:p>
    <w:p w14:paraId="17461E2A">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1.5 费用承担</w:t>
      </w:r>
    </w:p>
    <w:p w14:paraId="63728E43">
      <w:pPr>
        <w:keepNext w:val="0"/>
        <w:keepLines w:val="0"/>
        <w:widowControl w:val="0"/>
        <w:suppressLineNumbers w:val="0"/>
        <w:spacing w:before="0" w:beforeAutospacing="0" w:after="0" w:afterAutospacing="0" w:line="360" w:lineRule="auto"/>
        <w:ind w:left="0" w:right="0" w:firstLine="476" w:firstLineChars="200"/>
        <w:jc w:val="left"/>
        <w:rPr>
          <w:rFonts w:hint="eastAsia" w:ascii="宋体" w:hAnsi="宋体" w:eastAsia="宋体" w:cs="宋体"/>
          <w:color w:val="auto"/>
          <w:spacing w:val="-1"/>
          <w:kern w:val="2"/>
          <w:sz w:val="24"/>
          <w:szCs w:val="24"/>
          <w:highlight w:val="none"/>
        </w:rPr>
      </w:pPr>
      <w:r>
        <w:rPr>
          <w:rFonts w:hint="eastAsia" w:ascii="宋体" w:hAnsi="宋体" w:eastAsia="宋体" w:cs="宋体"/>
          <w:color w:val="auto"/>
          <w:spacing w:val="-1"/>
          <w:kern w:val="2"/>
          <w:sz w:val="24"/>
          <w:szCs w:val="24"/>
          <w:highlight w:val="none"/>
          <w:lang w:val="en-US" w:eastAsia="zh-CN" w:bidi="ar"/>
        </w:rPr>
        <w:t>投标人准备和参加投标活动发生的费用自理。</w:t>
      </w:r>
    </w:p>
    <w:p w14:paraId="09820654">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1.6 保密</w:t>
      </w:r>
    </w:p>
    <w:p w14:paraId="04BEDD89">
      <w:pPr>
        <w:keepNext w:val="0"/>
        <w:keepLines w:val="0"/>
        <w:widowControl w:val="0"/>
        <w:suppressLineNumbers w:val="0"/>
        <w:kinsoku w:val="0"/>
        <w:overflowPunct w:val="0"/>
        <w:spacing w:before="0" w:beforeAutospacing="0" w:after="12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参与招标投标活动的各方应对招标文件和投标文件中的商业和技术等秘密保密，否则应承担相应的法律责任。</w:t>
      </w:r>
    </w:p>
    <w:p w14:paraId="13C97AF5">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bookmarkStart w:id="18" w:name="bookmark27"/>
      <w:bookmarkEnd w:id="18"/>
      <w:r>
        <w:rPr>
          <w:rFonts w:hint="eastAsia" w:ascii="宋体" w:hAnsi="宋体" w:eastAsia="宋体" w:cs="宋体"/>
          <w:b/>
          <w:color w:val="auto"/>
          <w:kern w:val="2"/>
          <w:sz w:val="24"/>
          <w:szCs w:val="24"/>
          <w:highlight w:val="none"/>
          <w:lang w:val="en-US" w:eastAsia="zh-CN" w:bidi="ar"/>
        </w:rPr>
        <w:t>1.7 语言文字</w:t>
      </w:r>
    </w:p>
    <w:p w14:paraId="1B3448CC">
      <w:pPr>
        <w:keepNext w:val="0"/>
        <w:keepLines w:val="0"/>
        <w:widowControl w:val="0"/>
        <w:suppressLineNumbers w:val="0"/>
        <w:kinsoku w:val="0"/>
        <w:overflowPunct w:val="0"/>
        <w:spacing w:before="0" w:beforeAutospacing="0" w:after="12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招标投标文件使用的语言文字为中文。专用术语使用外文的，应附有中文注释。</w:t>
      </w:r>
    </w:p>
    <w:p w14:paraId="623B4770">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bookmarkStart w:id="19" w:name="bookmark28"/>
      <w:bookmarkEnd w:id="19"/>
      <w:r>
        <w:rPr>
          <w:rFonts w:hint="eastAsia" w:ascii="宋体" w:hAnsi="宋体" w:eastAsia="宋体" w:cs="宋体"/>
          <w:b/>
          <w:color w:val="auto"/>
          <w:kern w:val="2"/>
          <w:sz w:val="24"/>
          <w:szCs w:val="24"/>
          <w:highlight w:val="none"/>
          <w:lang w:val="en-US" w:eastAsia="zh-CN" w:bidi="ar"/>
        </w:rPr>
        <w:t>1.8 计量单位</w:t>
      </w:r>
    </w:p>
    <w:p w14:paraId="1D3CC11A">
      <w:pPr>
        <w:keepNext w:val="0"/>
        <w:keepLines w:val="0"/>
        <w:widowControl w:val="0"/>
        <w:suppressLineNumbers w:val="0"/>
        <w:kinsoku w:val="0"/>
        <w:overflowPunct w:val="0"/>
        <w:spacing w:before="0" w:beforeAutospacing="0" w:after="120" w:afterAutospacing="0" w:line="360" w:lineRule="auto"/>
        <w:ind w:left="0" w:right="0" w:firstLine="476"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spacing w:val="-1"/>
          <w:kern w:val="0"/>
          <w:sz w:val="24"/>
          <w:szCs w:val="24"/>
          <w:highlight w:val="none"/>
          <w:lang w:val="en-US" w:eastAsia="zh-CN" w:bidi="ar"/>
        </w:rPr>
        <w:t>所有计量均采用中华人民共和国法定计量单位。</w:t>
      </w:r>
    </w:p>
    <w:p w14:paraId="79CF59CA">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bookmarkStart w:id="20" w:name="bookmark29"/>
      <w:bookmarkEnd w:id="20"/>
      <w:r>
        <w:rPr>
          <w:rFonts w:hint="eastAsia" w:ascii="宋体" w:hAnsi="宋体" w:eastAsia="宋体" w:cs="宋体"/>
          <w:b/>
          <w:color w:val="auto"/>
          <w:kern w:val="2"/>
          <w:sz w:val="24"/>
          <w:szCs w:val="24"/>
          <w:highlight w:val="none"/>
          <w:lang w:val="en-US" w:eastAsia="zh-CN" w:bidi="ar"/>
        </w:rPr>
        <w:t>1.9 投标预备会</w:t>
      </w:r>
    </w:p>
    <w:p w14:paraId="5C07D9B2">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1.9.1投标人须知前附表规定召开投标预备会的，招标人按投标人须知前附表规定的时间和地点召开投标预备会，澄清投标人提出的问题。</w:t>
      </w:r>
    </w:p>
    <w:p w14:paraId="321BE22C">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1.9.2投标人应按投标人须知前附表规定的时间和形式将提出的问题送达招标人，以便招标人在会议期间澄清。</w:t>
      </w:r>
    </w:p>
    <w:p w14:paraId="67187C3D">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1.9.3投标预备会后，招标人将对投标人所提问题的澄清，以投标人须知前附表规定的形式通知所有购买招标文件的投标人。该澄清内容为招标文件的组成部分。</w:t>
      </w:r>
    </w:p>
    <w:p w14:paraId="50DF4503">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bookmarkStart w:id="21" w:name="bookmark30"/>
      <w:bookmarkEnd w:id="21"/>
      <w:r>
        <w:rPr>
          <w:rFonts w:hint="eastAsia" w:ascii="宋体" w:hAnsi="宋体" w:eastAsia="宋体" w:cs="宋体"/>
          <w:b/>
          <w:color w:val="auto"/>
          <w:kern w:val="2"/>
          <w:sz w:val="24"/>
          <w:szCs w:val="24"/>
          <w:highlight w:val="none"/>
          <w:lang w:val="en-US" w:eastAsia="zh-CN" w:bidi="ar"/>
        </w:rPr>
        <w:t>1.10 分包</w:t>
      </w:r>
    </w:p>
    <w:p w14:paraId="66233120">
      <w:pPr>
        <w:keepNext w:val="0"/>
        <w:keepLines w:val="0"/>
        <w:widowControl w:val="0"/>
        <w:suppressLineNumbers w:val="0"/>
        <w:kinsoku w:val="0"/>
        <w:overflowPunct w:val="0"/>
        <w:spacing w:before="0" w:beforeAutospacing="0" w:after="120" w:afterAutospacing="0" w:line="360" w:lineRule="auto"/>
        <w:ind w:left="0" w:right="0" w:firstLine="480" w:firstLineChars="200"/>
        <w:jc w:val="both"/>
        <w:rPr>
          <w:rFonts w:hint="eastAsia" w:ascii="宋体" w:hAnsi="宋体" w:eastAsia="宋体" w:cs="宋体"/>
          <w:color w:val="auto"/>
          <w:kern w:val="0"/>
          <w:sz w:val="24"/>
          <w:szCs w:val="24"/>
          <w:highlight w:val="none"/>
        </w:rPr>
      </w:pPr>
      <w:bookmarkStart w:id="22" w:name="bookmark31"/>
      <w:bookmarkEnd w:id="22"/>
      <w:r>
        <w:rPr>
          <w:rFonts w:hint="eastAsia" w:ascii="宋体" w:hAnsi="宋体" w:eastAsia="宋体" w:cs="宋体"/>
          <w:color w:val="auto"/>
          <w:kern w:val="0"/>
          <w:sz w:val="24"/>
          <w:szCs w:val="24"/>
          <w:highlight w:val="none"/>
          <w:lang w:val="en-US" w:eastAsia="zh-CN" w:bidi="ar"/>
        </w:rPr>
        <w:t>1.10.1投标人拟在中标后将中标项目的非主体设备进行分包的，应符合投标人须知前附表规定的分包内容、分包金额和资质要求等限制性条件，除投标人须知前附表规定的非主体设备外，其他工作不得分包。</w:t>
      </w:r>
    </w:p>
    <w:p w14:paraId="432D0335">
      <w:pPr>
        <w:keepNext w:val="0"/>
        <w:keepLines w:val="0"/>
        <w:widowControl w:val="0"/>
        <w:suppressLineNumbers w:val="0"/>
        <w:kinsoku w:val="0"/>
        <w:overflowPunct w:val="0"/>
        <w:spacing w:before="0" w:beforeAutospacing="0" w:after="12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1.10.2中标人不得向他人转让中标项目，接受分包的人不得再次分包。中标人应当就分包项目向招标人负责，接受分包的人就分包项目承担连带责任。</w:t>
      </w:r>
    </w:p>
    <w:p w14:paraId="1AA73450">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bookmarkStart w:id="23" w:name="bookmark32"/>
      <w:bookmarkEnd w:id="23"/>
      <w:r>
        <w:rPr>
          <w:rFonts w:hint="eastAsia" w:ascii="宋体" w:hAnsi="宋体" w:eastAsia="宋体" w:cs="宋体"/>
          <w:b/>
          <w:color w:val="auto"/>
          <w:kern w:val="2"/>
          <w:sz w:val="24"/>
          <w:szCs w:val="24"/>
          <w:highlight w:val="none"/>
          <w:lang w:val="en-US" w:eastAsia="zh-CN" w:bidi="ar"/>
        </w:rPr>
        <w:t>1.11 响应和偏差</w:t>
      </w:r>
    </w:p>
    <w:p w14:paraId="62430092">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bookmarkStart w:id="24" w:name="_Toc22910"/>
      <w:bookmarkEnd w:id="24"/>
      <w:bookmarkStart w:id="25" w:name="_Toc8885"/>
      <w:bookmarkEnd w:id="25"/>
      <w:bookmarkStart w:id="26" w:name="_Toc377719901"/>
      <w:bookmarkEnd w:id="26"/>
      <w:bookmarkStart w:id="27" w:name="_Toc4330"/>
      <w:bookmarkEnd w:id="27"/>
      <w:bookmarkStart w:id="28" w:name="_Toc3119"/>
      <w:bookmarkEnd w:id="28"/>
      <w:bookmarkStart w:id="29" w:name="_Toc31365"/>
      <w:bookmarkEnd w:id="29"/>
      <w:bookmarkStart w:id="30" w:name="_Toc532367874"/>
      <w:bookmarkEnd w:id="30"/>
      <w:bookmarkStart w:id="31" w:name="_Toc8160"/>
      <w:r>
        <w:rPr>
          <w:rFonts w:hint="eastAsia" w:ascii="宋体" w:hAnsi="宋体" w:eastAsia="宋体" w:cs="宋体"/>
          <w:color w:val="auto"/>
          <w:kern w:val="0"/>
          <w:sz w:val="24"/>
          <w:szCs w:val="24"/>
          <w:highlight w:val="none"/>
          <w:lang w:val="en-US" w:eastAsia="zh-CN" w:bidi="ar"/>
        </w:rPr>
        <w:t>1.11.1投标文件应当对招标文件的实质性要求和条件作出满足性或更有利于招标人的响应，否则，投标人的投标将被否决。实质性要求和条件见投标人须知前附表。</w:t>
      </w:r>
      <w:bookmarkEnd w:id="31"/>
    </w:p>
    <w:p w14:paraId="6EB61CD8">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1.11.2投标人应根据招标文件的要求提供投标设备技术性能指标的详细描述、技术支持资料及技术服务和质保期服务计划等内容以对招标文件作出响应。</w:t>
      </w:r>
    </w:p>
    <w:p w14:paraId="77339517">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1.11.3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5C0F13D2">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1.11.4投标人须知前附表规定了可以偏差的范围和最高偏差项数的，偏差应当符合投标人须知前附表规定的偏差范围和最高项数，超出偏差范围和最高偏差项数的投标将被否决。</w:t>
      </w:r>
    </w:p>
    <w:p w14:paraId="4FE6A2D4">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1.11.5投标文件对招标文件的全部偏差，均应在投标文件的商务和技术偏差表中列明，除列明的内容外，视为投标人响应招标文件的全部要求。</w:t>
      </w:r>
    </w:p>
    <w:p w14:paraId="1519B63B">
      <w:pPr>
        <w:keepNext/>
        <w:keepLines/>
        <w:widowControl w:val="0"/>
        <w:suppressLineNumbers w:val="0"/>
        <w:spacing w:before="240" w:beforeAutospacing="0" w:after="240" w:afterAutospacing="0" w:line="360" w:lineRule="auto"/>
        <w:ind w:left="0" w:right="0"/>
        <w:jc w:val="both"/>
        <w:outlineLvl w:val="2"/>
        <w:rPr>
          <w:rFonts w:hint="eastAsia" w:ascii="宋体" w:hAnsi="宋体" w:eastAsia="宋体" w:cs="宋体"/>
          <w:b/>
          <w:color w:val="auto"/>
          <w:kern w:val="2"/>
          <w:sz w:val="30"/>
          <w:szCs w:val="30"/>
          <w:highlight w:val="none"/>
        </w:rPr>
      </w:pPr>
      <w:bookmarkStart w:id="32" w:name="_Toc24924"/>
      <w:bookmarkEnd w:id="32"/>
      <w:bookmarkStart w:id="33" w:name="_Toc31503"/>
      <w:r>
        <w:rPr>
          <w:rFonts w:hint="eastAsia" w:ascii="宋体" w:hAnsi="宋体" w:eastAsia="宋体" w:cs="宋体"/>
          <w:b/>
          <w:color w:val="auto"/>
          <w:kern w:val="2"/>
          <w:sz w:val="30"/>
          <w:szCs w:val="30"/>
          <w:highlight w:val="none"/>
          <w:lang w:val="en-US" w:eastAsia="zh-CN" w:bidi="ar"/>
        </w:rPr>
        <w:t>2. 招标文件</w:t>
      </w:r>
      <w:bookmarkEnd w:id="33"/>
    </w:p>
    <w:p w14:paraId="1066DFF8">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2.1  招标文件的组成</w:t>
      </w:r>
    </w:p>
    <w:p w14:paraId="2DCF12B7">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本招标文件包括：</w:t>
      </w:r>
    </w:p>
    <w:p w14:paraId="31BF4F4F">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（1）招标公告（或投标邀请书）；</w:t>
      </w:r>
    </w:p>
    <w:p w14:paraId="2211241B">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（2）投标人须知；</w:t>
      </w:r>
    </w:p>
    <w:p w14:paraId="47D70363">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（3）评标办法；</w:t>
      </w:r>
    </w:p>
    <w:p w14:paraId="29740B9F">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（4）合同条款及格式；</w:t>
      </w:r>
    </w:p>
    <w:p w14:paraId="48C9E609">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（5）供货要求；</w:t>
      </w:r>
    </w:p>
    <w:p w14:paraId="29D1E3A0">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（6）投标文件格式；</w:t>
      </w:r>
    </w:p>
    <w:p w14:paraId="28A7EF22">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（7）投标人须知前附表规定的其他资料。</w:t>
      </w:r>
    </w:p>
    <w:p w14:paraId="72D0846A">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根据本章第1.9款、第2.2款和第2.3款对招标文件所作的澄清、修改，构成招标文件的组成部分。</w:t>
      </w:r>
    </w:p>
    <w:p w14:paraId="5F4608F2">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bookmarkStart w:id="34" w:name="_Toc377719902"/>
      <w:bookmarkEnd w:id="34"/>
      <w:r>
        <w:rPr>
          <w:rFonts w:hint="eastAsia" w:ascii="宋体" w:hAnsi="宋体" w:eastAsia="宋体" w:cs="宋体"/>
          <w:b/>
          <w:color w:val="auto"/>
          <w:kern w:val="2"/>
          <w:sz w:val="24"/>
          <w:szCs w:val="24"/>
          <w:highlight w:val="none"/>
          <w:lang w:val="en-US" w:eastAsia="zh-CN" w:bidi="ar"/>
        </w:rPr>
        <w:t>2.2.招标文件的澄清</w:t>
      </w:r>
    </w:p>
    <w:p w14:paraId="350CD859">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3ECECBA">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2.2.2招标文件的澄清以投标人须知前附表规定的形式发给所有潜在投标人，但不指明澄清问题的来源。澄清发出的时间距本章第4.2.1项规定的投标截止时间不足15日的，并且澄清内容可能影响投标文件编制的，将相应延长投标截止时间。</w:t>
      </w:r>
    </w:p>
    <w:p w14:paraId="583CE532">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2.2.3投标人在收到澄清后，应按投标人须知前附表规定的时间和形式通知招标人，确认已收到该澄清。</w:t>
      </w:r>
    </w:p>
    <w:p w14:paraId="7CE3333A">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2.2.4除非招标人认为确有必要答复，否则，招标人有权拒绝回复投标人在本章第2.2.1项规定的时间后的任何澄清要求。</w:t>
      </w:r>
    </w:p>
    <w:p w14:paraId="1DE714EF">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2.3 招标文件的修改</w:t>
      </w:r>
    </w:p>
    <w:p w14:paraId="4BBCCE99">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14:paraId="7F580202">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2.3.2投标人收到修改内容后，应按投标人须知前附表规定的时间和形式通知招标人，确认已收到该修改。</w:t>
      </w:r>
    </w:p>
    <w:p w14:paraId="2355FD19">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bookmarkStart w:id="35" w:name="bookmark37"/>
      <w:bookmarkEnd w:id="35"/>
      <w:r>
        <w:rPr>
          <w:rFonts w:hint="eastAsia" w:ascii="宋体" w:hAnsi="宋体" w:eastAsia="宋体" w:cs="宋体"/>
          <w:b/>
          <w:color w:val="auto"/>
          <w:kern w:val="2"/>
          <w:sz w:val="24"/>
          <w:szCs w:val="24"/>
          <w:highlight w:val="none"/>
          <w:lang w:val="en-US" w:eastAsia="zh-CN" w:bidi="ar"/>
        </w:rPr>
        <w:t>2.4 招标文件的异议</w:t>
      </w:r>
    </w:p>
    <w:p w14:paraId="56B7C84F">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投标人或者其他利害关系人对招标文件有异议的，应当在投标截止时间10日前以书面形式提出。招标人将在收到异议之日起3日内作出答复；作出答复前，将暂停招标投标活动。</w:t>
      </w:r>
      <w:r>
        <w:rPr>
          <w:rFonts w:hint="eastAsia" w:ascii="宋体" w:hAnsi="宋体" w:eastAsia="宋体" w:cs="宋体"/>
          <w:color w:val="auto"/>
          <w:kern w:val="2"/>
          <w:sz w:val="24"/>
          <w:szCs w:val="24"/>
          <w:highlight w:val="none"/>
          <w:u w:val="single"/>
          <w:lang w:val="en-US" w:eastAsia="zh-CN" w:bidi="ar"/>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AD28CE5">
      <w:pPr>
        <w:keepNext/>
        <w:keepLines/>
        <w:widowControl w:val="0"/>
        <w:suppressLineNumbers w:val="0"/>
        <w:spacing w:before="240" w:beforeAutospacing="0" w:after="240" w:afterAutospacing="0" w:line="360" w:lineRule="auto"/>
        <w:ind w:left="0" w:right="0"/>
        <w:jc w:val="left"/>
        <w:outlineLvl w:val="2"/>
        <w:rPr>
          <w:rFonts w:hint="eastAsia" w:ascii="宋体" w:hAnsi="宋体" w:eastAsia="宋体" w:cs="宋体"/>
          <w:b/>
          <w:color w:val="auto"/>
          <w:kern w:val="2"/>
          <w:sz w:val="30"/>
          <w:szCs w:val="30"/>
          <w:highlight w:val="none"/>
        </w:rPr>
      </w:pPr>
      <w:bookmarkStart w:id="36" w:name="_Toc30380"/>
      <w:bookmarkEnd w:id="36"/>
      <w:bookmarkStart w:id="37" w:name="_Toc15723"/>
      <w:bookmarkEnd w:id="37"/>
      <w:bookmarkStart w:id="38" w:name="_Toc1157"/>
      <w:bookmarkEnd w:id="38"/>
      <w:bookmarkStart w:id="39" w:name="_Toc23329"/>
      <w:bookmarkEnd w:id="39"/>
      <w:bookmarkStart w:id="40" w:name="_Toc14848"/>
      <w:bookmarkEnd w:id="40"/>
      <w:bookmarkStart w:id="41" w:name="_Toc6920"/>
      <w:bookmarkEnd w:id="41"/>
      <w:bookmarkStart w:id="42" w:name="_Toc532367875"/>
      <w:bookmarkEnd w:id="42"/>
      <w:bookmarkStart w:id="43" w:name="_Toc3526"/>
      <w:bookmarkEnd w:id="43"/>
      <w:bookmarkStart w:id="44" w:name="_Toc25907"/>
      <w:r>
        <w:rPr>
          <w:rFonts w:hint="eastAsia" w:ascii="宋体" w:hAnsi="宋体" w:eastAsia="宋体" w:cs="宋体"/>
          <w:b/>
          <w:color w:val="auto"/>
          <w:kern w:val="2"/>
          <w:sz w:val="30"/>
          <w:szCs w:val="30"/>
          <w:highlight w:val="none"/>
          <w:lang w:val="en-US" w:eastAsia="zh-CN" w:bidi="ar"/>
        </w:rPr>
        <w:t>3. 投标文件</w:t>
      </w:r>
      <w:bookmarkEnd w:id="44"/>
    </w:p>
    <w:p w14:paraId="461AC601">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3.1 组成投标文件的文件</w:t>
      </w:r>
    </w:p>
    <w:p w14:paraId="615CD53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3.1.1投标文件应包括下列内容：</w:t>
      </w:r>
      <w:r>
        <w:rPr>
          <w:rFonts w:hint="eastAsia" w:ascii="宋体" w:hAnsi="宋体" w:eastAsia="宋体" w:cs="宋体"/>
          <w:color w:val="auto"/>
          <w:kern w:val="2"/>
          <w:sz w:val="24"/>
          <w:szCs w:val="24"/>
          <w:highlight w:val="none"/>
          <w:u w:val="single"/>
          <w:lang w:val="en-US" w:eastAsia="zh-CN" w:bidi="ar"/>
        </w:rPr>
        <w:t>（详见第六章）</w:t>
      </w:r>
    </w:p>
    <w:p w14:paraId="2329818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（1）投标函及投标函附录；</w:t>
      </w:r>
    </w:p>
    <w:p w14:paraId="346FFAD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（2）法定代表人身份证明（适用于无委托代理人的情况）、授权委托书（适用于有委托代理人的情况）；</w:t>
      </w:r>
    </w:p>
    <w:p w14:paraId="308F9D3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宋体" w:hAnsi="宋体" w:eastAsia="宋体" w:cs="宋体"/>
          <w:color w:val="auto"/>
          <w:kern w:val="2"/>
          <w:sz w:val="24"/>
          <w:szCs w:val="24"/>
          <w:highlight w:val="none"/>
          <w:lang w:eastAsia="zh-CN" w:bidi="ar"/>
        </w:rPr>
        <w:t>3</w:t>
      </w:r>
      <w:r>
        <w:rPr>
          <w:rFonts w:hint="eastAsia" w:ascii="宋体" w:hAnsi="宋体" w:eastAsia="宋体" w:cs="宋体"/>
          <w:color w:val="auto"/>
          <w:kern w:val="2"/>
          <w:sz w:val="24"/>
          <w:szCs w:val="24"/>
          <w:highlight w:val="none"/>
          <w:lang w:val="en-US" w:eastAsia="zh-CN" w:bidi="ar"/>
        </w:rPr>
        <w:t>）报价表；</w:t>
      </w:r>
    </w:p>
    <w:p w14:paraId="60A96139">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auto"/>
          <w:kern w:val="2"/>
          <w:sz w:val="24"/>
          <w:szCs w:val="24"/>
          <w:highlight w:val="none"/>
          <w:lang w:bidi="ar"/>
        </w:rPr>
      </w:pPr>
      <w:r>
        <w:rPr>
          <w:rFonts w:hint="default" w:ascii="宋体" w:hAnsi="宋体" w:eastAsia="宋体" w:cs="宋体"/>
          <w:color w:val="auto"/>
          <w:kern w:val="2"/>
          <w:sz w:val="24"/>
          <w:szCs w:val="24"/>
          <w:highlight w:val="none"/>
          <w:lang w:eastAsia="zh-CN" w:bidi="ar"/>
        </w:rPr>
        <w:t>（4）</w:t>
      </w:r>
      <w:r>
        <w:rPr>
          <w:rFonts w:hint="eastAsia" w:ascii="宋体" w:hAnsi="宋体" w:eastAsia="宋体" w:cs="宋体"/>
          <w:color w:val="auto"/>
          <w:kern w:val="0"/>
          <w:sz w:val="24"/>
          <w:szCs w:val="24"/>
          <w:highlight w:val="none"/>
          <w:lang w:val="en-US" w:eastAsia="zh-CN" w:bidi="ar"/>
        </w:rPr>
        <w:t>商务和技术偏差表</w:t>
      </w:r>
      <w:r>
        <w:rPr>
          <w:rFonts w:hint="default" w:ascii="宋体" w:hAnsi="宋体" w:eastAsia="宋体" w:cs="宋体"/>
          <w:color w:val="auto"/>
          <w:kern w:val="0"/>
          <w:sz w:val="24"/>
          <w:szCs w:val="24"/>
          <w:highlight w:val="none"/>
          <w:lang w:eastAsia="zh-CN" w:bidi="ar"/>
        </w:rPr>
        <w:t>；</w:t>
      </w:r>
    </w:p>
    <w:p w14:paraId="0C3C5B4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w:t>
      </w:r>
      <w:r>
        <w:rPr>
          <w:rFonts w:hint="default" w:ascii="宋体" w:hAnsi="宋体" w:eastAsia="宋体" w:cs="宋体"/>
          <w:color w:val="auto"/>
          <w:kern w:val="2"/>
          <w:sz w:val="24"/>
          <w:szCs w:val="24"/>
          <w:highlight w:val="none"/>
          <w:lang w:eastAsia="zh-CN" w:bidi="ar"/>
        </w:rPr>
        <w:t>5</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spacing w:val="-8"/>
          <w:kern w:val="2"/>
          <w:sz w:val="24"/>
          <w:szCs w:val="24"/>
          <w:highlight w:val="none"/>
          <w:lang w:val="en-US" w:eastAsia="zh-CN" w:bidi="ar"/>
        </w:rPr>
        <w:t>商务部分（含资格审查部分</w:t>
      </w:r>
      <w:r>
        <w:rPr>
          <w:rFonts w:hint="eastAsia" w:ascii="宋体" w:hAnsi="宋体" w:eastAsia="宋体" w:cs="宋体"/>
          <w:color w:val="auto"/>
          <w:kern w:val="2"/>
          <w:sz w:val="24"/>
          <w:szCs w:val="24"/>
          <w:highlight w:val="none"/>
          <w:lang w:val="en-US" w:eastAsia="zh-CN" w:bidi="ar"/>
        </w:rPr>
        <w:t>）；</w:t>
      </w:r>
    </w:p>
    <w:p w14:paraId="2422E0D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1）资格审查资料</w:t>
      </w:r>
    </w:p>
    <w:p w14:paraId="6E3E38AF">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auto"/>
          <w:kern w:val="2"/>
          <w:sz w:val="24"/>
          <w:szCs w:val="24"/>
          <w:highlight w:val="none"/>
        </w:rPr>
      </w:pPr>
      <w:r>
        <w:rPr>
          <w:rFonts w:hint="default" w:ascii="宋体" w:hAnsi="宋体" w:eastAsia="宋体" w:cs="宋体"/>
          <w:color w:val="auto"/>
          <w:kern w:val="2"/>
          <w:sz w:val="24"/>
          <w:szCs w:val="24"/>
          <w:highlight w:val="none"/>
          <w:lang w:eastAsia="zh-CN" w:bidi="ar"/>
        </w:rPr>
        <w:t>2</w:t>
      </w:r>
      <w:r>
        <w:rPr>
          <w:rFonts w:hint="eastAsia" w:ascii="宋体" w:hAnsi="宋体" w:eastAsia="宋体" w:cs="宋体"/>
          <w:color w:val="auto"/>
          <w:kern w:val="2"/>
          <w:sz w:val="24"/>
          <w:szCs w:val="24"/>
          <w:highlight w:val="none"/>
          <w:lang w:val="en-US" w:eastAsia="zh-CN" w:bidi="ar"/>
        </w:rPr>
        <w:t>）</w:t>
      </w:r>
      <w:r>
        <w:rPr>
          <w:rFonts w:hint="default" w:ascii="宋体" w:hAnsi="宋体" w:eastAsia="宋体" w:cs="宋体"/>
          <w:color w:val="auto"/>
          <w:kern w:val="2"/>
          <w:sz w:val="24"/>
          <w:szCs w:val="24"/>
          <w:highlight w:val="none"/>
          <w:lang w:eastAsia="zh-CN" w:bidi="ar"/>
        </w:rPr>
        <w:t>近年完成的类似项目情况表</w:t>
      </w:r>
    </w:p>
    <w:p w14:paraId="11E76C9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default" w:ascii="宋体" w:hAnsi="宋体" w:eastAsia="宋体" w:cs="宋体"/>
          <w:color w:val="auto"/>
          <w:kern w:val="2"/>
          <w:sz w:val="24"/>
          <w:szCs w:val="24"/>
          <w:highlight w:val="none"/>
          <w:lang w:eastAsia="zh-CN" w:bidi="ar"/>
        </w:rPr>
        <w:t>3</w:t>
      </w:r>
      <w:r>
        <w:rPr>
          <w:rFonts w:hint="eastAsia" w:ascii="宋体" w:hAnsi="宋体" w:eastAsia="宋体" w:cs="宋体"/>
          <w:color w:val="auto"/>
          <w:kern w:val="2"/>
          <w:sz w:val="24"/>
          <w:szCs w:val="24"/>
          <w:highlight w:val="none"/>
          <w:lang w:val="en-US" w:eastAsia="zh-CN" w:bidi="ar"/>
        </w:rPr>
        <w:t>）投标人资信证明材料</w:t>
      </w:r>
    </w:p>
    <w:p w14:paraId="7EC88449">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auto"/>
          <w:kern w:val="2"/>
          <w:sz w:val="24"/>
          <w:szCs w:val="24"/>
          <w:highlight w:val="none"/>
          <w:lang w:bidi="ar"/>
        </w:rPr>
      </w:pPr>
      <w:r>
        <w:rPr>
          <w:rFonts w:hint="default" w:ascii="宋体" w:hAnsi="宋体" w:eastAsia="宋体" w:cs="宋体"/>
          <w:color w:val="auto"/>
          <w:kern w:val="2"/>
          <w:sz w:val="24"/>
          <w:szCs w:val="24"/>
          <w:highlight w:val="none"/>
          <w:lang w:eastAsia="zh-CN" w:bidi="ar"/>
        </w:rPr>
        <w:t>4）</w:t>
      </w:r>
      <w:r>
        <w:rPr>
          <w:rFonts w:hint="eastAsia" w:ascii="宋体" w:hAnsi="宋体" w:eastAsia="宋体" w:cs="宋体"/>
          <w:b w:val="0"/>
          <w:bCs w:val="0"/>
          <w:color w:val="auto"/>
          <w:spacing w:val="0"/>
          <w:kern w:val="2"/>
          <w:sz w:val="24"/>
          <w:szCs w:val="24"/>
          <w:highlight w:val="none"/>
          <w:lang w:val="en-US" w:eastAsia="zh-CN" w:bidi="ar"/>
        </w:rPr>
        <w:t>投入主要人员汇总表</w:t>
      </w:r>
    </w:p>
    <w:p w14:paraId="3D05289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default" w:ascii="宋体" w:hAnsi="宋体" w:eastAsia="宋体" w:cs="宋体"/>
          <w:color w:val="auto"/>
          <w:kern w:val="2"/>
          <w:sz w:val="24"/>
          <w:szCs w:val="24"/>
          <w:highlight w:val="none"/>
          <w:lang w:eastAsia="zh-CN" w:bidi="ar"/>
        </w:rPr>
        <w:t>5</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spacing w:val="-8"/>
          <w:kern w:val="2"/>
          <w:sz w:val="24"/>
          <w:szCs w:val="24"/>
          <w:highlight w:val="none"/>
          <w:lang w:val="en-US" w:eastAsia="zh-CN" w:bidi="ar"/>
        </w:rPr>
        <w:t>其他资料</w:t>
      </w:r>
    </w:p>
    <w:p w14:paraId="3F5DB61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宋体" w:hAnsi="宋体" w:eastAsia="宋体" w:cs="宋体"/>
          <w:color w:val="auto"/>
          <w:kern w:val="2"/>
          <w:sz w:val="24"/>
          <w:szCs w:val="24"/>
          <w:highlight w:val="none"/>
          <w:lang w:eastAsia="zh-CN" w:bidi="ar"/>
        </w:rPr>
        <w:t>6</w:t>
      </w:r>
      <w:r>
        <w:rPr>
          <w:rFonts w:hint="eastAsia" w:ascii="宋体" w:hAnsi="宋体" w:eastAsia="宋体" w:cs="宋体"/>
          <w:color w:val="auto"/>
          <w:kern w:val="2"/>
          <w:sz w:val="24"/>
          <w:szCs w:val="24"/>
          <w:highlight w:val="none"/>
          <w:lang w:val="en-US" w:eastAsia="zh-CN" w:bidi="ar"/>
        </w:rPr>
        <w:t>）技术部分；</w:t>
      </w:r>
    </w:p>
    <w:p w14:paraId="3109BCCD">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val="en-US" w:eastAsia="zh-CN" w:bidi="ar"/>
        </w:rPr>
        <w:t>1）</w:t>
      </w:r>
      <w:r>
        <w:rPr>
          <w:rFonts w:hint="default" w:ascii="宋体" w:hAnsi="宋体" w:eastAsia="宋体" w:cs="宋体"/>
          <w:color w:val="auto"/>
          <w:kern w:val="2"/>
          <w:sz w:val="24"/>
          <w:szCs w:val="24"/>
          <w:highlight w:val="none"/>
          <w:lang w:eastAsia="zh-CN" w:bidi="ar"/>
        </w:rPr>
        <w:t>实施进度计划</w:t>
      </w:r>
    </w:p>
    <w:p w14:paraId="118BECB0">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w:t>
      </w:r>
      <w:r>
        <w:rPr>
          <w:rFonts w:hint="default" w:ascii="宋体" w:hAnsi="宋体" w:eastAsia="宋体" w:cs="宋体"/>
          <w:color w:val="auto"/>
          <w:kern w:val="2"/>
          <w:sz w:val="24"/>
          <w:szCs w:val="24"/>
          <w:highlight w:val="none"/>
          <w:lang w:eastAsia="zh-CN" w:bidi="ar"/>
        </w:rPr>
        <w:t>实施工艺科学先进程度</w:t>
      </w:r>
    </w:p>
    <w:p w14:paraId="1B8E3CD5">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w:t>
      </w:r>
      <w:r>
        <w:rPr>
          <w:rFonts w:hint="default" w:ascii="宋体" w:hAnsi="宋体" w:eastAsia="宋体" w:cs="宋体"/>
          <w:color w:val="auto"/>
          <w:kern w:val="2"/>
          <w:sz w:val="24"/>
          <w:szCs w:val="24"/>
          <w:highlight w:val="none"/>
          <w:lang w:eastAsia="zh-CN" w:bidi="ar"/>
        </w:rPr>
        <w:t>赛事保障能力</w:t>
      </w:r>
    </w:p>
    <w:p w14:paraId="180ACD0A">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auto"/>
          <w:kern w:val="2"/>
          <w:sz w:val="24"/>
          <w:szCs w:val="24"/>
          <w:highlight w:val="none"/>
          <w:lang w:eastAsia="zh-CN" w:bidi="ar"/>
        </w:rPr>
      </w:pPr>
      <w:r>
        <w:rPr>
          <w:rFonts w:hint="default" w:ascii="宋体" w:hAnsi="宋体" w:eastAsia="宋体" w:cs="宋体"/>
          <w:color w:val="auto"/>
          <w:kern w:val="2"/>
          <w:sz w:val="24"/>
          <w:szCs w:val="24"/>
          <w:highlight w:val="none"/>
          <w:lang w:eastAsia="zh-CN" w:bidi="ar"/>
        </w:rPr>
        <w:t>4</w:t>
      </w:r>
      <w:r>
        <w:rPr>
          <w:rFonts w:hint="eastAsia" w:ascii="宋体" w:hAnsi="宋体" w:eastAsia="宋体" w:cs="宋体"/>
          <w:color w:val="auto"/>
          <w:kern w:val="2"/>
          <w:sz w:val="24"/>
          <w:szCs w:val="24"/>
          <w:highlight w:val="none"/>
          <w:lang w:eastAsia="zh-CN" w:bidi="ar"/>
        </w:rPr>
        <w:t>)</w:t>
      </w:r>
      <w:r>
        <w:rPr>
          <w:rFonts w:hint="default" w:ascii="宋体" w:hAnsi="宋体" w:eastAsia="宋体" w:cs="宋体"/>
          <w:color w:val="auto"/>
          <w:kern w:val="2"/>
          <w:sz w:val="24"/>
          <w:szCs w:val="24"/>
          <w:highlight w:val="none"/>
          <w:lang w:eastAsia="zh-CN" w:bidi="ar"/>
        </w:rPr>
        <w:t>售后保障能力</w:t>
      </w:r>
    </w:p>
    <w:p w14:paraId="71C7DC4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default" w:ascii="宋体" w:hAnsi="宋体" w:eastAsia="宋体" w:cs="宋体"/>
          <w:color w:val="auto"/>
          <w:kern w:val="2"/>
          <w:sz w:val="24"/>
          <w:szCs w:val="24"/>
          <w:highlight w:val="none"/>
          <w:lang w:eastAsia="zh-CN" w:bidi="ar"/>
        </w:rPr>
        <w:t>5）</w:t>
      </w:r>
      <w:r>
        <w:rPr>
          <w:rFonts w:hint="eastAsia" w:ascii="宋体" w:hAnsi="宋体" w:eastAsia="宋体" w:cs="宋体"/>
          <w:color w:val="auto"/>
          <w:kern w:val="2"/>
          <w:sz w:val="24"/>
          <w:szCs w:val="24"/>
          <w:highlight w:val="none"/>
          <w:lang w:val="en-US" w:eastAsia="zh-CN" w:bidi="ar"/>
        </w:rPr>
        <w:t>合理化建议</w:t>
      </w:r>
    </w:p>
    <w:p w14:paraId="6DE655D7">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eastAsia="zh-CN" w:bidi="ar"/>
        </w:rPr>
        <w:t>（7）</w:t>
      </w:r>
      <w:r>
        <w:rPr>
          <w:rFonts w:hint="eastAsia" w:ascii="宋体" w:hAnsi="宋体" w:eastAsia="宋体" w:cs="宋体"/>
          <w:color w:val="auto"/>
          <w:kern w:val="2"/>
          <w:sz w:val="24"/>
          <w:szCs w:val="24"/>
          <w:highlight w:val="none"/>
          <w:lang w:val="en-US" w:eastAsia="zh-CN" w:bidi="ar"/>
        </w:rPr>
        <w:t>赞助承诺函</w:t>
      </w:r>
    </w:p>
    <w:p w14:paraId="1BE1B67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eastAsia="zh-CN" w:bidi="ar"/>
        </w:rPr>
        <w:t>8</w:t>
      </w:r>
      <w:r>
        <w:rPr>
          <w:rFonts w:hint="eastAsia" w:ascii="宋体" w:hAnsi="宋体" w:eastAsia="宋体" w:cs="宋体"/>
          <w:color w:val="auto"/>
          <w:kern w:val="2"/>
          <w:sz w:val="24"/>
          <w:szCs w:val="24"/>
          <w:highlight w:val="none"/>
          <w:lang w:val="en-US" w:eastAsia="zh-CN" w:bidi="ar"/>
        </w:rPr>
        <w:t>）投标人</w:t>
      </w:r>
      <w:r>
        <w:rPr>
          <w:rFonts w:hint="default" w:ascii="宋体" w:hAnsi="宋体" w:eastAsia="宋体" w:cs="宋体"/>
          <w:color w:val="auto"/>
          <w:kern w:val="2"/>
          <w:sz w:val="24"/>
          <w:szCs w:val="24"/>
          <w:highlight w:val="none"/>
          <w:lang w:eastAsia="zh-CN" w:bidi="ar"/>
        </w:rPr>
        <w:t>认为需要提供的</w:t>
      </w:r>
      <w:r>
        <w:rPr>
          <w:rFonts w:hint="eastAsia" w:ascii="宋体" w:hAnsi="宋体" w:eastAsia="宋体" w:cs="宋体"/>
          <w:color w:val="auto"/>
          <w:kern w:val="2"/>
          <w:sz w:val="24"/>
          <w:szCs w:val="24"/>
          <w:highlight w:val="none"/>
          <w:lang w:val="en-US" w:eastAsia="zh-CN" w:bidi="ar"/>
        </w:rPr>
        <w:t>其他资料</w:t>
      </w:r>
    </w:p>
    <w:p w14:paraId="51B3D94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投标人在评标过程中作出的符合法律法规和招标文件规定的澄清确认，构成投标文件的组成部分。</w:t>
      </w:r>
    </w:p>
    <w:p w14:paraId="3A5EC3F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3.1.2投标人须知前附表规定不接受联合体投标的，或投标人没有组成联合体的，投标文件不包括本章第3.1.1（3）目所指的联合体协议书。</w:t>
      </w:r>
    </w:p>
    <w:p w14:paraId="4702D62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trike/>
          <w:dstrike w:val="0"/>
          <w:color w:val="auto"/>
          <w:kern w:val="2"/>
          <w:sz w:val="24"/>
          <w:szCs w:val="24"/>
          <w:highlight w:val="none"/>
        </w:rPr>
      </w:pPr>
      <w:r>
        <w:rPr>
          <w:rFonts w:hint="eastAsia" w:ascii="宋体" w:hAnsi="宋体" w:eastAsia="宋体" w:cs="宋体"/>
          <w:strike/>
          <w:dstrike w:val="0"/>
          <w:color w:val="auto"/>
          <w:kern w:val="2"/>
          <w:sz w:val="24"/>
          <w:szCs w:val="24"/>
          <w:highlight w:val="none"/>
          <w:lang w:val="en-US" w:eastAsia="zh-CN" w:bidi="ar"/>
        </w:rPr>
        <w:t>3.1.3投标人须知前附表未要求提交投标保证金的，投标文件不包括本章第3.1.1（4）目所指的投标保证金。</w:t>
      </w:r>
    </w:p>
    <w:p w14:paraId="45EE01D0">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3.2  投标价格</w:t>
      </w:r>
    </w:p>
    <w:p w14:paraId="089DCF4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3.2.1投标报价应包括国家规定的增值税税金，除投标人须知前附表另有规定外，增值税税金按一般计税方法计算。投标人应按第六章“投标文件格式”的要求在投标函中进行报价并填写</w:t>
      </w:r>
      <w:r>
        <w:rPr>
          <w:rFonts w:hint="eastAsia" w:ascii="宋体" w:hAnsi="宋体" w:eastAsia="宋体" w:cs="宋体"/>
          <w:b/>
          <w:bCs w:val="0"/>
          <w:color w:val="auto"/>
          <w:kern w:val="2"/>
          <w:sz w:val="24"/>
          <w:szCs w:val="24"/>
          <w:highlight w:val="none"/>
          <w:u w:val="single"/>
          <w:lang w:val="en-US" w:eastAsia="zh-CN" w:bidi="ar"/>
        </w:rPr>
        <w:t>报价表</w:t>
      </w:r>
      <w:r>
        <w:rPr>
          <w:rFonts w:hint="eastAsia" w:ascii="宋体" w:hAnsi="宋体" w:eastAsia="宋体" w:cs="宋体"/>
          <w:color w:val="auto"/>
          <w:kern w:val="2"/>
          <w:sz w:val="24"/>
          <w:szCs w:val="24"/>
          <w:highlight w:val="none"/>
          <w:lang w:val="en-US" w:eastAsia="zh-CN" w:bidi="ar"/>
        </w:rPr>
        <w:t>。</w:t>
      </w:r>
    </w:p>
    <w:p w14:paraId="7232663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3.2.2投标人应充分了解该项目的总体情况以及影响投标报价的其他要素。</w:t>
      </w:r>
    </w:p>
    <w:p w14:paraId="0C28B9D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3.2.3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w:t>
      </w:r>
      <w:r>
        <w:rPr>
          <w:rFonts w:hint="eastAsia" w:ascii="宋体" w:hAnsi="宋体" w:eastAsia="宋体" w:cs="宋体"/>
          <w:b/>
          <w:bCs w:val="0"/>
          <w:color w:val="auto"/>
          <w:kern w:val="2"/>
          <w:sz w:val="24"/>
          <w:szCs w:val="24"/>
          <w:highlight w:val="none"/>
          <w:u w:val="single"/>
          <w:lang w:val="en-US" w:eastAsia="zh-CN" w:bidi="ar"/>
        </w:rPr>
        <w:t>报价表</w:t>
      </w:r>
      <w:r>
        <w:rPr>
          <w:rFonts w:hint="eastAsia" w:ascii="宋体" w:hAnsi="宋体" w:eastAsia="宋体" w:cs="宋体"/>
          <w:color w:val="auto"/>
          <w:kern w:val="2"/>
          <w:sz w:val="24"/>
          <w:szCs w:val="24"/>
          <w:highlight w:val="none"/>
          <w:lang w:val="en-US" w:eastAsia="zh-CN" w:bidi="ar"/>
        </w:rPr>
        <w:t>中的相应报价。此修改须符合本章第4.3款的有关要求。</w:t>
      </w:r>
    </w:p>
    <w:p w14:paraId="6A5A932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3.2.4招标人设有最高投标限价的，投标人的投标报价不得超过最高投标限价，最高投标限价在投标人须知前附表中载明。</w:t>
      </w:r>
      <w:r>
        <w:rPr>
          <w:rFonts w:hint="eastAsia" w:ascii="宋体" w:hAnsi="宋体" w:eastAsia="宋体" w:cs="宋体"/>
          <w:color w:val="auto"/>
          <w:kern w:val="2"/>
          <w:sz w:val="24"/>
          <w:szCs w:val="24"/>
          <w:highlight w:val="none"/>
          <w:u w:val="single"/>
          <w:lang w:val="en-US" w:eastAsia="zh-CN" w:bidi="ar"/>
        </w:rPr>
        <w:t>非竞争费用：见投标人须知前附表。</w:t>
      </w:r>
    </w:p>
    <w:p w14:paraId="19C5796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3.2.5投标报价的其他要求见投标人须知前附表。</w:t>
      </w:r>
    </w:p>
    <w:p w14:paraId="16FCDC69">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3.3  投标有效期</w:t>
      </w:r>
    </w:p>
    <w:p w14:paraId="6BF0D67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3.3.1除投标人须知前附表另有规定外，投标有效期为90天。</w:t>
      </w:r>
    </w:p>
    <w:p w14:paraId="6F5BAB7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3.3.2在投标有效期内，投标人撤销投标文件的，应承担招标文件和法律规定的责任。</w:t>
      </w:r>
    </w:p>
    <w:p w14:paraId="5B97D8D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3.3.3出现特殊情况需要延长投标有效期的，招标人以书面形式通知所有投标人延长投标有效期。投标人应予以书面答复。</w:t>
      </w:r>
    </w:p>
    <w:p w14:paraId="7B7A77EB">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bookmarkStart w:id="45" w:name="_Toc511383850"/>
      <w:bookmarkEnd w:id="45"/>
      <w:r>
        <w:rPr>
          <w:rFonts w:hint="eastAsia" w:ascii="宋体" w:hAnsi="宋体" w:eastAsia="宋体" w:cs="宋体"/>
          <w:b/>
          <w:color w:val="auto"/>
          <w:kern w:val="2"/>
          <w:sz w:val="24"/>
          <w:szCs w:val="24"/>
          <w:highlight w:val="none"/>
          <w:lang w:val="en-US" w:eastAsia="zh-CN" w:bidi="ar"/>
        </w:rPr>
        <w:t>3.4  投标保证金</w:t>
      </w:r>
    </w:p>
    <w:p w14:paraId="4E5A1F4D">
      <w:pPr>
        <w:pStyle w:val="9"/>
        <w:widowControl/>
        <w:spacing w:before="0" w:beforeAutospacing="1"/>
        <w:ind w:left="0" w:leftChars="0" w:right="0" w:firstLine="420" w:firstLineChars="0"/>
        <w:rPr>
          <w:rFonts w:hint="eastAsia" w:ascii="Calibri" w:hAnsi="Calibri"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u w:val="single"/>
        </w:rPr>
        <w:t>本项目不要求递交投标保证金。</w:t>
      </w:r>
    </w:p>
    <w:p w14:paraId="01E066A2">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strike/>
          <w:dstrike w:val="0"/>
          <w:color w:val="auto"/>
          <w:kern w:val="2"/>
          <w:sz w:val="24"/>
          <w:szCs w:val="24"/>
          <w:highlight w:val="none"/>
        </w:rPr>
      </w:pPr>
      <w:r>
        <w:rPr>
          <w:rFonts w:hint="eastAsia" w:ascii="宋体" w:hAnsi="宋体" w:eastAsia="宋体" w:cs="宋体"/>
          <w:b/>
          <w:strike/>
          <w:dstrike w:val="0"/>
          <w:color w:val="auto"/>
          <w:kern w:val="2"/>
          <w:sz w:val="24"/>
          <w:szCs w:val="24"/>
          <w:highlight w:val="none"/>
          <w:lang w:val="en-US" w:eastAsia="zh-CN" w:bidi="ar"/>
        </w:rPr>
        <w:t>3.5 资格审查资料（适用于已进行资格预审的）</w:t>
      </w:r>
    </w:p>
    <w:p w14:paraId="3792C1A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strike/>
          <w:dstrike w:val="0"/>
          <w:color w:val="auto"/>
          <w:kern w:val="2"/>
          <w:sz w:val="24"/>
          <w:szCs w:val="24"/>
          <w:highlight w:val="none"/>
          <w:lang w:val="en-US" w:eastAsia="zh-CN" w:bidi="ar"/>
        </w:rPr>
        <w:t>投标人在递交投标文件前，发生可能影响其投标资格的新情况的，应更新或补充其在申请资格预审时提供的资料，以证实其各项资格条件仍能继续满足资格预审文件的要求，且没有实质性降低。</w:t>
      </w:r>
    </w:p>
    <w:p w14:paraId="09D22398">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3.5 资格审查资料（适用于未进行资格预审的）</w:t>
      </w:r>
    </w:p>
    <w:p w14:paraId="2D6DB14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除投标人须知前附表另有规定外，投标人应按下列规定提供资格审查资料，以证明其满足本章第1.4款规定的资质、财务、业绩、信誉等要求。</w:t>
      </w:r>
    </w:p>
    <w:p w14:paraId="6633961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3.5.1“投标人基本情况表”应附</w:t>
      </w:r>
      <w:r>
        <w:rPr>
          <w:rFonts w:hint="eastAsia" w:ascii="宋体" w:hAnsi="宋体" w:eastAsia="宋体" w:cs="宋体"/>
          <w:strike/>
          <w:dstrike w:val="0"/>
          <w:color w:val="auto"/>
          <w:kern w:val="2"/>
          <w:sz w:val="24"/>
          <w:szCs w:val="24"/>
          <w:highlight w:val="none"/>
          <w:lang w:val="en-US" w:eastAsia="zh-CN" w:bidi="ar"/>
        </w:rPr>
        <w:t>投标人及其制造商（适用于代理经销商投标的情形）资格或者资质证书副本和投标材料检验或认证等材料的</w:t>
      </w:r>
      <w:r>
        <w:rPr>
          <w:rFonts w:hint="eastAsia" w:ascii="宋体" w:hAnsi="宋体" w:eastAsia="宋体" w:cs="宋体"/>
          <w:strike/>
          <w:dstrike w:val="0"/>
          <w:color w:val="auto"/>
          <w:kern w:val="2"/>
          <w:sz w:val="24"/>
          <w:szCs w:val="24"/>
          <w:highlight w:val="none"/>
          <w:u w:val="single"/>
          <w:lang w:val="en-US" w:eastAsia="zh-CN" w:bidi="ar"/>
        </w:rPr>
        <w:t>扫描件</w:t>
      </w:r>
      <w:r>
        <w:rPr>
          <w:rFonts w:hint="eastAsia" w:ascii="宋体" w:hAnsi="宋体" w:eastAsia="宋体" w:cs="宋体"/>
          <w:strike/>
          <w:dstrike w:val="0"/>
          <w:color w:val="auto"/>
          <w:kern w:val="2"/>
          <w:sz w:val="24"/>
          <w:szCs w:val="24"/>
          <w:highlight w:val="none"/>
          <w:lang w:val="en-US" w:eastAsia="zh-CN" w:bidi="ar"/>
        </w:rPr>
        <w:t>以及</w:t>
      </w:r>
      <w:r>
        <w:rPr>
          <w:rFonts w:hint="eastAsia" w:ascii="宋体" w:hAnsi="宋体" w:eastAsia="宋体" w:cs="宋体"/>
          <w:color w:val="auto"/>
          <w:kern w:val="2"/>
          <w:sz w:val="24"/>
          <w:szCs w:val="24"/>
          <w:highlight w:val="none"/>
          <w:lang w:val="en-US" w:eastAsia="zh-CN" w:bidi="ar"/>
        </w:rPr>
        <w:t>：</w:t>
      </w:r>
    </w:p>
    <w:p w14:paraId="67AEE3E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（1）投标人为企业的，应提交营业执照和组织机构代码证的</w:t>
      </w:r>
      <w:r>
        <w:rPr>
          <w:rFonts w:hint="eastAsia" w:ascii="宋体" w:hAnsi="宋体" w:eastAsia="宋体" w:cs="宋体"/>
          <w:color w:val="auto"/>
          <w:kern w:val="2"/>
          <w:sz w:val="24"/>
          <w:szCs w:val="24"/>
          <w:highlight w:val="none"/>
          <w:u w:val="single"/>
          <w:lang w:val="en-US" w:eastAsia="zh-CN" w:bidi="ar"/>
        </w:rPr>
        <w:t>扫描件</w:t>
      </w:r>
      <w:r>
        <w:rPr>
          <w:rFonts w:hint="eastAsia" w:ascii="宋体" w:hAnsi="宋体" w:eastAsia="宋体" w:cs="宋体"/>
          <w:color w:val="auto"/>
          <w:kern w:val="2"/>
          <w:sz w:val="24"/>
          <w:szCs w:val="24"/>
          <w:highlight w:val="none"/>
          <w:lang w:val="en-US" w:eastAsia="zh-CN" w:bidi="ar"/>
        </w:rPr>
        <w:t>（按照“三证合一”或“五证合一”登记制度进行登记的，可仅提供营业执照</w:t>
      </w:r>
      <w:r>
        <w:rPr>
          <w:rFonts w:hint="eastAsia" w:ascii="宋体" w:hAnsi="宋体" w:eastAsia="宋体" w:cs="宋体"/>
          <w:color w:val="auto"/>
          <w:kern w:val="2"/>
          <w:sz w:val="24"/>
          <w:szCs w:val="24"/>
          <w:highlight w:val="none"/>
          <w:u w:val="single"/>
          <w:lang w:val="en-US" w:eastAsia="zh-CN" w:bidi="ar"/>
        </w:rPr>
        <w:t>扫描件</w:t>
      </w:r>
      <w:r>
        <w:rPr>
          <w:rFonts w:hint="eastAsia" w:ascii="宋体" w:hAnsi="宋体" w:eastAsia="宋体" w:cs="宋体"/>
          <w:color w:val="auto"/>
          <w:kern w:val="2"/>
          <w:sz w:val="24"/>
          <w:szCs w:val="24"/>
          <w:highlight w:val="none"/>
          <w:lang w:val="en-US" w:eastAsia="zh-CN" w:bidi="ar"/>
        </w:rPr>
        <w:t>）；</w:t>
      </w:r>
    </w:p>
    <w:p w14:paraId="548DEF2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（2）投标人为依法允许经营的事业单位的，应提交</w:t>
      </w:r>
      <w:r>
        <w:rPr>
          <w:rFonts w:hint="eastAsia" w:ascii="宋体" w:hAnsi="宋体" w:eastAsia="宋体" w:cs="宋体"/>
          <w:color w:val="auto"/>
          <w:kern w:val="2"/>
          <w:sz w:val="24"/>
          <w:szCs w:val="24"/>
          <w:highlight w:val="none"/>
          <w:u w:val="single"/>
          <w:lang w:val="en-US" w:eastAsia="zh-CN" w:bidi="ar"/>
        </w:rPr>
        <w:t>有效期内事业单位登记管理部门核发的事业单位法人证书扫描件</w:t>
      </w:r>
      <w:r>
        <w:rPr>
          <w:rFonts w:hint="eastAsia" w:ascii="宋体" w:hAnsi="宋体" w:eastAsia="宋体" w:cs="宋体"/>
          <w:color w:val="auto"/>
          <w:kern w:val="2"/>
          <w:sz w:val="24"/>
          <w:szCs w:val="24"/>
          <w:highlight w:val="none"/>
          <w:lang w:val="en-US" w:eastAsia="zh-CN" w:bidi="ar"/>
        </w:rPr>
        <w:t>。</w:t>
      </w:r>
    </w:p>
    <w:p w14:paraId="3C716B4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strike/>
          <w:dstrike w:val="0"/>
          <w:color w:val="auto"/>
          <w:kern w:val="2"/>
          <w:sz w:val="24"/>
          <w:szCs w:val="24"/>
          <w:highlight w:val="none"/>
          <w:lang w:val="en-US" w:eastAsia="zh-CN" w:bidi="ar"/>
        </w:rPr>
        <w:t>3.5.2“近年财务状况表”应附经会计师事务所或审计机构审计的财务会计报表，包括资产负债表、现金流量表、利润表和财务情况说明书的</w:t>
      </w:r>
      <w:r>
        <w:rPr>
          <w:rFonts w:hint="eastAsia" w:ascii="宋体" w:hAnsi="宋体" w:eastAsia="宋体" w:cs="宋体"/>
          <w:strike/>
          <w:dstrike w:val="0"/>
          <w:color w:val="auto"/>
          <w:kern w:val="2"/>
          <w:sz w:val="24"/>
          <w:szCs w:val="24"/>
          <w:highlight w:val="none"/>
          <w:u w:val="single"/>
          <w:lang w:val="en-US" w:eastAsia="zh-CN" w:bidi="ar"/>
        </w:rPr>
        <w:t>扫描件</w:t>
      </w:r>
      <w:r>
        <w:rPr>
          <w:rFonts w:hint="eastAsia" w:ascii="宋体" w:hAnsi="宋体" w:eastAsia="宋体" w:cs="宋体"/>
          <w:strike/>
          <w:dstrike w:val="0"/>
          <w:color w:val="auto"/>
          <w:kern w:val="2"/>
          <w:sz w:val="24"/>
          <w:szCs w:val="24"/>
          <w:highlight w:val="none"/>
          <w:lang w:val="en-US" w:eastAsia="zh-CN" w:bidi="ar"/>
        </w:rPr>
        <w:t>，具体年份要求见投标人须知前附表。投标人的成立时间少于投标人须知前附表规定年份的，应提供成立以来的财务状况表。（如需）</w:t>
      </w:r>
    </w:p>
    <w:p w14:paraId="0434E49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3.5.3“</w:t>
      </w:r>
      <w:r>
        <w:rPr>
          <w:rFonts w:hint="eastAsia" w:ascii="宋体" w:hAnsi="宋体" w:eastAsia="宋体" w:cs="宋体"/>
          <w:color w:val="auto"/>
          <w:kern w:val="2"/>
          <w:sz w:val="24"/>
          <w:szCs w:val="24"/>
          <w:highlight w:val="none"/>
          <w:u w:val="single"/>
          <w:lang w:val="en-US" w:eastAsia="zh-CN" w:bidi="ar"/>
        </w:rPr>
        <w:t>近年完成的类似项目情况表（资格审查）</w:t>
      </w:r>
      <w:r>
        <w:rPr>
          <w:rFonts w:hint="eastAsia" w:ascii="宋体" w:hAnsi="宋体" w:eastAsia="宋体" w:cs="宋体"/>
          <w:color w:val="auto"/>
          <w:kern w:val="2"/>
          <w:sz w:val="24"/>
          <w:szCs w:val="24"/>
          <w:highlight w:val="none"/>
          <w:lang w:val="en-US" w:eastAsia="zh-CN" w:bidi="ar"/>
        </w:rPr>
        <w:t>”应附按招标公告3.2要求提供相关证明材料的</w:t>
      </w:r>
      <w:r>
        <w:rPr>
          <w:rFonts w:hint="eastAsia" w:ascii="宋体" w:hAnsi="宋体" w:eastAsia="宋体" w:cs="宋体"/>
          <w:color w:val="auto"/>
          <w:kern w:val="2"/>
          <w:sz w:val="24"/>
          <w:szCs w:val="24"/>
          <w:highlight w:val="none"/>
          <w:u w:val="single"/>
          <w:lang w:val="en-US" w:eastAsia="zh-CN" w:bidi="ar"/>
        </w:rPr>
        <w:t>扫描件</w:t>
      </w:r>
      <w:r>
        <w:rPr>
          <w:rFonts w:hint="eastAsia" w:ascii="宋体" w:hAnsi="宋体" w:eastAsia="宋体" w:cs="宋体"/>
          <w:color w:val="auto"/>
          <w:kern w:val="2"/>
          <w:sz w:val="24"/>
          <w:szCs w:val="24"/>
          <w:highlight w:val="none"/>
          <w:lang w:val="en-US" w:eastAsia="zh-CN" w:bidi="ar"/>
        </w:rPr>
        <w:t>。每张表格只填写一个项目，并标明序号。（如需）</w:t>
      </w:r>
    </w:p>
    <w:p w14:paraId="15AD85F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trike/>
          <w:dstrike w:val="0"/>
          <w:color w:val="auto"/>
          <w:kern w:val="2"/>
          <w:sz w:val="24"/>
          <w:szCs w:val="24"/>
          <w:highlight w:val="none"/>
        </w:rPr>
      </w:pPr>
      <w:r>
        <w:rPr>
          <w:rFonts w:hint="eastAsia" w:ascii="宋体" w:hAnsi="宋体" w:eastAsia="宋体" w:cs="宋体"/>
          <w:strike/>
          <w:dstrike w:val="0"/>
          <w:color w:val="auto"/>
          <w:kern w:val="2"/>
          <w:sz w:val="24"/>
          <w:szCs w:val="24"/>
          <w:highlight w:val="none"/>
          <w:lang w:val="en-US" w:eastAsia="zh-CN" w:bidi="ar"/>
        </w:rPr>
        <w:t>3.5.4“近年发生的诉讼及仲裁情况”应说明投标人败诉的设备买卖合同的相关情况，并附法院或仲裁机构作出的判决、裁决等有关法律文书</w:t>
      </w:r>
      <w:r>
        <w:rPr>
          <w:rFonts w:hint="eastAsia" w:ascii="宋体" w:hAnsi="宋体" w:eastAsia="宋体" w:cs="宋体"/>
          <w:strike/>
          <w:dstrike w:val="0"/>
          <w:color w:val="auto"/>
          <w:kern w:val="2"/>
          <w:sz w:val="24"/>
          <w:szCs w:val="24"/>
          <w:highlight w:val="none"/>
          <w:u w:val="single"/>
          <w:lang w:val="en-US" w:eastAsia="zh-CN" w:bidi="ar"/>
        </w:rPr>
        <w:t>扫描件</w:t>
      </w:r>
      <w:r>
        <w:rPr>
          <w:rFonts w:hint="eastAsia" w:ascii="宋体" w:hAnsi="宋体" w:eastAsia="宋体" w:cs="宋体"/>
          <w:strike/>
          <w:dstrike w:val="0"/>
          <w:color w:val="auto"/>
          <w:kern w:val="2"/>
          <w:sz w:val="24"/>
          <w:szCs w:val="24"/>
          <w:highlight w:val="none"/>
          <w:lang w:val="en-US" w:eastAsia="zh-CN" w:bidi="ar"/>
        </w:rPr>
        <w:t>，具体时间要求见投标人须知前附表。（如需）</w:t>
      </w:r>
    </w:p>
    <w:p w14:paraId="3B37334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3.5.5投标人须知前附表规定接受联合体投标的，本章第3.5.1项至第3.5.4项规定的表格和资料应包括联合体各方相关情况。</w:t>
      </w:r>
    </w:p>
    <w:p w14:paraId="50659296">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3.6 备选投标方案</w:t>
      </w:r>
    </w:p>
    <w:p w14:paraId="4B87511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3.6.1除投标人须知前附表规定允许外，投标人不得递交备选投标方案，否则其投标将被否决。</w:t>
      </w:r>
    </w:p>
    <w:p w14:paraId="374E671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0E83811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3.6.3投标人提供两个或两个以上投标报价，或者在投标文件中提供一个报价，但同时提供两个或两个以上服务方案的，视为提供备选方案。</w:t>
      </w:r>
    </w:p>
    <w:p w14:paraId="2BAE4E4E">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bookmarkStart w:id="46" w:name="bookmark46"/>
      <w:bookmarkEnd w:id="46"/>
      <w:r>
        <w:rPr>
          <w:rFonts w:hint="eastAsia" w:ascii="宋体" w:hAnsi="宋体" w:eastAsia="宋体" w:cs="宋体"/>
          <w:b/>
          <w:color w:val="auto"/>
          <w:kern w:val="2"/>
          <w:sz w:val="24"/>
          <w:szCs w:val="24"/>
          <w:highlight w:val="none"/>
          <w:lang w:val="en-US" w:eastAsia="zh-CN" w:bidi="ar"/>
        </w:rPr>
        <w:t>3.7 投标文件的编制</w:t>
      </w:r>
    </w:p>
    <w:p w14:paraId="1CCC3B1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3.7.1投标文件应按第六章“投标文件格式”进行编写，如有必要，可以增加附页，作为投标文件的组成部分。</w:t>
      </w:r>
    </w:p>
    <w:p w14:paraId="72F3263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3.7.2投标文件应当对招标文件有关供货期、投标有效期、供货要求、招标范围等实质性内容作出响应。投标文件在满足招标文件实质性要求的基础上，可以提出比招标文件要求更有利于招标人的承诺。</w:t>
      </w:r>
    </w:p>
    <w:p w14:paraId="2A40989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641D0DCC">
      <w:pPr>
        <w:keepNext/>
        <w:keepLines/>
        <w:widowControl w:val="0"/>
        <w:suppressLineNumbers w:val="0"/>
        <w:spacing w:before="240" w:beforeAutospacing="0" w:after="240" w:afterAutospacing="0" w:line="360" w:lineRule="auto"/>
        <w:ind w:left="0" w:right="0"/>
        <w:jc w:val="left"/>
        <w:outlineLvl w:val="2"/>
        <w:rPr>
          <w:rFonts w:hint="eastAsia" w:ascii="宋体" w:hAnsi="宋体" w:eastAsia="宋体" w:cs="宋体"/>
          <w:b/>
          <w:color w:val="auto"/>
          <w:kern w:val="2"/>
          <w:sz w:val="30"/>
          <w:szCs w:val="30"/>
          <w:highlight w:val="none"/>
        </w:rPr>
      </w:pPr>
      <w:bookmarkStart w:id="47" w:name="_Toc25065"/>
      <w:bookmarkEnd w:id="47"/>
      <w:bookmarkStart w:id="48" w:name="_Toc23284"/>
      <w:bookmarkEnd w:id="48"/>
      <w:bookmarkStart w:id="49" w:name="_Toc377719903"/>
      <w:bookmarkEnd w:id="49"/>
      <w:bookmarkStart w:id="50" w:name="_Toc3554"/>
      <w:bookmarkEnd w:id="50"/>
      <w:bookmarkStart w:id="51" w:name="_Toc23220"/>
      <w:bookmarkEnd w:id="51"/>
      <w:bookmarkStart w:id="52" w:name="_Toc532367876"/>
      <w:bookmarkEnd w:id="52"/>
      <w:bookmarkStart w:id="53" w:name="_Toc31557"/>
      <w:bookmarkEnd w:id="53"/>
      <w:bookmarkStart w:id="54" w:name="_Toc24378"/>
      <w:bookmarkEnd w:id="54"/>
      <w:bookmarkStart w:id="55" w:name="_Toc29593"/>
      <w:bookmarkEnd w:id="55"/>
      <w:bookmarkStart w:id="56" w:name="_Toc9342"/>
      <w:r>
        <w:rPr>
          <w:rFonts w:hint="eastAsia" w:ascii="宋体" w:hAnsi="宋体" w:eastAsia="宋体" w:cs="宋体"/>
          <w:b/>
          <w:color w:val="auto"/>
          <w:kern w:val="2"/>
          <w:sz w:val="30"/>
          <w:szCs w:val="30"/>
          <w:highlight w:val="none"/>
          <w:lang w:val="en-US" w:eastAsia="zh-CN" w:bidi="ar"/>
        </w:rPr>
        <w:t>4. 投标</w:t>
      </w:r>
      <w:bookmarkEnd w:id="56"/>
    </w:p>
    <w:p w14:paraId="0448903C">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4.1 投标文件的密封和标记</w:t>
      </w:r>
    </w:p>
    <w:p w14:paraId="71DB553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4.1.1（B）投标人应当按照招标文件和电子招标投标交易平台的要求加密投标文件，具体要求见投标人须知前附表。</w:t>
      </w:r>
    </w:p>
    <w:p w14:paraId="2BBEA0C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4.1.2投标文件封套上应写明的内容见投标人须知前附表。</w:t>
      </w:r>
    </w:p>
    <w:p w14:paraId="55D5D59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4.1.3未按本章第4.1.1项要求密封的投标文件，招标人将予以拒收。</w:t>
      </w:r>
    </w:p>
    <w:p w14:paraId="49C10CDF">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4.2 投标文件的递交</w:t>
      </w:r>
    </w:p>
    <w:p w14:paraId="5934AC1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4.2.1投标人应在投标人须知前附表规定的投标截止时间前递交投标文件。</w:t>
      </w:r>
    </w:p>
    <w:p w14:paraId="5EA9A5B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4.2.2（B）投标人通过下载招标文件的电子招标投标交易平台递交电子投标文件。</w:t>
      </w:r>
    </w:p>
    <w:p w14:paraId="58B1283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4.2.3除投标人须知前附表另有规定外，投标人所递交的投标文件不予退还。</w:t>
      </w:r>
    </w:p>
    <w:p w14:paraId="13031C9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4.2.4（B）投标人完成电子投标文件上传后，电子招标投标交易平台即时向投标人发出递交回执通知。递交时间以递交回执通知载明的传输完成时间为准。</w:t>
      </w:r>
    </w:p>
    <w:p w14:paraId="318A4E3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4.2.5（B）逾期送达的投标文件，电子招标投标交易平台将予以拒收。</w:t>
      </w:r>
    </w:p>
    <w:p w14:paraId="1E9DAF74">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4.3  投标文件的修改与撤回</w:t>
      </w:r>
    </w:p>
    <w:p w14:paraId="66C045E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4.3.1在本章第4.2.1项规定的投标截止时间前，投标人可以修改或撤回已递交的投标文件，但应以书面形式通知招标人。</w:t>
      </w:r>
    </w:p>
    <w:p w14:paraId="11E532D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4.3.2（B）投标人修改或撤回已递交投标文件的通知，应按照本章第3.7.3（B）项的要求加盖电子印章。电子招标投标交易平台收到通知后，即时向投标人发出确认回执通知。</w:t>
      </w:r>
    </w:p>
    <w:p w14:paraId="2A426DE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trike/>
          <w:dstrike w:val="0"/>
          <w:color w:val="auto"/>
          <w:kern w:val="2"/>
          <w:sz w:val="24"/>
          <w:szCs w:val="24"/>
          <w:highlight w:val="none"/>
        </w:rPr>
      </w:pPr>
      <w:r>
        <w:rPr>
          <w:rFonts w:hint="eastAsia" w:ascii="宋体" w:hAnsi="宋体" w:eastAsia="宋体" w:cs="宋体"/>
          <w:strike/>
          <w:dstrike w:val="0"/>
          <w:color w:val="auto"/>
          <w:kern w:val="2"/>
          <w:sz w:val="24"/>
          <w:szCs w:val="24"/>
          <w:highlight w:val="none"/>
          <w:lang w:val="en-US" w:eastAsia="zh-CN" w:bidi="ar"/>
        </w:rPr>
        <w:t>4.3.3投标人撤回投标文件的，招标人自收到投标人书面撤回通知之日起5日内退还已收取的投标保证金。</w:t>
      </w:r>
    </w:p>
    <w:p w14:paraId="0F07A7E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4.3.4修改的内容为投标文件的组成部分。修改的投标文件应按照本章第3条、第4条的规定进行编制、密封、标记和递交，并标明“修改”字样。</w:t>
      </w:r>
    </w:p>
    <w:p w14:paraId="39035E52">
      <w:pPr>
        <w:keepNext/>
        <w:keepLines/>
        <w:widowControl w:val="0"/>
        <w:suppressLineNumbers w:val="0"/>
        <w:spacing w:before="240" w:beforeAutospacing="0" w:after="240" w:afterAutospacing="0" w:line="360" w:lineRule="auto"/>
        <w:ind w:left="0" w:right="0"/>
        <w:jc w:val="both"/>
        <w:outlineLvl w:val="2"/>
        <w:rPr>
          <w:rFonts w:hint="eastAsia" w:ascii="宋体" w:hAnsi="宋体" w:eastAsia="宋体" w:cs="宋体"/>
          <w:b/>
          <w:color w:val="auto"/>
          <w:kern w:val="2"/>
          <w:sz w:val="30"/>
          <w:szCs w:val="30"/>
          <w:highlight w:val="none"/>
        </w:rPr>
      </w:pPr>
      <w:bookmarkStart w:id="57" w:name="_Toc10549"/>
      <w:bookmarkEnd w:id="57"/>
      <w:bookmarkStart w:id="58" w:name="_Toc17418"/>
      <w:bookmarkEnd w:id="58"/>
      <w:bookmarkStart w:id="59" w:name="_Toc31567"/>
      <w:bookmarkEnd w:id="59"/>
      <w:bookmarkStart w:id="60" w:name="_Toc11066"/>
      <w:bookmarkEnd w:id="60"/>
      <w:bookmarkStart w:id="61" w:name="_Toc1684"/>
      <w:bookmarkEnd w:id="61"/>
      <w:bookmarkStart w:id="62" w:name="_Toc111"/>
      <w:bookmarkEnd w:id="62"/>
      <w:bookmarkStart w:id="63" w:name="_Toc532367877"/>
      <w:bookmarkEnd w:id="63"/>
      <w:bookmarkStart w:id="64" w:name="_Toc19088"/>
      <w:bookmarkEnd w:id="64"/>
      <w:bookmarkStart w:id="65" w:name="_Toc5302"/>
      <w:bookmarkEnd w:id="65"/>
      <w:bookmarkStart w:id="66" w:name="_Toc377719904"/>
      <w:r>
        <w:rPr>
          <w:rFonts w:hint="eastAsia" w:ascii="宋体" w:hAnsi="宋体" w:eastAsia="宋体" w:cs="宋体"/>
          <w:b/>
          <w:color w:val="auto"/>
          <w:kern w:val="2"/>
          <w:sz w:val="30"/>
          <w:szCs w:val="30"/>
          <w:highlight w:val="none"/>
          <w:lang w:val="en-US" w:eastAsia="zh-CN" w:bidi="ar"/>
        </w:rPr>
        <w:t>5. 开标</w:t>
      </w:r>
      <w:bookmarkEnd w:id="66"/>
    </w:p>
    <w:p w14:paraId="1DE39540">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5.1 开标时间和地点（B）</w:t>
      </w:r>
    </w:p>
    <w:p w14:paraId="582ED66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招标人在本章第4.2.1项规定的投标截止时间（开标时间）,通过电子招标投标交易平台公开开标，所有投标人的法定代表人或其委托代理人应当准时参加。</w:t>
      </w:r>
    </w:p>
    <w:p w14:paraId="56729F57">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5.2 开标程序</w:t>
      </w:r>
    </w:p>
    <w:p w14:paraId="1BEBC9C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主持人按下列程序进行开标：</w:t>
      </w:r>
    </w:p>
    <w:p w14:paraId="211AC8F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（1）宣布开标纪律；</w:t>
      </w:r>
    </w:p>
    <w:p w14:paraId="746F72D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（2）公布在投标截止时间前递交投标文件的投标人名称；</w:t>
      </w:r>
    </w:p>
    <w:p w14:paraId="1259B92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（3）宣布开标人、唱标人、记录人、监标人等有关人员姓名；</w:t>
      </w:r>
    </w:p>
    <w:p w14:paraId="43C5147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（4）（B）投标人通过电子招标投标交易平台对已递交的电子投标文件进行解密，公布招标项目名称、投标人名称、投标报价、交货期、交货地点及其他内容，并记录在案；</w:t>
      </w:r>
    </w:p>
    <w:p w14:paraId="3184D5A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（5）（A）投标人代表、招标人代表、监标人、记录人等有关人员在开标记录上签字确认；</w:t>
      </w:r>
    </w:p>
    <w:p w14:paraId="72FB7F5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（6）开标结束。</w:t>
      </w:r>
    </w:p>
    <w:p w14:paraId="6D1F8638">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5.3 开标异议</w:t>
      </w:r>
    </w:p>
    <w:p w14:paraId="5B2C0B7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投标人对开标有异议的，</w:t>
      </w:r>
      <w:r>
        <w:rPr>
          <w:rFonts w:hint="eastAsia" w:ascii="宋体" w:hAnsi="宋体" w:eastAsia="宋体" w:cs="宋体"/>
          <w:color w:val="auto"/>
          <w:kern w:val="2"/>
          <w:sz w:val="24"/>
          <w:szCs w:val="24"/>
          <w:highlight w:val="none"/>
          <w:u w:val="single"/>
          <w:lang w:val="en-US" w:eastAsia="zh-CN" w:bidi="ar"/>
        </w:rPr>
        <w:t>参加现场开标的应当在开标现场提出，同时出示本人身份证原件，招标人应当当场作出答复，并制作记录；参加在线开标的，投标人应通过交易平台在线提出，招标人应通过交易平台答复，答复后方可结束开标</w:t>
      </w:r>
      <w:r>
        <w:rPr>
          <w:rFonts w:hint="eastAsia" w:ascii="宋体" w:hAnsi="宋体" w:eastAsia="宋体" w:cs="宋体"/>
          <w:color w:val="auto"/>
          <w:kern w:val="2"/>
          <w:sz w:val="24"/>
          <w:szCs w:val="24"/>
          <w:highlight w:val="none"/>
          <w:lang w:val="en-US" w:eastAsia="zh-CN" w:bidi="ar"/>
        </w:rPr>
        <w:t>。</w:t>
      </w:r>
    </w:p>
    <w:p w14:paraId="79579A02">
      <w:pPr>
        <w:keepNext/>
        <w:keepLines/>
        <w:widowControl w:val="0"/>
        <w:suppressLineNumbers w:val="0"/>
        <w:spacing w:before="240" w:beforeAutospacing="0" w:after="240" w:afterAutospacing="0" w:line="360" w:lineRule="auto"/>
        <w:ind w:left="0" w:right="0"/>
        <w:jc w:val="left"/>
        <w:outlineLvl w:val="2"/>
        <w:rPr>
          <w:rFonts w:hint="eastAsia" w:ascii="宋体" w:hAnsi="宋体" w:eastAsia="宋体" w:cs="宋体"/>
          <w:b/>
          <w:color w:val="auto"/>
          <w:kern w:val="2"/>
          <w:sz w:val="30"/>
          <w:szCs w:val="30"/>
          <w:highlight w:val="none"/>
        </w:rPr>
      </w:pPr>
      <w:bookmarkStart w:id="67" w:name="_Toc24608"/>
      <w:bookmarkEnd w:id="67"/>
      <w:bookmarkStart w:id="68" w:name="_Toc11500"/>
      <w:bookmarkEnd w:id="68"/>
      <w:bookmarkStart w:id="69" w:name="_Toc532367878"/>
      <w:r>
        <w:rPr>
          <w:rFonts w:hint="eastAsia" w:ascii="宋体" w:hAnsi="宋体" w:eastAsia="宋体" w:cs="宋体"/>
          <w:b/>
          <w:color w:val="auto"/>
          <w:kern w:val="2"/>
          <w:sz w:val="30"/>
          <w:szCs w:val="30"/>
          <w:highlight w:val="none"/>
          <w:lang w:val="en-US" w:eastAsia="zh-CN" w:bidi="ar"/>
        </w:rPr>
        <w:t>6. 评标</w:t>
      </w:r>
      <w:bookmarkEnd w:id="69"/>
    </w:p>
    <w:p w14:paraId="5E04925A">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6.1 评标委员会</w:t>
      </w:r>
    </w:p>
    <w:p w14:paraId="226D450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C4A710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6.1.2 评标委员会成员有下列情形之一的，应当回避：</w:t>
      </w:r>
    </w:p>
    <w:p w14:paraId="5A5F078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（1）投标人或投标人主要负责人的近亲属；</w:t>
      </w:r>
    </w:p>
    <w:p w14:paraId="4E03B7B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（2）项目主管部门或者行政监督部门的人员；</w:t>
      </w:r>
    </w:p>
    <w:p w14:paraId="73125DC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（3）与投标人有经济利益关系，可能影响对投标公正评审的；</w:t>
      </w:r>
    </w:p>
    <w:p w14:paraId="4816EC0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（4）曾因在招标、评标以及其他与招标投标有关活动中从事违法行为而受过行政处罚或刑事处罚的；</w:t>
      </w:r>
    </w:p>
    <w:p w14:paraId="460E6CB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（5）与投标人有其他利害关系。</w:t>
      </w:r>
    </w:p>
    <w:p w14:paraId="4DA4240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6.1.3 评标过程中，评标委员会成员有回避事由、擅离职守或者因健康等原因不能继续评标的，招标人有权更换。被更换的评标委员会成员作出的评审结论无效，由更换后的评标委员会成员重新进行评审。</w:t>
      </w:r>
    </w:p>
    <w:p w14:paraId="6A010DB3">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6.2 评标原则</w:t>
      </w:r>
    </w:p>
    <w:p w14:paraId="6615910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评标活动遵循公平、公正、科学和择优的原则。</w:t>
      </w:r>
    </w:p>
    <w:p w14:paraId="14889FEF">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6.3 评标</w:t>
      </w:r>
    </w:p>
    <w:p w14:paraId="6939460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6.3.1 评标委员会按照第三章“评标办法”规定的方法、评审因素、标准和程序对投标文件进行评审。第三章“评标办法”没有规定的方法、评审因素和标准，不作为评标依据。</w:t>
      </w:r>
    </w:p>
    <w:p w14:paraId="2E1F354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6.3.2 评标完成后，评标委员会应当向招标人提交书面评标报告和中标候选人名单。评标委员会推荐中标候选人的人数见投标人须知前附表</w:t>
      </w:r>
      <w:r>
        <w:rPr>
          <w:rFonts w:hint="eastAsia" w:ascii="宋体" w:hAnsi="宋体" w:eastAsia="宋体" w:cs="宋体"/>
          <w:color w:val="auto"/>
          <w:spacing w:val="-8"/>
          <w:kern w:val="2"/>
          <w:sz w:val="24"/>
          <w:szCs w:val="24"/>
          <w:highlight w:val="none"/>
          <w:lang w:val="en-US" w:eastAsia="zh-CN" w:bidi="ar"/>
        </w:rPr>
        <w:t>。</w:t>
      </w:r>
    </w:p>
    <w:p w14:paraId="4089A03F">
      <w:pPr>
        <w:keepNext/>
        <w:keepLines/>
        <w:widowControl w:val="0"/>
        <w:suppressLineNumbers w:val="0"/>
        <w:spacing w:before="240" w:beforeAutospacing="0" w:after="240" w:afterAutospacing="0" w:line="360" w:lineRule="auto"/>
        <w:ind w:left="0" w:right="0"/>
        <w:jc w:val="both"/>
        <w:outlineLvl w:val="2"/>
        <w:rPr>
          <w:rFonts w:hint="eastAsia" w:ascii="宋体" w:hAnsi="宋体" w:eastAsia="宋体" w:cs="宋体"/>
          <w:b/>
          <w:color w:val="auto"/>
          <w:kern w:val="2"/>
          <w:sz w:val="30"/>
          <w:szCs w:val="30"/>
          <w:highlight w:val="none"/>
        </w:rPr>
      </w:pPr>
      <w:bookmarkStart w:id="70" w:name="_Toc377719905"/>
      <w:bookmarkEnd w:id="70"/>
      <w:bookmarkStart w:id="71" w:name="_Toc27928"/>
      <w:bookmarkEnd w:id="71"/>
      <w:bookmarkStart w:id="72" w:name="_Toc31080"/>
      <w:bookmarkEnd w:id="72"/>
      <w:bookmarkStart w:id="73" w:name="_Toc23147"/>
      <w:bookmarkEnd w:id="73"/>
      <w:bookmarkStart w:id="74" w:name="_Toc532367879"/>
      <w:bookmarkEnd w:id="74"/>
      <w:bookmarkStart w:id="75" w:name="_Toc24971"/>
      <w:bookmarkEnd w:id="75"/>
      <w:bookmarkStart w:id="76" w:name="_Toc22463"/>
      <w:bookmarkEnd w:id="76"/>
      <w:bookmarkStart w:id="77" w:name="_Toc21343"/>
      <w:bookmarkEnd w:id="77"/>
      <w:bookmarkStart w:id="78" w:name="_Toc17606"/>
      <w:bookmarkEnd w:id="78"/>
      <w:bookmarkStart w:id="79" w:name="_Toc15742"/>
      <w:r>
        <w:rPr>
          <w:rFonts w:hint="eastAsia" w:ascii="宋体" w:hAnsi="宋体" w:eastAsia="宋体" w:cs="宋体"/>
          <w:b/>
          <w:color w:val="auto"/>
          <w:kern w:val="2"/>
          <w:sz w:val="30"/>
          <w:szCs w:val="30"/>
          <w:highlight w:val="none"/>
          <w:lang w:val="en-US" w:eastAsia="zh-CN" w:bidi="ar"/>
        </w:rPr>
        <w:t>7. 合同</w:t>
      </w:r>
      <w:bookmarkEnd w:id="79"/>
      <w:r>
        <w:rPr>
          <w:rFonts w:hint="eastAsia" w:ascii="宋体" w:hAnsi="宋体" w:eastAsia="宋体" w:cs="宋体"/>
          <w:b/>
          <w:color w:val="auto"/>
          <w:kern w:val="2"/>
          <w:sz w:val="30"/>
          <w:szCs w:val="30"/>
          <w:highlight w:val="none"/>
          <w:lang w:val="en-US" w:eastAsia="zh-CN" w:bidi="ar"/>
        </w:rPr>
        <w:t>授予</w:t>
      </w:r>
    </w:p>
    <w:p w14:paraId="6CA79C49">
      <w:pPr>
        <w:keepNext w:val="0"/>
        <w:keepLines w:val="0"/>
        <w:widowControl w:val="0"/>
        <w:suppressLineNumbers w:val="0"/>
        <w:kinsoku w:val="0"/>
        <w:overflowPunct w:val="0"/>
        <w:spacing w:before="120" w:beforeAutospacing="0" w:after="120" w:afterAutospacing="0" w:line="360" w:lineRule="auto"/>
        <w:ind w:left="0" w:right="0" w:firstLine="482" w:firstLineChars="20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 xml:space="preserve"> </w:t>
      </w:r>
    </w:p>
    <w:p w14:paraId="182D1B7F">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7.1 中标候选人公示</w:t>
      </w:r>
    </w:p>
    <w:p w14:paraId="2A1BB2B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招标人在收到评标报告之日起3日内，按照投标人须知前附表规定的公示媒介和期限公示中标候选人，公示期不得少于3天。</w:t>
      </w:r>
    </w:p>
    <w:p w14:paraId="29D091BD">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7.2 评标结果异议</w:t>
      </w:r>
    </w:p>
    <w:p w14:paraId="0E2C06F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投标人或者其他利害关系人对评标结果有异议的，应当在中标候选人公示期间提出。招标人将在收到异议之日起3日内作出答复；</w:t>
      </w:r>
      <w:r>
        <w:rPr>
          <w:rFonts w:hint="eastAsia" w:ascii="宋体" w:hAnsi="宋体" w:eastAsia="宋体" w:cs="宋体"/>
          <w:color w:val="auto"/>
          <w:kern w:val="2"/>
          <w:sz w:val="24"/>
          <w:szCs w:val="24"/>
          <w:highlight w:val="none"/>
          <w:u w:val="single"/>
          <w:lang w:val="en-US" w:eastAsia="zh-CN" w:bidi="ar"/>
        </w:rPr>
        <w:t>可以通过线下或线上的形式提出异议。线上提交的，应通过交易平台进行，招标人也应通过交易平台答复线上提交的异议。</w:t>
      </w:r>
      <w:r>
        <w:rPr>
          <w:rFonts w:hint="eastAsia" w:ascii="宋体" w:hAnsi="宋体" w:eastAsia="宋体" w:cs="宋体"/>
          <w:color w:val="auto"/>
          <w:kern w:val="2"/>
          <w:sz w:val="24"/>
          <w:szCs w:val="24"/>
          <w:highlight w:val="none"/>
          <w:lang w:val="en-US" w:eastAsia="zh-CN" w:bidi="ar"/>
        </w:rPr>
        <w:t>作出答复前，将暂停招标投标活动。</w:t>
      </w:r>
    </w:p>
    <w:p w14:paraId="4600F819">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7.3 中标候选人履约能力审查</w:t>
      </w:r>
    </w:p>
    <w:p w14:paraId="0E6E7F5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中标候选人的经营、财务状况发生较大变化或存在违法行为，招标人认为可能影响其履约能力的，将在发出中标通知书前提请原评标委员会按照招标文件规定的标准和方法进行审查确认。</w:t>
      </w:r>
    </w:p>
    <w:p w14:paraId="4BD11240">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7.4 定标</w:t>
      </w:r>
    </w:p>
    <w:p w14:paraId="18FF1CEE">
      <w:pPr>
        <w:pStyle w:val="3"/>
        <w:widowControl/>
        <w:kinsoku w:val="0"/>
        <w:overflowPunct w:val="0"/>
        <w:autoSpaceDE w:val="0"/>
        <w:autoSpaceDN w:val="0"/>
        <w:adjustRightInd w:val="0"/>
        <w:snapToGrid w:val="0"/>
        <w:spacing w:before="0" w:beforeAutospacing="1" w:line="360" w:lineRule="auto"/>
        <w:ind w:left="0" w:right="0" w:firstLine="480" w:firstLineChars="200"/>
        <w:rPr>
          <w:rFonts w:hint="eastAsia" w:ascii="宋体" w:hAnsi="宋体" w:eastAsia="宋体" w:cs="宋体"/>
          <w:color w:val="auto"/>
          <w:spacing w:val="-8"/>
          <w:kern w:val="0"/>
          <w:sz w:val="24"/>
          <w:szCs w:val="24"/>
          <w:highlight w:val="none"/>
          <w:u w:val="single"/>
        </w:rPr>
      </w:pPr>
      <w:r>
        <w:rPr>
          <w:rFonts w:hint="eastAsia" w:ascii="宋体" w:hAnsi="宋体" w:eastAsia="宋体" w:cs="宋体"/>
          <w:color w:val="auto"/>
          <w:kern w:val="0"/>
          <w:sz w:val="24"/>
          <w:szCs w:val="24"/>
          <w:highlight w:val="none"/>
        </w:rPr>
        <w:t>按照投标人须知前附表的规定，招标人或招标人授权的评标委员会依法确定中标人</w:t>
      </w:r>
      <w:r>
        <w:rPr>
          <w:rFonts w:hint="eastAsia" w:ascii="宋体" w:hAnsi="宋体" w:eastAsia="宋体" w:cs="宋体"/>
          <w:color w:val="auto"/>
          <w:spacing w:val="-8"/>
          <w:kern w:val="0"/>
          <w:sz w:val="24"/>
          <w:szCs w:val="24"/>
          <w:highlight w:val="none"/>
          <w:u w:val="single"/>
        </w:rPr>
        <w:t>。</w:t>
      </w:r>
    </w:p>
    <w:p w14:paraId="42287A0E">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7.5 中标通知</w:t>
      </w:r>
    </w:p>
    <w:p w14:paraId="256FFFC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在本章第 3.3 款规定的投标有效期内，招标人以书面形式向中标人发出中标通知书，同时将中标结果通知未中标的投标人。</w:t>
      </w:r>
    </w:p>
    <w:p w14:paraId="1C11F155">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lang w:bidi="ar"/>
        </w:rPr>
      </w:pPr>
      <w:r>
        <w:rPr>
          <w:rFonts w:hint="eastAsia" w:ascii="宋体" w:hAnsi="宋体" w:eastAsia="宋体" w:cs="宋体"/>
          <w:b/>
          <w:color w:val="auto"/>
          <w:kern w:val="2"/>
          <w:sz w:val="24"/>
          <w:szCs w:val="24"/>
          <w:highlight w:val="none"/>
          <w:lang w:val="en-US" w:eastAsia="zh-CN" w:bidi="ar"/>
        </w:rPr>
        <w:t>7.6 履约</w:t>
      </w:r>
      <w:r>
        <w:rPr>
          <w:rFonts w:hint="eastAsia" w:ascii="宋体" w:hAnsi="宋体" w:eastAsia="宋体" w:cs="宋体"/>
          <w:b/>
          <w:color w:val="auto"/>
          <w:kern w:val="2"/>
          <w:sz w:val="24"/>
          <w:szCs w:val="24"/>
          <w:highlight w:val="none"/>
          <w:lang w:eastAsia="zh-CN" w:bidi="ar"/>
        </w:rPr>
        <w:t>担保</w:t>
      </w:r>
    </w:p>
    <w:p w14:paraId="65FD3CA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7.6.1 在签订合同前，中标人应按投标人须知前附表规定的形式、金额和招标文件第四章“合同条款及格式”规定的或者事先经过招标人书面认可的履约</w:t>
      </w:r>
      <w:r>
        <w:rPr>
          <w:rFonts w:hint="eastAsia" w:ascii="宋体" w:hAnsi="宋体" w:eastAsia="宋体" w:cs="宋体"/>
          <w:color w:val="auto"/>
          <w:kern w:val="2"/>
          <w:sz w:val="24"/>
          <w:szCs w:val="24"/>
          <w:highlight w:val="none"/>
          <w:lang w:eastAsia="zh-CN" w:bidi="ar"/>
        </w:rPr>
        <w:t>担保</w:t>
      </w:r>
      <w:r>
        <w:rPr>
          <w:rFonts w:hint="eastAsia" w:ascii="宋体" w:hAnsi="宋体" w:eastAsia="宋体" w:cs="宋体"/>
          <w:color w:val="auto"/>
          <w:kern w:val="2"/>
          <w:sz w:val="24"/>
          <w:szCs w:val="24"/>
          <w:highlight w:val="none"/>
          <w:lang w:val="en-US" w:eastAsia="zh-CN" w:bidi="ar"/>
        </w:rPr>
        <w:t>格式向招标人提交履约</w:t>
      </w:r>
      <w:r>
        <w:rPr>
          <w:rFonts w:hint="eastAsia" w:ascii="宋体" w:hAnsi="宋体" w:eastAsia="宋体" w:cs="宋体"/>
          <w:color w:val="auto"/>
          <w:kern w:val="2"/>
          <w:sz w:val="24"/>
          <w:szCs w:val="24"/>
          <w:highlight w:val="none"/>
          <w:lang w:eastAsia="zh-CN" w:bidi="ar"/>
        </w:rPr>
        <w:t>担保</w:t>
      </w:r>
      <w:r>
        <w:rPr>
          <w:rFonts w:hint="eastAsia" w:ascii="宋体" w:hAnsi="宋体" w:eastAsia="宋体" w:cs="宋体"/>
          <w:color w:val="auto"/>
          <w:kern w:val="2"/>
          <w:sz w:val="24"/>
          <w:szCs w:val="24"/>
          <w:highlight w:val="none"/>
          <w:lang w:val="en-US" w:eastAsia="zh-CN" w:bidi="ar"/>
        </w:rPr>
        <w:t>。除投标人须知前附表另有规定外，履约</w:t>
      </w:r>
      <w:r>
        <w:rPr>
          <w:rFonts w:hint="eastAsia" w:ascii="宋体" w:hAnsi="宋体" w:eastAsia="宋体" w:cs="宋体"/>
          <w:color w:val="auto"/>
          <w:kern w:val="2"/>
          <w:sz w:val="24"/>
          <w:szCs w:val="24"/>
          <w:highlight w:val="none"/>
          <w:lang w:eastAsia="zh-CN" w:bidi="ar"/>
        </w:rPr>
        <w:t>担保</w:t>
      </w:r>
      <w:r>
        <w:rPr>
          <w:rFonts w:hint="eastAsia" w:ascii="宋体" w:hAnsi="宋体" w:eastAsia="宋体" w:cs="宋体"/>
          <w:color w:val="auto"/>
          <w:kern w:val="2"/>
          <w:sz w:val="24"/>
          <w:szCs w:val="24"/>
          <w:highlight w:val="none"/>
          <w:lang w:val="en-US" w:eastAsia="zh-CN" w:bidi="ar"/>
        </w:rPr>
        <w:t>为中标合同金额的10%。</w:t>
      </w:r>
      <w:r>
        <w:rPr>
          <w:rFonts w:hint="eastAsia" w:ascii="宋体" w:hAnsi="宋体" w:eastAsia="宋体" w:cs="宋体"/>
          <w:strike/>
          <w:dstrike w:val="0"/>
          <w:color w:val="auto"/>
          <w:kern w:val="2"/>
          <w:sz w:val="24"/>
          <w:szCs w:val="24"/>
          <w:highlight w:val="none"/>
          <w:lang w:val="en-US" w:eastAsia="zh-CN" w:bidi="ar"/>
        </w:rPr>
        <w:t>联合体中标的，其履约保证金以联合体各方或者联合体中牵头人的名义提交。</w:t>
      </w:r>
    </w:p>
    <w:p w14:paraId="5745BEA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trike/>
          <w:dstrike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7.6.2 中标人不能按本章第7.6.1项要求提交履约</w:t>
      </w:r>
      <w:r>
        <w:rPr>
          <w:rFonts w:hint="eastAsia" w:ascii="宋体" w:hAnsi="宋体" w:eastAsia="宋体" w:cs="宋体"/>
          <w:color w:val="auto"/>
          <w:kern w:val="2"/>
          <w:sz w:val="24"/>
          <w:szCs w:val="24"/>
          <w:highlight w:val="none"/>
          <w:lang w:eastAsia="zh-CN" w:bidi="ar"/>
        </w:rPr>
        <w:t>担保</w:t>
      </w:r>
      <w:r>
        <w:rPr>
          <w:rFonts w:hint="eastAsia" w:ascii="宋体" w:hAnsi="宋体" w:eastAsia="宋体" w:cs="宋体"/>
          <w:color w:val="auto"/>
          <w:kern w:val="2"/>
          <w:sz w:val="24"/>
          <w:szCs w:val="24"/>
          <w:highlight w:val="none"/>
          <w:lang w:val="en-US" w:eastAsia="zh-CN" w:bidi="ar"/>
        </w:rPr>
        <w:t>的，视为放弃中标，</w:t>
      </w:r>
      <w:r>
        <w:rPr>
          <w:rFonts w:hint="eastAsia" w:ascii="宋体" w:hAnsi="宋体" w:eastAsia="宋体" w:cs="宋体"/>
          <w:strike/>
          <w:dstrike w:val="0"/>
          <w:color w:val="auto"/>
          <w:kern w:val="2"/>
          <w:sz w:val="24"/>
          <w:szCs w:val="24"/>
          <w:highlight w:val="none"/>
          <w:lang w:val="en-US" w:eastAsia="zh-CN" w:bidi="ar"/>
        </w:rPr>
        <w:t>其投标保证金不予退还，</w:t>
      </w:r>
      <w:r>
        <w:rPr>
          <w:rFonts w:hint="eastAsia" w:ascii="宋体" w:hAnsi="宋体" w:eastAsia="宋体" w:cs="宋体"/>
          <w:color w:val="auto"/>
          <w:kern w:val="2"/>
          <w:sz w:val="24"/>
          <w:szCs w:val="24"/>
          <w:highlight w:val="none"/>
          <w:lang w:val="en-US" w:eastAsia="zh-CN" w:bidi="ar"/>
        </w:rPr>
        <w:t>给招标人造成的损失</w:t>
      </w:r>
      <w:r>
        <w:rPr>
          <w:rFonts w:hint="eastAsia" w:ascii="宋体" w:hAnsi="宋体" w:eastAsia="宋体" w:cs="宋体"/>
          <w:strike/>
          <w:dstrike w:val="0"/>
          <w:color w:val="auto"/>
          <w:kern w:val="2"/>
          <w:sz w:val="24"/>
          <w:szCs w:val="24"/>
          <w:highlight w:val="none"/>
          <w:lang w:val="en-US" w:eastAsia="zh-CN" w:bidi="ar"/>
        </w:rPr>
        <w:t>超过投标保证金数额的，</w:t>
      </w:r>
      <w:r>
        <w:rPr>
          <w:rFonts w:hint="eastAsia" w:ascii="宋体" w:hAnsi="宋体" w:eastAsia="宋体" w:cs="宋体"/>
          <w:color w:val="auto"/>
          <w:kern w:val="2"/>
          <w:sz w:val="24"/>
          <w:szCs w:val="24"/>
          <w:highlight w:val="none"/>
          <w:lang w:val="en-US" w:eastAsia="zh-CN" w:bidi="ar"/>
        </w:rPr>
        <w:t>由中标人</w:t>
      </w:r>
      <w:r>
        <w:rPr>
          <w:rFonts w:hint="eastAsia" w:ascii="宋体" w:hAnsi="宋体" w:eastAsia="宋体" w:cs="宋体"/>
          <w:strike/>
          <w:dstrike w:val="0"/>
          <w:color w:val="auto"/>
          <w:kern w:val="2"/>
          <w:sz w:val="24"/>
          <w:szCs w:val="24"/>
          <w:highlight w:val="none"/>
          <w:lang w:val="en-US" w:eastAsia="zh-CN" w:bidi="ar"/>
        </w:rPr>
        <w:t>还应当对超过部分</w:t>
      </w:r>
      <w:r>
        <w:rPr>
          <w:rFonts w:hint="eastAsia" w:ascii="宋体" w:hAnsi="宋体" w:eastAsia="宋体" w:cs="宋体"/>
          <w:color w:val="auto"/>
          <w:kern w:val="2"/>
          <w:sz w:val="24"/>
          <w:szCs w:val="24"/>
          <w:highlight w:val="none"/>
          <w:lang w:val="en-US" w:eastAsia="zh-CN" w:bidi="ar"/>
        </w:rPr>
        <w:t>予以赔偿。</w:t>
      </w:r>
    </w:p>
    <w:p w14:paraId="0113A5FF">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7.7 签订合同</w:t>
      </w:r>
    </w:p>
    <w:p w14:paraId="1AD3307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7.7.1 招标人和中标人应当在中标通知书发出之日起30日内，根据招标文件和中标人的投标文件订立书面合同。中标人无正当理由拒签合同，在签订合同时向招标人提出附加条件，或者不按照招标文件要求提交履约</w:t>
      </w:r>
      <w:r>
        <w:rPr>
          <w:rFonts w:hint="eastAsia" w:ascii="宋体" w:hAnsi="宋体" w:eastAsia="宋体" w:cs="宋体"/>
          <w:color w:val="auto"/>
          <w:kern w:val="2"/>
          <w:sz w:val="24"/>
          <w:szCs w:val="24"/>
          <w:highlight w:val="none"/>
          <w:lang w:eastAsia="zh-CN" w:bidi="ar"/>
        </w:rPr>
        <w:t>担保</w:t>
      </w:r>
      <w:r>
        <w:rPr>
          <w:rFonts w:hint="eastAsia" w:ascii="宋体" w:hAnsi="宋体" w:eastAsia="宋体" w:cs="宋体"/>
          <w:color w:val="auto"/>
          <w:kern w:val="2"/>
          <w:sz w:val="24"/>
          <w:szCs w:val="24"/>
          <w:highlight w:val="none"/>
          <w:lang w:val="en-US" w:eastAsia="zh-CN" w:bidi="ar"/>
        </w:rPr>
        <w:t>的，招标人有权取消其中标资格</w:t>
      </w:r>
      <w:r>
        <w:rPr>
          <w:rFonts w:hint="eastAsia" w:ascii="宋体" w:hAnsi="宋体" w:eastAsia="宋体" w:cs="宋体"/>
          <w:strike/>
          <w:dstrike w:val="0"/>
          <w:color w:val="auto"/>
          <w:kern w:val="2"/>
          <w:sz w:val="24"/>
          <w:szCs w:val="24"/>
          <w:highlight w:val="none"/>
          <w:lang w:val="en-US" w:eastAsia="zh-CN" w:bidi="ar"/>
        </w:rPr>
        <w:t>，其投标保证金不予退还；给招标人造成的损失超过投标保证金数额的，中标人还应当对超过部分予以赔偿</w:t>
      </w:r>
      <w:r>
        <w:rPr>
          <w:rFonts w:hint="eastAsia" w:ascii="宋体" w:hAnsi="宋体" w:eastAsia="宋体" w:cs="宋体"/>
          <w:color w:val="auto"/>
          <w:kern w:val="2"/>
          <w:sz w:val="24"/>
          <w:szCs w:val="24"/>
          <w:highlight w:val="none"/>
          <w:lang w:val="en-US" w:eastAsia="zh-CN" w:bidi="ar"/>
        </w:rPr>
        <w:t>。</w:t>
      </w:r>
    </w:p>
    <w:p w14:paraId="4FC7C20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7.7.2 发出中标通知书后，招标人无正当理由拒签合同，或者在签订合同时向中标人提出附加条件的，</w:t>
      </w:r>
      <w:r>
        <w:rPr>
          <w:rFonts w:hint="eastAsia" w:ascii="宋体" w:hAnsi="宋体" w:eastAsia="宋体" w:cs="宋体"/>
          <w:strike/>
          <w:dstrike w:val="0"/>
          <w:color w:val="auto"/>
          <w:kern w:val="2"/>
          <w:sz w:val="24"/>
          <w:szCs w:val="24"/>
          <w:highlight w:val="none"/>
          <w:lang w:val="en-US" w:eastAsia="zh-CN" w:bidi="ar"/>
        </w:rPr>
        <w:t>招标人向中标人退还投标保证金；</w:t>
      </w:r>
      <w:r>
        <w:rPr>
          <w:rFonts w:hint="eastAsia" w:ascii="宋体" w:hAnsi="宋体" w:eastAsia="宋体" w:cs="宋体"/>
          <w:color w:val="auto"/>
          <w:kern w:val="2"/>
          <w:sz w:val="24"/>
          <w:szCs w:val="24"/>
          <w:highlight w:val="none"/>
          <w:lang w:val="en-US" w:eastAsia="zh-CN" w:bidi="ar"/>
        </w:rPr>
        <w:t>给中标人造成损失的，还应当赔偿损失。</w:t>
      </w:r>
    </w:p>
    <w:p w14:paraId="68D6843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strike/>
          <w:dstrike w:val="0"/>
          <w:color w:val="auto"/>
          <w:kern w:val="2"/>
          <w:sz w:val="24"/>
          <w:szCs w:val="24"/>
          <w:highlight w:val="none"/>
          <w:lang w:val="en-US" w:eastAsia="zh-CN" w:bidi="ar"/>
        </w:rPr>
        <w:t>7.7.3 联合体中标的，联合体各方应当共同与招标人签订合同，就中标项目向招标人承担连带责任。</w:t>
      </w:r>
    </w:p>
    <w:p w14:paraId="2E3D9E27">
      <w:pPr>
        <w:keepNext/>
        <w:keepLines/>
        <w:widowControl w:val="0"/>
        <w:suppressLineNumbers w:val="0"/>
        <w:spacing w:before="240" w:beforeAutospacing="0" w:after="240" w:afterAutospacing="0" w:line="360" w:lineRule="auto"/>
        <w:ind w:left="0" w:right="0"/>
        <w:jc w:val="left"/>
        <w:outlineLvl w:val="2"/>
        <w:rPr>
          <w:rFonts w:hint="eastAsia" w:ascii="宋体" w:hAnsi="宋体" w:eastAsia="宋体" w:cs="宋体"/>
          <w:b/>
          <w:color w:val="auto"/>
          <w:kern w:val="2"/>
          <w:sz w:val="30"/>
          <w:szCs w:val="30"/>
          <w:highlight w:val="none"/>
        </w:rPr>
      </w:pPr>
      <w:bookmarkStart w:id="80" w:name="_Toc15378"/>
      <w:bookmarkEnd w:id="80"/>
      <w:bookmarkStart w:id="81" w:name="_Toc25746"/>
      <w:bookmarkEnd w:id="81"/>
      <w:bookmarkStart w:id="82" w:name="_Toc532367880"/>
      <w:r>
        <w:rPr>
          <w:rFonts w:hint="eastAsia" w:ascii="宋体" w:hAnsi="宋体" w:eastAsia="宋体" w:cs="宋体"/>
          <w:b/>
          <w:color w:val="auto"/>
          <w:kern w:val="2"/>
          <w:sz w:val="30"/>
          <w:szCs w:val="30"/>
          <w:highlight w:val="none"/>
          <w:lang w:val="en-US" w:eastAsia="zh-CN" w:bidi="ar"/>
        </w:rPr>
        <w:t>8.纪律和监督</w:t>
      </w:r>
      <w:bookmarkEnd w:id="82"/>
    </w:p>
    <w:p w14:paraId="72F2BC4A">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8.1 对招标人的纪律要求</w:t>
      </w:r>
    </w:p>
    <w:p w14:paraId="39914E9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招标人不得泄露招标投标活动中应当保密的情况和资料，不得与投标人串通损害国家利益、社会公共利益或者他人合法权益。</w:t>
      </w:r>
    </w:p>
    <w:p w14:paraId="122B8284">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8.2 对投标人的纪律要求</w:t>
      </w:r>
    </w:p>
    <w:p w14:paraId="432A39E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7DE1974">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8.3 对评标委员会成员的纪律要求</w:t>
      </w:r>
    </w:p>
    <w:p w14:paraId="3C88084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D61AB9F">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8.4 对与评标活动有关的工作人员的纪律要求</w:t>
      </w:r>
    </w:p>
    <w:p w14:paraId="4BCB715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C965EBB">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8.5 投诉</w:t>
      </w:r>
    </w:p>
    <w:p w14:paraId="12E68E2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8.5.1 投标人或者其他利害关系人认为招标投标活动不符合法律、行政法规规定的，可以自知道或者应当知道之日起 10 日内向有关行政监督部门投诉。投诉应当有明确的请求和必要的证明材料。</w:t>
      </w:r>
    </w:p>
    <w:p w14:paraId="2E62766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8.5.2 投标人或者其他利害关系人对招标文件、开标和评标结果提出投诉的，应当按照投标人须知第 2.4 款、第 5.3 款和第 7.2 款的规定先向招标人提出异议。异议答复期间不计算在第 8.5.1项规定的期限内。</w:t>
      </w:r>
    </w:p>
    <w:p w14:paraId="6F7EAD97">
      <w:pPr>
        <w:keepNext/>
        <w:keepLines/>
        <w:widowControl w:val="0"/>
        <w:suppressLineNumbers w:val="0"/>
        <w:spacing w:before="0" w:beforeAutospacing="0" w:after="0" w:afterAutospacing="0" w:line="360" w:lineRule="auto"/>
        <w:ind w:left="0" w:right="0"/>
        <w:jc w:val="left"/>
        <w:outlineLvl w:val="2"/>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9. 是否采用电子招标投标</w:t>
      </w:r>
    </w:p>
    <w:p w14:paraId="6CB00FA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本招标项目采用电子招标投标方式，见投标人须知前附表。</w:t>
      </w:r>
    </w:p>
    <w:p w14:paraId="2F1A9895">
      <w:pPr>
        <w:keepNext/>
        <w:keepLines/>
        <w:widowControl w:val="0"/>
        <w:suppressLineNumbers w:val="0"/>
        <w:spacing w:before="0" w:beforeAutospacing="0" w:after="0" w:afterAutospacing="0" w:line="360" w:lineRule="auto"/>
        <w:ind w:left="0" w:right="0"/>
        <w:jc w:val="left"/>
        <w:outlineLvl w:val="2"/>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10. 需要补充的其他内容</w:t>
      </w:r>
    </w:p>
    <w:p w14:paraId="37A5D4A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需要补充的其他内容：见投标人须知前附表。</w:t>
      </w:r>
    </w:p>
    <w:p w14:paraId="6EFC483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br w:type="page"/>
      </w:r>
      <w:r>
        <w:rPr>
          <w:rFonts w:hint="eastAsia" w:ascii="宋体" w:hAnsi="宋体" w:eastAsia="宋体" w:cs="宋体"/>
          <w:color w:val="auto"/>
          <w:kern w:val="0"/>
          <w:sz w:val="24"/>
          <w:szCs w:val="24"/>
          <w:highlight w:val="none"/>
          <w:lang w:val="en-US" w:eastAsia="zh-CN" w:bidi="ar"/>
        </w:rPr>
        <w:t>附件一：开标记录表</w:t>
      </w:r>
    </w:p>
    <w:p w14:paraId="5C6C42A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开标记录表</w:t>
      </w:r>
    </w:p>
    <w:p w14:paraId="6B9B067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开标时间：  年  月  日  时  分</w:t>
      </w:r>
    </w:p>
    <w:tbl>
      <w:tblPr>
        <w:tblStyle w:val="10"/>
        <w:tblW w:w="85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5"/>
        <w:gridCol w:w="704"/>
        <w:gridCol w:w="988"/>
        <w:gridCol w:w="751"/>
        <w:gridCol w:w="805"/>
        <w:gridCol w:w="1984"/>
        <w:gridCol w:w="1157"/>
        <w:gridCol w:w="496"/>
        <w:gridCol w:w="1097"/>
      </w:tblGrid>
      <w:tr w14:paraId="4B46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1"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5D4F488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704" w:type="dxa"/>
            <w:tcBorders>
              <w:top w:val="single" w:color="auto" w:sz="4" w:space="0"/>
              <w:left w:val="nil"/>
              <w:bottom w:val="single" w:color="auto" w:sz="4" w:space="0"/>
              <w:right w:val="single" w:color="auto" w:sz="4" w:space="0"/>
            </w:tcBorders>
            <w:shd w:val="clear" w:color="auto" w:fill="auto"/>
            <w:vAlign w:val="center"/>
          </w:tcPr>
          <w:p w14:paraId="73B9D27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w:t>
            </w:r>
          </w:p>
        </w:tc>
        <w:tc>
          <w:tcPr>
            <w:tcW w:w="988" w:type="dxa"/>
            <w:tcBorders>
              <w:top w:val="single" w:color="auto" w:sz="4" w:space="0"/>
              <w:left w:val="nil"/>
              <w:bottom w:val="single" w:color="auto" w:sz="4" w:space="0"/>
              <w:right w:val="single" w:color="auto" w:sz="4" w:space="0"/>
            </w:tcBorders>
            <w:shd w:val="clear" w:color="auto" w:fill="auto"/>
            <w:vAlign w:val="center"/>
          </w:tcPr>
          <w:p w14:paraId="2587169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投标文件递交</w:t>
            </w:r>
          </w:p>
        </w:tc>
        <w:tc>
          <w:tcPr>
            <w:tcW w:w="751" w:type="dxa"/>
            <w:tcBorders>
              <w:top w:val="single" w:color="auto" w:sz="4" w:space="0"/>
              <w:left w:val="nil"/>
              <w:bottom w:val="single" w:color="auto" w:sz="4" w:space="0"/>
              <w:right w:val="single" w:color="auto" w:sz="4" w:space="0"/>
            </w:tcBorders>
            <w:shd w:val="clear" w:color="auto" w:fill="auto"/>
            <w:vAlign w:val="center"/>
          </w:tcPr>
          <w:p w14:paraId="23A8080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解密情况</w:t>
            </w:r>
          </w:p>
        </w:tc>
        <w:tc>
          <w:tcPr>
            <w:tcW w:w="805" w:type="dxa"/>
            <w:tcBorders>
              <w:top w:val="single" w:color="auto" w:sz="4" w:space="0"/>
              <w:left w:val="nil"/>
              <w:bottom w:val="single" w:color="auto" w:sz="4" w:space="0"/>
              <w:right w:val="single" w:color="auto" w:sz="4" w:space="0"/>
            </w:tcBorders>
            <w:shd w:val="clear" w:color="auto" w:fill="auto"/>
            <w:vAlign w:val="center"/>
          </w:tcPr>
          <w:p w14:paraId="72BC760B">
            <w:pPr>
              <w:keepNext w:val="0"/>
              <w:keepLines w:val="0"/>
              <w:widowControl w:val="0"/>
              <w:suppressLineNumbers w:val="0"/>
              <w:spacing w:before="0" w:beforeAutospacing="0" w:after="0" w:afterAutospacing="0"/>
              <w:ind w:left="0" w:right="0"/>
              <w:jc w:val="center"/>
              <w:rPr>
                <w:rFonts w:hint="eastAsia" w:ascii="宋体" w:hAnsi="宋体" w:eastAsia="宋体" w:cs="宋体"/>
                <w:strike/>
                <w:dstrike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密封情况</w:t>
            </w:r>
          </w:p>
        </w:tc>
        <w:tc>
          <w:tcPr>
            <w:tcW w:w="1984" w:type="dxa"/>
            <w:tcBorders>
              <w:top w:val="single" w:color="auto" w:sz="4" w:space="0"/>
              <w:left w:val="nil"/>
              <w:bottom w:val="single" w:color="auto" w:sz="4" w:space="0"/>
              <w:right w:val="single" w:color="auto" w:sz="4" w:space="0"/>
            </w:tcBorders>
            <w:shd w:val="clear" w:color="auto" w:fill="auto"/>
            <w:vAlign w:val="center"/>
          </w:tcPr>
          <w:p w14:paraId="45E288F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投标报价（元）</w:t>
            </w:r>
          </w:p>
        </w:tc>
        <w:tc>
          <w:tcPr>
            <w:tcW w:w="1157" w:type="dxa"/>
            <w:tcBorders>
              <w:top w:val="single" w:color="auto" w:sz="4" w:space="0"/>
              <w:left w:val="nil"/>
              <w:bottom w:val="single" w:color="auto" w:sz="4" w:space="0"/>
              <w:right w:val="single" w:color="auto" w:sz="4" w:space="0"/>
            </w:tcBorders>
            <w:shd w:val="clear" w:color="auto" w:fill="auto"/>
            <w:vAlign w:val="center"/>
          </w:tcPr>
          <w:p w14:paraId="7AB181E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交货期</w:t>
            </w:r>
          </w:p>
        </w:tc>
        <w:tc>
          <w:tcPr>
            <w:tcW w:w="496" w:type="dxa"/>
            <w:tcBorders>
              <w:top w:val="single" w:color="auto" w:sz="4" w:space="0"/>
              <w:left w:val="nil"/>
              <w:bottom w:val="single" w:color="auto" w:sz="4" w:space="0"/>
              <w:right w:val="single" w:color="auto" w:sz="4" w:space="0"/>
            </w:tcBorders>
            <w:shd w:val="clear" w:color="auto" w:fill="auto"/>
            <w:vAlign w:val="center"/>
          </w:tcPr>
          <w:p w14:paraId="65159FC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备注</w:t>
            </w:r>
          </w:p>
        </w:tc>
        <w:tc>
          <w:tcPr>
            <w:tcW w:w="1097" w:type="dxa"/>
            <w:tcBorders>
              <w:top w:val="single" w:color="auto" w:sz="4" w:space="0"/>
              <w:left w:val="nil"/>
              <w:bottom w:val="single" w:color="auto" w:sz="4" w:space="0"/>
              <w:right w:val="single" w:color="auto" w:sz="4" w:space="0"/>
            </w:tcBorders>
            <w:shd w:val="clear" w:color="auto" w:fill="auto"/>
            <w:vAlign w:val="center"/>
          </w:tcPr>
          <w:p w14:paraId="41D88C9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投标人代表签名</w:t>
            </w:r>
          </w:p>
        </w:tc>
      </w:tr>
      <w:tr w14:paraId="479B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3B2B46D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04" w:type="dxa"/>
            <w:tcBorders>
              <w:top w:val="single" w:color="auto" w:sz="4" w:space="0"/>
              <w:left w:val="nil"/>
              <w:bottom w:val="single" w:color="auto" w:sz="4" w:space="0"/>
              <w:right w:val="single" w:color="auto" w:sz="4" w:space="0"/>
            </w:tcBorders>
            <w:shd w:val="clear" w:color="auto" w:fill="auto"/>
            <w:vAlign w:val="center"/>
          </w:tcPr>
          <w:p w14:paraId="2D2E086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988" w:type="dxa"/>
            <w:tcBorders>
              <w:top w:val="single" w:color="auto" w:sz="4" w:space="0"/>
              <w:left w:val="nil"/>
              <w:bottom w:val="single" w:color="auto" w:sz="4" w:space="0"/>
              <w:right w:val="single" w:color="auto" w:sz="4" w:space="0"/>
            </w:tcBorders>
            <w:shd w:val="clear" w:color="auto" w:fill="auto"/>
            <w:vAlign w:val="center"/>
          </w:tcPr>
          <w:p w14:paraId="09AC0D8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51" w:type="dxa"/>
            <w:tcBorders>
              <w:top w:val="single" w:color="auto" w:sz="4" w:space="0"/>
              <w:left w:val="nil"/>
              <w:bottom w:val="single" w:color="auto" w:sz="4" w:space="0"/>
              <w:right w:val="single" w:color="auto" w:sz="4" w:space="0"/>
            </w:tcBorders>
            <w:shd w:val="clear" w:color="auto" w:fill="auto"/>
            <w:vAlign w:val="center"/>
          </w:tcPr>
          <w:p w14:paraId="10A72B5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805" w:type="dxa"/>
            <w:tcBorders>
              <w:top w:val="single" w:color="auto" w:sz="4" w:space="0"/>
              <w:left w:val="nil"/>
              <w:bottom w:val="single" w:color="auto" w:sz="4" w:space="0"/>
              <w:right w:val="single" w:color="auto" w:sz="4" w:space="0"/>
            </w:tcBorders>
            <w:shd w:val="clear" w:color="auto" w:fill="auto"/>
            <w:vAlign w:val="center"/>
          </w:tcPr>
          <w:p w14:paraId="40CB5B7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22A82EE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57" w:type="dxa"/>
            <w:tcBorders>
              <w:top w:val="single" w:color="auto" w:sz="4" w:space="0"/>
              <w:left w:val="nil"/>
              <w:bottom w:val="single" w:color="auto" w:sz="4" w:space="0"/>
              <w:right w:val="single" w:color="auto" w:sz="4" w:space="0"/>
            </w:tcBorders>
            <w:shd w:val="clear" w:color="auto" w:fill="auto"/>
            <w:vAlign w:val="center"/>
          </w:tcPr>
          <w:p w14:paraId="60B6C5D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96" w:type="dxa"/>
            <w:tcBorders>
              <w:top w:val="single" w:color="auto" w:sz="4" w:space="0"/>
              <w:left w:val="nil"/>
              <w:bottom w:val="single" w:color="auto" w:sz="4" w:space="0"/>
              <w:right w:val="single" w:color="auto" w:sz="4" w:space="0"/>
            </w:tcBorders>
            <w:shd w:val="clear" w:color="auto" w:fill="auto"/>
            <w:vAlign w:val="center"/>
          </w:tcPr>
          <w:p w14:paraId="6A3726E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097" w:type="dxa"/>
            <w:tcBorders>
              <w:top w:val="single" w:color="auto" w:sz="4" w:space="0"/>
              <w:left w:val="nil"/>
              <w:bottom w:val="single" w:color="auto" w:sz="4" w:space="0"/>
              <w:right w:val="single" w:color="auto" w:sz="4" w:space="0"/>
            </w:tcBorders>
            <w:shd w:val="clear" w:color="auto" w:fill="auto"/>
            <w:vAlign w:val="center"/>
          </w:tcPr>
          <w:p w14:paraId="4DB3236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44C38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00D7E08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04" w:type="dxa"/>
            <w:tcBorders>
              <w:top w:val="single" w:color="auto" w:sz="4" w:space="0"/>
              <w:left w:val="nil"/>
              <w:bottom w:val="single" w:color="auto" w:sz="4" w:space="0"/>
              <w:right w:val="single" w:color="auto" w:sz="4" w:space="0"/>
            </w:tcBorders>
            <w:shd w:val="clear" w:color="auto" w:fill="auto"/>
            <w:vAlign w:val="center"/>
          </w:tcPr>
          <w:p w14:paraId="276B23C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988" w:type="dxa"/>
            <w:tcBorders>
              <w:top w:val="single" w:color="auto" w:sz="4" w:space="0"/>
              <w:left w:val="nil"/>
              <w:bottom w:val="single" w:color="auto" w:sz="4" w:space="0"/>
              <w:right w:val="single" w:color="auto" w:sz="4" w:space="0"/>
            </w:tcBorders>
            <w:shd w:val="clear" w:color="auto" w:fill="auto"/>
            <w:vAlign w:val="center"/>
          </w:tcPr>
          <w:p w14:paraId="7F32605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51" w:type="dxa"/>
            <w:tcBorders>
              <w:top w:val="single" w:color="auto" w:sz="4" w:space="0"/>
              <w:left w:val="nil"/>
              <w:bottom w:val="single" w:color="auto" w:sz="4" w:space="0"/>
              <w:right w:val="single" w:color="auto" w:sz="4" w:space="0"/>
            </w:tcBorders>
            <w:shd w:val="clear" w:color="auto" w:fill="auto"/>
            <w:vAlign w:val="center"/>
          </w:tcPr>
          <w:p w14:paraId="10344D2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805" w:type="dxa"/>
            <w:tcBorders>
              <w:top w:val="single" w:color="auto" w:sz="4" w:space="0"/>
              <w:left w:val="nil"/>
              <w:bottom w:val="single" w:color="auto" w:sz="4" w:space="0"/>
              <w:right w:val="single" w:color="auto" w:sz="4" w:space="0"/>
            </w:tcBorders>
            <w:shd w:val="clear" w:color="auto" w:fill="auto"/>
            <w:vAlign w:val="center"/>
          </w:tcPr>
          <w:p w14:paraId="4EFB7D2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77C837A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57" w:type="dxa"/>
            <w:tcBorders>
              <w:top w:val="single" w:color="auto" w:sz="4" w:space="0"/>
              <w:left w:val="nil"/>
              <w:bottom w:val="single" w:color="auto" w:sz="4" w:space="0"/>
              <w:right w:val="single" w:color="auto" w:sz="4" w:space="0"/>
            </w:tcBorders>
            <w:shd w:val="clear" w:color="auto" w:fill="auto"/>
            <w:vAlign w:val="center"/>
          </w:tcPr>
          <w:p w14:paraId="55D020F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96" w:type="dxa"/>
            <w:tcBorders>
              <w:top w:val="single" w:color="auto" w:sz="4" w:space="0"/>
              <w:left w:val="nil"/>
              <w:bottom w:val="single" w:color="auto" w:sz="4" w:space="0"/>
              <w:right w:val="single" w:color="auto" w:sz="4" w:space="0"/>
            </w:tcBorders>
            <w:shd w:val="clear" w:color="auto" w:fill="auto"/>
            <w:vAlign w:val="center"/>
          </w:tcPr>
          <w:p w14:paraId="4463770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097" w:type="dxa"/>
            <w:tcBorders>
              <w:top w:val="single" w:color="auto" w:sz="4" w:space="0"/>
              <w:left w:val="nil"/>
              <w:bottom w:val="single" w:color="auto" w:sz="4" w:space="0"/>
              <w:right w:val="single" w:color="auto" w:sz="4" w:space="0"/>
            </w:tcBorders>
            <w:shd w:val="clear" w:color="auto" w:fill="auto"/>
            <w:vAlign w:val="center"/>
          </w:tcPr>
          <w:p w14:paraId="5964F82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7CB40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0CC6391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04" w:type="dxa"/>
            <w:tcBorders>
              <w:top w:val="single" w:color="auto" w:sz="4" w:space="0"/>
              <w:left w:val="nil"/>
              <w:bottom w:val="single" w:color="auto" w:sz="4" w:space="0"/>
              <w:right w:val="single" w:color="auto" w:sz="4" w:space="0"/>
            </w:tcBorders>
            <w:shd w:val="clear" w:color="auto" w:fill="auto"/>
            <w:vAlign w:val="center"/>
          </w:tcPr>
          <w:p w14:paraId="17A9B7F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988" w:type="dxa"/>
            <w:tcBorders>
              <w:top w:val="single" w:color="auto" w:sz="4" w:space="0"/>
              <w:left w:val="nil"/>
              <w:bottom w:val="single" w:color="auto" w:sz="4" w:space="0"/>
              <w:right w:val="single" w:color="auto" w:sz="4" w:space="0"/>
            </w:tcBorders>
            <w:shd w:val="clear" w:color="auto" w:fill="auto"/>
            <w:vAlign w:val="center"/>
          </w:tcPr>
          <w:p w14:paraId="37ED2C2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51" w:type="dxa"/>
            <w:tcBorders>
              <w:top w:val="single" w:color="auto" w:sz="4" w:space="0"/>
              <w:left w:val="nil"/>
              <w:bottom w:val="single" w:color="auto" w:sz="4" w:space="0"/>
              <w:right w:val="single" w:color="auto" w:sz="4" w:space="0"/>
            </w:tcBorders>
            <w:shd w:val="clear" w:color="auto" w:fill="auto"/>
            <w:vAlign w:val="center"/>
          </w:tcPr>
          <w:p w14:paraId="29EE63A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805" w:type="dxa"/>
            <w:tcBorders>
              <w:top w:val="single" w:color="auto" w:sz="4" w:space="0"/>
              <w:left w:val="nil"/>
              <w:bottom w:val="single" w:color="auto" w:sz="4" w:space="0"/>
              <w:right w:val="single" w:color="auto" w:sz="4" w:space="0"/>
            </w:tcBorders>
            <w:shd w:val="clear" w:color="auto" w:fill="auto"/>
            <w:vAlign w:val="center"/>
          </w:tcPr>
          <w:p w14:paraId="7084753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097F456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57" w:type="dxa"/>
            <w:tcBorders>
              <w:top w:val="single" w:color="auto" w:sz="4" w:space="0"/>
              <w:left w:val="nil"/>
              <w:bottom w:val="single" w:color="auto" w:sz="4" w:space="0"/>
              <w:right w:val="single" w:color="auto" w:sz="4" w:space="0"/>
            </w:tcBorders>
            <w:shd w:val="clear" w:color="auto" w:fill="auto"/>
            <w:vAlign w:val="center"/>
          </w:tcPr>
          <w:p w14:paraId="606E393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96" w:type="dxa"/>
            <w:tcBorders>
              <w:top w:val="single" w:color="auto" w:sz="4" w:space="0"/>
              <w:left w:val="nil"/>
              <w:bottom w:val="single" w:color="auto" w:sz="4" w:space="0"/>
              <w:right w:val="single" w:color="auto" w:sz="4" w:space="0"/>
            </w:tcBorders>
            <w:shd w:val="clear" w:color="auto" w:fill="auto"/>
            <w:vAlign w:val="center"/>
          </w:tcPr>
          <w:p w14:paraId="6F356C0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097" w:type="dxa"/>
            <w:tcBorders>
              <w:top w:val="single" w:color="auto" w:sz="4" w:space="0"/>
              <w:left w:val="nil"/>
              <w:bottom w:val="single" w:color="auto" w:sz="4" w:space="0"/>
              <w:right w:val="single" w:color="auto" w:sz="4" w:space="0"/>
            </w:tcBorders>
            <w:shd w:val="clear" w:color="auto" w:fill="auto"/>
            <w:vAlign w:val="center"/>
          </w:tcPr>
          <w:p w14:paraId="67AF9B0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1587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3801F9F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04" w:type="dxa"/>
            <w:tcBorders>
              <w:top w:val="single" w:color="auto" w:sz="4" w:space="0"/>
              <w:left w:val="nil"/>
              <w:bottom w:val="single" w:color="auto" w:sz="4" w:space="0"/>
              <w:right w:val="single" w:color="auto" w:sz="4" w:space="0"/>
            </w:tcBorders>
            <w:shd w:val="clear" w:color="auto" w:fill="auto"/>
            <w:vAlign w:val="center"/>
          </w:tcPr>
          <w:p w14:paraId="10C503F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988" w:type="dxa"/>
            <w:tcBorders>
              <w:top w:val="single" w:color="auto" w:sz="4" w:space="0"/>
              <w:left w:val="nil"/>
              <w:bottom w:val="single" w:color="auto" w:sz="4" w:space="0"/>
              <w:right w:val="single" w:color="auto" w:sz="4" w:space="0"/>
            </w:tcBorders>
            <w:shd w:val="clear" w:color="auto" w:fill="auto"/>
            <w:vAlign w:val="center"/>
          </w:tcPr>
          <w:p w14:paraId="1667DE1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51" w:type="dxa"/>
            <w:tcBorders>
              <w:top w:val="single" w:color="auto" w:sz="4" w:space="0"/>
              <w:left w:val="nil"/>
              <w:bottom w:val="single" w:color="auto" w:sz="4" w:space="0"/>
              <w:right w:val="single" w:color="auto" w:sz="4" w:space="0"/>
            </w:tcBorders>
            <w:shd w:val="clear" w:color="auto" w:fill="auto"/>
            <w:vAlign w:val="center"/>
          </w:tcPr>
          <w:p w14:paraId="18A9750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805" w:type="dxa"/>
            <w:tcBorders>
              <w:top w:val="single" w:color="auto" w:sz="4" w:space="0"/>
              <w:left w:val="nil"/>
              <w:bottom w:val="single" w:color="auto" w:sz="4" w:space="0"/>
              <w:right w:val="single" w:color="auto" w:sz="4" w:space="0"/>
            </w:tcBorders>
            <w:shd w:val="clear" w:color="auto" w:fill="auto"/>
            <w:vAlign w:val="center"/>
          </w:tcPr>
          <w:p w14:paraId="4ADB238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05AF4CC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57" w:type="dxa"/>
            <w:tcBorders>
              <w:top w:val="single" w:color="auto" w:sz="4" w:space="0"/>
              <w:left w:val="nil"/>
              <w:bottom w:val="single" w:color="auto" w:sz="4" w:space="0"/>
              <w:right w:val="single" w:color="auto" w:sz="4" w:space="0"/>
            </w:tcBorders>
            <w:shd w:val="clear" w:color="auto" w:fill="auto"/>
            <w:vAlign w:val="center"/>
          </w:tcPr>
          <w:p w14:paraId="6A68855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96" w:type="dxa"/>
            <w:tcBorders>
              <w:top w:val="single" w:color="auto" w:sz="4" w:space="0"/>
              <w:left w:val="nil"/>
              <w:bottom w:val="single" w:color="auto" w:sz="4" w:space="0"/>
              <w:right w:val="single" w:color="auto" w:sz="4" w:space="0"/>
            </w:tcBorders>
            <w:shd w:val="clear" w:color="auto" w:fill="auto"/>
            <w:vAlign w:val="center"/>
          </w:tcPr>
          <w:p w14:paraId="7869054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097" w:type="dxa"/>
            <w:tcBorders>
              <w:top w:val="single" w:color="auto" w:sz="4" w:space="0"/>
              <w:left w:val="nil"/>
              <w:bottom w:val="single" w:color="auto" w:sz="4" w:space="0"/>
              <w:right w:val="single" w:color="auto" w:sz="4" w:space="0"/>
            </w:tcBorders>
            <w:shd w:val="clear" w:color="auto" w:fill="auto"/>
            <w:vAlign w:val="center"/>
          </w:tcPr>
          <w:p w14:paraId="31F84A0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56724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79B19CF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bookmarkStart w:id="83" w:name="_Toc17638"/>
            <w:bookmarkEnd w:id="83"/>
          </w:p>
        </w:tc>
        <w:tc>
          <w:tcPr>
            <w:tcW w:w="704" w:type="dxa"/>
            <w:tcBorders>
              <w:top w:val="single" w:color="auto" w:sz="4" w:space="0"/>
              <w:left w:val="nil"/>
              <w:bottom w:val="single" w:color="auto" w:sz="4" w:space="0"/>
              <w:right w:val="single" w:color="auto" w:sz="4" w:space="0"/>
            </w:tcBorders>
            <w:shd w:val="clear" w:color="auto" w:fill="auto"/>
            <w:vAlign w:val="center"/>
          </w:tcPr>
          <w:p w14:paraId="5039C0A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988" w:type="dxa"/>
            <w:tcBorders>
              <w:top w:val="single" w:color="auto" w:sz="4" w:space="0"/>
              <w:left w:val="nil"/>
              <w:bottom w:val="single" w:color="auto" w:sz="4" w:space="0"/>
              <w:right w:val="single" w:color="auto" w:sz="4" w:space="0"/>
            </w:tcBorders>
            <w:shd w:val="clear" w:color="auto" w:fill="auto"/>
            <w:vAlign w:val="center"/>
          </w:tcPr>
          <w:p w14:paraId="18B1226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51" w:type="dxa"/>
            <w:tcBorders>
              <w:top w:val="single" w:color="auto" w:sz="4" w:space="0"/>
              <w:left w:val="nil"/>
              <w:bottom w:val="single" w:color="auto" w:sz="4" w:space="0"/>
              <w:right w:val="single" w:color="auto" w:sz="4" w:space="0"/>
            </w:tcBorders>
            <w:shd w:val="clear" w:color="auto" w:fill="auto"/>
            <w:vAlign w:val="center"/>
          </w:tcPr>
          <w:p w14:paraId="1BCE2EB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805" w:type="dxa"/>
            <w:tcBorders>
              <w:top w:val="single" w:color="auto" w:sz="4" w:space="0"/>
              <w:left w:val="nil"/>
              <w:bottom w:val="single" w:color="auto" w:sz="4" w:space="0"/>
              <w:right w:val="single" w:color="auto" w:sz="4" w:space="0"/>
            </w:tcBorders>
            <w:shd w:val="clear" w:color="auto" w:fill="auto"/>
            <w:vAlign w:val="center"/>
          </w:tcPr>
          <w:p w14:paraId="2B903BE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270C2C0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57" w:type="dxa"/>
            <w:tcBorders>
              <w:top w:val="single" w:color="auto" w:sz="4" w:space="0"/>
              <w:left w:val="nil"/>
              <w:bottom w:val="single" w:color="auto" w:sz="4" w:space="0"/>
              <w:right w:val="single" w:color="auto" w:sz="4" w:space="0"/>
            </w:tcBorders>
            <w:shd w:val="clear" w:color="auto" w:fill="auto"/>
            <w:vAlign w:val="center"/>
          </w:tcPr>
          <w:p w14:paraId="622D3ED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96" w:type="dxa"/>
            <w:tcBorders>
              <w:top w:val="single" w:color="auto" w:sz="4" w:space="0"/>
              <w:left w:val="nil"/>
              <w:bottom w:val="single" w:color="auto" w:sz="4" w:space="0"/>
              <w:right w:val="single" w:color="auto" w:sz="4" w:space="0"/>
            </w:tcBorders>
            <w:shd w:val="clear" w:color="auto" w:fill="auto"/>
            <w:vAlign w:val="center"/>
          </w:tcPr>
          <w:p w14:paraId="1D74085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097" w:type="dxa"/>
            <w:tcBorders>
              <w:top w:val="single" w:color="auto" w:sz="4" w:space="0"/>
              <w:left w:val="nil"/>
              <w:bottom w:val="single" w:color="auto" w:sz="4" w:space="0"/>
              <w:right w:val="single" w:color="auto" w:sz="4" w:space="0"/>
            </w:tcBorders>
            <w:shd w:val="clear" w:color="auto" w:fill="auto"/>
            <w:vAlign w:val="center"/>
          </w:tcPr>
          <w:p w14:paraId="580BB08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7DC79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jc w:val="center"/>
        </w:trPr>
        <w:tc>
          <w:tcPr>
            <w:tcW w:w="12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9DF7E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最高投标限价：</w:t>
            </w:r>
          </w:p>
        </w:tc>
        <w:tc>
          <w:tcPr>
            <w:tcW w:w="7278" w:type="dxa"/>
            <w:gridSpan w:val="7"/>
            <w:tcBorders>
              <w:top w:val="single" w:color="auto" w:sz="4" w:space="0"/>
              <w:left w:val="nil"/>
              <w:bottom w:val="single" w:color="auto" w:sz="4" w:space="0"/>
              <w:right w:val="single" w:color="auto" w:sz="4" w:space="0"/>
            </w:tcBorders>
            <w:shd w:val="clear" w:color="auto" w:fill="auto"/>
            <w:vAlign w:val="top"/>
          </w:tcPr>
          <w:p w14:paraId="33E9B7E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bl>
    <w:p w14:paraId="1BF223C6">
      <w:pPr>
        <w:keepNext w:val="0"/>
        <w:keepLines w:val="0"/>
        <w:widowControl/>
        <w:suppressLineNumbers w:val="0"/>
        <w:spacing w:before="0" w:beforeAutospacing="0" w:after="304" w:afterAutospacing="0" w:line="256"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4B10A8D6">
      <w:pPr>
        <w:keepNext w:val="0"/>
        <w:keepLines w:val="0"/>
        <w:widowControl/>
        <w:suppressLineNumbers w:val="0"/>
        <w:spacing w:before="0" w:beforeAutospacing="0" w:after="328" w:afterAutospacing="0" w:line="264" w:lineRule="auto"/>
        <w:ind w:left="10" w:right="103" w:hanging="1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招标人代表：     记录人：     监标人：</w:t>
      </w:r>
    </w:p>
    <w:p w14:paraId="31587C47">
      <w:pPr>
        <w:keepNext w:val="0"/>
        <w:keepLines w:val="0"/>
        <w:widowControl/>
        <w:suppressLineNumbers w:val="0"/>
        <w:spacing w:before="0" w:beforeAutospacing="0" w:after="182" w:afterAutospacing="0" w:line="256" w:lineRule="auto"/>
        <w:ind w:left="10" w:right="198" w:hanging="10"/>
        <w:jc w:val="righ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年    月    日</w:t>
      </w:r>
    </w:p>
    <w:p w14:paraId="4590046A">
      <w:pPr>
        <w:keepNext w:val="0"/>
        <w:keepLines w:val="0"/>
        <w:widowControl/>
        <w:suppressLineNumbers w:val="0"/>
        <w:spacing w:before="0" w:beforeAutospacing="0" w:after="182" w:afterAutospacing="0" w:line="256" w:lineRule="auto"/>
        <w:ind w:left="10" w:right="198" w:hanging="10"/>
        <w:jc w:val="righ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1E43BDD5">
      <w:pPr>
        <w:keepNext w:val="0"/>
        <w:keepLines w:val="0"/>
        <w:widowControl/>
        <w:suppressLineNumbers w:val="0"/>
        <w:spacing w:before="0" w:beforeAutospacing="0" w:after="182" w:afterAutospacing="0" w:line="256" w:lineRule="auto"/>
        <w:ind w:left="10" w:right="998" w:hanging="1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u w:val="single"/>
          <w:lang w:val="en-US" w:eastAsia="zh-CN" w:bidi="ar"/>
        </w:rPr>
        <w:t>本表仅供参考，具体以开标时的开标记录表为准。</w:t>
      </w:r>
      <w:r>
        <w:rPr>
          <w:rFonts w:hint="eastAsia" w:ascii="宋体" w:hAnsi="宋体" w:eastAsia="宋体" w:cs="宋体"/>
          <w:color w:val="auto"/>
          <w:kern w:val="2"/>
          <w:sz w:val="24"/>
          <w:szCs w:val="24"/>
          <w:highlight w:val="none"/>
          <w:lang w:val="en-US" w:eastAsia="zh-CN" w:bidi="ar"/>
        </w:rPr>
        <w:br w:type="page"/>
      </w:r>
      <w:r>
        <w:rPr>
          <w:rFonts w:hint="eastAsia" w:ascii="宋体" w:hAnsi="宋体" w:eastAsia="宋体" w:cs="宋体"/>
          <w:color w:val="auto"/>
          <w:kern w:val="0"/>
          <w:sz w:val="24"/>
          <w:szCs w:val="24"/>
          <w:highlight w:val="none"/>
          <w:lang w:val="en-US" w:eastAsia="zh-CN" w:bidi="ar"/>
        </w:rPr>
        <w:t>附件二：确认通知</w:t>
      </w:r>
    </w:p>
    <w:p w14:paraId="72B8FE5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44999DC6">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（按广州交易集团有限公司（广州公共资源交易中心）格式）</w:t>
      </w:r>
    </w:p>
    <w:p w14:paraId="420B694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br w:type="page"/>
      </w:r>
      <w:r>
        <w:rPr>
          <w:rFonts w:hint="eastAsia" w:ascii="宋体" w:hAnsi="宋体" w:eastAsia="宋体" w:cs="宋体"/>
          <w:color w:val="auto"/>
          <w:kern w:val="0"/>
          <w:sz w:val="24"/>
          <w:szCs w:val="24"/>
          <w:highlight w:val="none"/>
          <w:lang w:val="en-US" w:eastAsia="zh-CN" w:bidi="ar"/>
        </w:rPr>
        <w:t>附件三：问题澄清通知</w:t>
      </w:r>
    </w:p>
    <w:p w14:paraId="696A98E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3073C9B3">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（按广州交易集团有限公司（广州公共资源交易中心）格式）</w:t>
      </w:r>
    </w:p>
    <w:p w14:paraId="1CD5CBF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br w:type="page"/>
      </w:r>
      <w:r>
        <w:rPr>
          <w:rFonts w:hint="eastAsia" w:ascii="宋体" w:hAnsi="宋体" w:eastAsia="宋体" w:cs="宋体"/>
          <w:color w:val="auto"/>
          <w:kern w:val="0"/>
          <w:sz w:val="24"/>
          <w:szCs w:val="24"/>
          <w:highlight w:val="none"/>
          <w:lang w:val="en-US" w:eastAsia="zh-CN" w:bidi="ar"/>
        </w:rPr>
        <w:t>附件四：问题的澄清</w:t>
      </w:r>
    </w:p>
    <w:p w14:paraId="55E1D89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3534183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（按广州交易集团有限公司（广州公共资源交易中心）格式）</w:t>
      </w:r>
    </w:p>
    <w:p w14:paraId="2A5EB53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br w:type="page"/>
      </w:r>
      <w:r>
        <w:rPr>
          <w:rFonts w:hint="eastAsia" w:ascii="宋体" w:hAnsi="宋体" w:eastAsia="宋体" w:cs="宋体"/>
          <w:color w:val="auto"/>
          <w:kern w:val="0"/>
          <w:sz w:val="24"/>
          <w:szCs w:val="24"/>
          <w:highlight w:val="none"/>
          <w:lang w:val="en-US" w:eastAsia="zh-CN" w:bidi="ar"/>
        </w:rPr>
        <w:t>附件五：中标通知书</w:t>
      </w:r>
    </w:p>
    <w:p w14:paraId="7E69DF7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6A1F8B6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44"/>
          <w:szCs w:val="44"/>
          <w:highlight w:val="none"/>
        </w:rPr>
      </w:pPr>
      <w:r>
        <w:rPr>
          <w:rFonts w:hint="eastAsia" w:ascii="宋体" w:hAnsi="宋体" w:eastAsia="宋体" w:cs="宋体"/>
          <w:color w:val="auto"/>
          <w:kern w:val="2"/>
          <w:sz w:val="24"/>
          <w:szCs w:val="24"/>
          <w:highlight w:val="none"/>
          <w:lang w:val="en-US" w:eastAsia="zh-CN" w:bidi="ar"/>
        </w:rPr>
        <w:t>（按广州交易集团有限公司（广州公共资源交易中心）格式）</w:t>
      </w:r>
      <w:r>
        <w:rPr>
          <w:rFonts w:hint="eastAsia" w:ascii="宋体" w:hAnsi="宋体" w:eastAsia="宋体" w:cs="宋体"/>
          <w:color w:val="auto"/>
          <w:kern w:val="2"/>
          <w:sz w:val="24"/>
          <w:szCs w:val="24"/>
          <w:highlight w:val="none"/>
          <w:lang w:val="en-US" w:eastAsia="zh-CN" w:bidi="ar"/>
        </w:rPr>
        <w:br w:type="page"/>
      </w:r>
      <w:bookmarkStart w:id="84" w:name="_Toc140071427"/>
      <w:bookmarkEnd w:id="84"/>
      <w:r>
        <w:rPr>
          <w:rFonts w:hint="eastAsia" w:ascii="宋体" w:hAnsi="宋体" w:eastAsia="宋体" w:cs="宋体"/>
          <w:b/>
          <w:bCs w:val="0"/>
          <w:color w:val="auto"/>
          <w:kern w:val="2"/>
          <w:sz w:val="44"/>
          <w:szCs w:val="44"/>
          <w:highlight w:val="none"/>
          <w:lang w:val="en-US" w:eastAsia="zh-CN" w:bidi="ar"/>
        </w:rPr>
        <w:t>第三章评标办法（综合评估法）</w:t>
      </w:r>
    </w:p>
    <w:p w14:paraId="6CB7DFB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031D505">
      <w:pPr>
        <w:keepNext w:val="0"/>
        <w:keepLines w:val="0"/>
        <w:widowControl w:val="0"/>
        <w:suppressLineNumbers w:val="0"/>
        <w:spacing w:before="0" w:beforeAutospacing="0" w:after="0" w:afterAutospacing="0" w:line="366" w:lineRule="exact"/>
        <w:ind w:left="360" w:right="0"/>
        <w:jc w:val="center"/>
        <w:rPr>
          <w:rFonts w:hint="eastAsia" w:ascii="宋体" w:hAnsi="宋体" w:eastAsia="宋体" w:cs="Times New Roman"/>
          <w:b/>
          <w:bCs w:val="0"/>
          <w:color w:val="auto"/>
          <w:kern w:val="2"/>
          <w:sz w:val="32"/>
          <w:szCs w:val="32"/>
          <w:highlight w:val="none"/>
        </w:rPr>
      </w:pPr>
      <w:r>
        <w:rPr>
          <w:rFonts w:hint="eastAsia" w:ascii="宋体" w:hAnsi="宋体" w:eastAsia="宋体" w:cs="宋体"/>
          <w:b/>
          <w:bCs w:val="0"/>
          <w:color w:val="auto"/>
          <w:kern w:val="2"/>
          <w:sz w:val="32"/>
          <w:szCs w:val="32"/>
          <w:highlight w:val="none"/>
          <w:lang w:val="en-US" w:eastAsia="zh-CN" w:bidi="ar"/>
        </w:rPr>
        <w:t>评标办法前附表</w:t>
      </w:r>
    </w:p>
    <w:tbl>
      <w:tblPr>
        <w:tblStyle w:val="10"/>
        <w:tblW w:w="950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900"/>
        <w:gridCol w:w="108"/>
        <w:gridCol w:w="1008"/>
        <w:gridCol w:w="1843"/>
        <w:gridCol w:w="5648"/>
      </w:tblGrid>
      <w:tr w14:paraId="265DDD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20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F040F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条款号</w:t>
            </w:r>
          </w:p>
        </w:tc>
        <w:tc>
          <w:tcPr>
            <w:tcW w:w="1843" w:type="dxa"/>
            <w:tcBorders>
              <w:top w:val="single" w:color="auto" w:sz="4" w:space="0"/>
              <w:left w:val="nil"/>
              <w:bottom w:val="single" w:color="auto" w:sz="4" w:space="0"/>
              <w:right w:val="single" w:color="auto" w:sz="4" w:space="0"/>
            </w:tcBorders>
            <w:shd w:val="clear" w:color="auto" w:fill="auto"/>
            <w:vAlign w:val="center"/>
          </w:tcPr>
          <w:p w14:paraId="6A793E1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评审因素</w:t>
            </w:r>
          </w:p>
        </w:tc>
        <w:tc>
          <w:tcPr>
            <w:tcW w:w="5648" w:type="dxa"/>
            <w:tcBorders>
              <w:top w:val="single" w:color="auto" w:sz="4" w:space="0"/>
              <w:left w:val="nil"/>
              <w:bottom w:val="single" w:color="auto" w:sz="4" w:space="0"/>
              <w:right w:val="single" w:color="auto" w:sz="4" w:space="0"/>
            </w:tcBorders>
            <w:shd w:val="clear" w:color="auto" w:fill="auto"/>
            <w:vAlign w:val="center"/>
          </w:tcPr>
          <w:p w14:paraId="3D09B98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评审标准</w:t>
            </w:r>
          </w:p>
        </w:tc>
      </w:tr>
      <w:tr w14:paraId="1CC69FB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06"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1A6487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1</w:t>
            </w:r>
          </w:p>
        </w:tc>
        <w:tc>
          <w:tcPr>
            <w:tcW w:w="1116" w:type="dxa"/>
            <w:gridSpan w:val="2"/>
            <w:tcBorders>
              <w:top w:val="single" w:color="auto" w:sz="4" w:space="0"/>
              <w:left w:val="nil"/>
              <w:bottom w:val="single" w:color="auto" w:sz="4" w:space="0"/>
              <w:right w:val="single" w:color="auto" w:sz="4" w:space="0"/>
            </w:tcBorders>
            <w:shd w:val="clear" w:color="auto" w:fill="auto"/>
            <w:vAlign w:val="center"/>
          </w:tcPr>
          <w:p w14:paraId="3C4A1B7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评标方法</w:t>
            </w:r>
          </w:p>
        </w:tc>
        <w:tc>
          <w:tcPr>
            <w:tcW w:w="1843" w:type="dxa"/>
            <w:tcBorders>
              <w:top w:val="single" w:color="auto" w:sz="4" w:space="0"/>
              <w:left w:val="nil"/>
              <w:bottom w:val="single" w:color="auto" w:sz="4" w:space="0"/>
              <w:right w:val="single" w:color="auto" w:sz="4" w:space="0"/>
            </w:tcBorders>
            <w:shd w:val="clear" w:color="auto" w:fill="auto"/>
            <w:vAlign w:val="center"/>
          </w:tcPr>
          <w:p w14:paraId="59AFCE8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中标候选人排序方法</w:t>
            </w:r>
          </w:p>
        </w:tc>
        <w:tc>
          <w:tcPr>
            <w:tcW w:w="5648" w:type="dxa"/>
            <w:tcBorders>
              <w:top w:val="single" w:color="auto" w:sz="4" w:space="0"/>
              <w:left w:val="nil"/>
              <w:bottom w:val="single" w:color="auto" w:sz="4" w:space="0"/>
              <w:right w:val="single" w:color="auto" w:sz="4" w:space="0"/>
            </w:tcBorders>
            <w:shd w:val="clear" w:color="auto" w:fill="auto"/>
            <w:vAlign w:val="top"/>
          </w:tcPr>
          <w:p w14:paraId="2F1A44FC">
            <w:pPr>
              <w:keepNext w:val="0"/>
              <w:keepLines w:val="0"/>
              <w:widowControl w:val="0"/>
              <w:suppressLineNumbers w:val="0"/>
              <w:spacing w:before="0" w:beforeAutospacing="0" w:after="0" w:afterAutospacing="0" w:line="288" w:lineRule="auto"/>
              <w:ind w:left="0" w:right="0"/>
              <w:jc w:val="left"/>
              <w:rPr>
                <w:rFonts w:hint="default" w:ascii="宋体" w:hAnsi="宋体" w:eastAsia="宋体" w:cs="Times New Roman"/>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本次评标采用综合评估法。评标委员会对满足招标文件实质性要求的投标文件，按照本章第</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2.2 款规定的评分标准进行打分，并按得分由高到低顺序推荐中标候选人，但投标报价低于其成本的除外。</w:t>
            </w:r>
            <w:r>
              <w:rPr>
                <w:rFonts w:hint="default" w:ascii="宋体" w:hAnsi="宋体" w:eastAsia="宋体" w:cs="宋体"/>
                <w:color w:val="auto"/>
                <w:kern w:val="0"/>
                <w:sz w:val="21"/>
                <w:szCs w:val="21"/>
                <w:highlight w:val="none"/>
                <w:u w:val="single"/>
                <w:lang w:eastAsia="zh-CN" w:bidi="ar"/>
              </w:rPr>
              <w:t>综合评分相等时，以现金支付部分投标报价低的优先；现金支付部分投标报价也相等的，以赞助权益回报部分投标报价高的优先；赞助权益回报部分投标报价也相等的，以技术得分高的优先；如果技术得分也相等，以商务得分高的优先；如仍存在相同情况，则对具有相同情况的投标人，按中标候选人数量规定，由评标委员会采用记名投票的方式，确定中标候选人的排序。</w:t>
            </w:r>
          </w:p>
        </w:tc>
      </w:tr>
      <w:tr w14:paraId="4C33B6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jc w:val="center"/>
        </w:trPr>
        <w:tc>
          <w:tcPr>
            <w:tcW w:w="900" w:type="dxa"/>
            <w:vMerge w:val="restart"/>
            <w:tcBorders>
              <w:top w:val="nil"/>
              <w:left w:val="single" w:color="auto" w:sz="4" w:space="0"/>
              <w:bottom w:val="single" w:color="auto" w:sz="4" w:space="0"/>
              <w:right w:val="single" w:color="auto" w:sz="4" w:space="0"/>
            </w:tcBorders>
            <w:shd w:val="clear" w:color="auto" w:fill="auto"/>
            <w:vAlign w:val="center"/>
          </w:tcPr>
          <w:p w14:paraId="674BD26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2.1.1</w:t>
            </w:r>
          </w:p>
        </w:tc>
        <w:tc>
          <w:tcPr>
            <w:tcW w:w="1116" w:type="dxa"/>
            <w:gridSpan w:val="2"/>
            <w:vMerge w:val="restart"/>
            <w:tcBorders>
              <w:top w:val="nil"/>
              <w:left w:val="nil"/>
              <w:bottom w:val="nil"/>
              <w:right w:val="single" w:color="auto" w:sz="4" w:space="0"/>
            </w:tcBorders>
            <w:shd w:val="clear" w:color="auto" w:fill="auto"/>
            <w:vAlign w:val="center"/>
          </w:tcPr>
          <w:p w14:paraId="70922F0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形式评审标准</w:t>
            </w:r>
          </w:p>
        </w:tc>
        <w:tc>
          <w:tcPr>
            <w:tcW w:w="1843" w:type="dxa"/>
            <w:tcBorders>
              <w:top w:val="single" w:color="auto" w:sz="4" w:space="0"/>
              <w:left w:val="nil"/>
              <w:bottom w:val="single" w:color="auto" w:sz="4" w:space="0"/>
              <w:right w:val="single" w:color="auto" w:sz="4" w:space="0"/>
            </w:tcBorders>
            <w:shd w:val="clear" w:color="auto" w:fill="auto"/>
            <w:vAlign w:val="center"/>
          </w:tcPr>
          <w:p w14:paraId="2B15161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投标人名称</w:t>
            </w:r>
          </w:p>
        </w:tc>
        <w:tc>
          <w:tcPr>
            <w:tcW w:w="5648" w:type="dxa"/>
            <w:tcBorders>
              <w:top w:val="single" w:color="auto" w:sz="4" w:space="0"/>
              <w:left w:val="nil"/>
              <w:bottom w:val="single" w:color="auto" w:sz="4" w:space="0"/>
              <w:right w:val="single" w:color="auto" w:sz="4" w:space="0"/>
            </w:tcBorders>
            <w:shd w:val="clear" w:color="auto" w:fill="auto"/>
            <w:vAlign w:val="center"/>
          </w:tcPr>
          <w:p w14:paraId="4E18F51E">
            <w:pPr>
              <w:keepNext w:val="0"/>
              <w:keepLines w:val="0"/>
              <w:widowControl w:val="0"/>
              <w:suppressLineNumbers w:val="0"/>
              <w:spacing w:before="0" w:beforeAutospacing="0" w:after="0" w:afterAutospacing="0" w:line="288"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与营业执照</w:t>
            </w:r>
            <w:r>
              <w:rPr>
                <w:rFonts w:hint="eastAsia" w:ascii="宋体" w:hAnsi="宋体" w:eastAsia="宋体" w:cs="宋体"/>
                <w:color w:val="auto"/>
                <w:kern w:val="2"/>
                <w:sz w:val="21"/>
                <w:szCs w:val="21"/>
                <w:highlight w:val="none"/>
                <w:u w:val="single"/>
                <w:lang w:val="en-US" w:eastAsia="zh-CN" w:bidi="ar"/>
              </w:rPr>
              <w:t>（或事业单位法人证书）</w:t>
            </w:r>
            <w:r>
              <w:rPr>
                <w:rFonts w:hint="eastAsia" w:ascii="宋体" w:hAnsi="宋体" w:eastAsia="宋体" w:cs="宋体"/>
                <w:color w:val="auto"/>
                <w:kern w:val="2"/>
                <w:sz w:val="21"/>
                <w:szCs w:val="21"/>
                <w:highlight w:val="none"/>
                <w:lang w:val="en-US" w:eastAsia="zh-CN" w:bidi="ar"/>
              </w:rPr>
              <w:t>一致</w:t>
            </w:r>
          </w:p>
        </w:tc>
      </w:tr>
      <w:tr w14:paraId="4CB00BA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90" w:hRule="atLeast"/>
          <w:jc w:val="center"/>
        </w:trPr>
        <w:tc>
          <w:tcPr>
            <w:tcW w:w="900" w:type="dxa"/>
            <w:vMerge w:val="continue"/>
            <w:tcBorders>
              <w:top w:val="nil"/>
              <w:left w:val="single" w:color="auto" w:sz="4" w:space="0"/>
              <w:bottom w:val="single" w:color="auto" w:sz="4" w:space="0"/>
              <w:right w:val="single" w:color="auto" w:sz="4" w:space="0"/>
            </w:tcBorders>
            <w:shd w:val="clear" w:color="auto" w:fill="auto"/>
            <w:vAlign w:val="center"/>
          </w:tcPr>
          <w:p w14:paraId="07FCC91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6" w:type="dxa"/>
            <w:gridSpan w:val="2"/>
            <w:vMerge w:val="continue"/>
            <w:tcBorders>
              <w:top w:val="nil"/>
              <w:left w:val="nil"/>
              <w:bottom w:val="nil"/>
              <w:right w:val="single" w:color="auto" w:sz="4" w:space="0"/>
            </w:tcBorders>
            <w:shd w:val="clear" w:color="auto" w:fill="auto"/>
            <w:vAlign w:val="center"/>
          </w:tcPr>
          <w:p w14:paraId="3921C63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22B46EE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投标函签字盖章</w:t>
            </w:r>
          </w:p>
        </w:tc>
        <w:tc>
          <w:tcPr>
            <w:tcW w:w="5648" w:type="dxa"/>
            <w:tcBorders>
              <w:top w:val="single" w:color="auto" w:sz="4" w:space="0"/>
              <w:left w:val="nil"/>
              <w:bottom w:val="single" w:color="auto" w:sz="4" w:space="0"/>
              <w:right w:val="single" w:color="auto" w:sz="4" w:space="0"/>
            </w:tcBorders>
            <w:shd w:val="clear" w:color="auto" w:fill="auto"/>
            <w:vAlign w:val="center"/>
          </w:tcPr>
          <w:p w14:paraId="0C34AEE6">
            <w:pPr>
              <w:keepNext w:val="0"/>
              <w:keepLines w:val="0"/>
              <w:widowControl w:val="0"/>
              <w:suppressLineNumbers w:val="0"/>
              <w:spacing w:before="0" w:beforeAutospacing="0" w:after="0" w:afterAutospacing="0" w:line="288"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有法定代表人或其委托代理人签字（或盖章）及加盖单位章。由法定代表人签字（或盖章）的，应附法定代表人身份证明；由代理人签字（或盖章）的，应法定代表人证明书及授权委托书，身份证明或授权委托书应符合第六章“投标文件格式”的规定。</w:t>
            </w:r>
          </w:p>
        </w:tc>
      </w:tr>
      <w:tr w14:paraId="5426FF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jc w:val="center"/>
        </w:trPr>
        <w:tc>
          <w:tcPr>
            <w:tcW w:w="900" w:type="dxa"/>
            <w:vMerge w:val="continue"/>
            <w:tcBorders>
              <w:top w:val="nil"/>
              <w:left w:val="single" w:color="auto" w:sz="4" w:space="0"/>
              <w:bottom w:val="single" w:color="auto" w:sz="4" w:space="0"/>
              <w:right w:val="single" w:color="auto" w:sz="4" w:space="0"/>
            </w:tcBorders>
            <w:shd w:val="clear" w:color="auto" w:fill="auto"/>
            <w:vAlign w:val="center"/>
          </w:tcPr>
          <w:p w14:paraId="4ED6793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6" w:type="dxa"/>
            <w:gridSpan w:val="2"/>
            <w:vMerge w:val="continue"/>
            <w:tcBorders>
              <w:top w:val="nil"/>
              <w:left w:val="nil"/>
              <w:bottom w:val="nil"/>
              <w:right w:val="single" w:color="auto" w:sz="4" w:space="0"/>
            </w:tcBorders>
            <w:shd w:val="clear" w:color="auto" w:fill="auto"/>
            <w:vAlign w:val="center"/>
          </w:tcPr>
          <w:p w14:paraId="725613E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5C590E9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投标文件格式</w:t>
            </w:r>
          </w:p>
        </w:tc>
        <w:tc>
          <w:tcPr>
            <w:tcW w:w="5648" w:type="dxa"/>
            <w:tcBorders>
              <w:top w:val="single" w:color="auto" w:sz="4" w:space="0"/>
              <w:left w:val="nil"/>
              <w:bottom w:val="single" w:color="auto" w:sz="4" w:space="0"/>
              <w:right w:val="single" w:color="auto" w:sz="4" w:space="0"/>
            </w:tcBorders>
            <w:shd w:val="clear" w:color="auto" w:fill="auto"/>
            <w:vAlign w:val="center"/>
          </w:tcPr>
          <w:p w14:paraId="53810306">
            <w:pPr>
              <w:keepNext w:val="0"/>
              <w:keepLines w:val="0"/>
              <w:widowControl w:val="0"/>
              <w:suppressLineNumbers w:val="0"/>
              <w:spacing w:before="0" w:beforeAutospacing="0" w:after="0" w:afterAutospacing="0" w:line="288"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投标函、赞助承诺函（如有）符合第六章“投标文件格式”的规定。</w:t>
            </w:r>
          </w:p>
        </w:tc>
      </w:tr>
      <w:tr w14:paraId="0612B4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jc w:val="center"/>
        </w:trPr>
        <w:tc>
          <w:tcPr>
            <w:tcW w:w="900" w:type="dxa"/>
            <w:vMerge w:val="continue"/>
            <w:tcBorders>
              <w:top w:val="nil"/>
              <w:left w:val="single" w:color="auto" w:sz="4" w:space="0"/>
              <w:bottom w:val="single" w:color="auto" w:sz="4" w:space="0"/>
              <w:right w:val="single" w:color="auto" w:sz="4" w:space="0"/>
            </w:tcBorders>
            <w:shd w:val="clear" w:color="auto" w:fill="auto"/>
            <w:vAlign w:val="center"/>
          </w:tcPr>
          <w:p w14:paraId="745A7A8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6" w:type="dxa"/>
            <w:gridSpan w:val="2"/>
            <w:vMerge w:val="continue"/>
            <w:tcBorders>
              <w:top w:val="nil"/>
              <w:left w:val="nil"/>
              <w:bottom w:val="nil"/>
              <w:right w:val="single" w:color="auto" w:sz="4" w:space="0"/>
            </w:tcBorders>
            <w:shd w:val="clear" w:color="auto" w:fill="auto"/>
            <w:vAlign w:val="center"/>
          </w:tcPr>
          <w:p w14:paraId="6B2D59E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5F0383D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联合体投标人</w:t>
            </w:r>
          </w:p>
        </w:tc>
        <w:tc>
          <w:tcPr>
            <w:tcW w:w="5648" w:type="dxa"/>
            <w:tcBorders>
              <w:top w:val="single" w:color="auto" w:sz="4" w:space="0"/>
              <w:left w:val="nil"/>
              <w:bottom w:val="single" w:color="auto" w:sz="4" w:space="0"/>
              <w:right w:val="single" w:color="auto" w:sz="4" w:space="0"/>
            </w:tcBorders>
            <w:shd w:val="clear" w:color="auto" w:fill="auto"/>
            <w:vAlign w:val="center"/>
          </w:tcPr>
          <w:p w14:paraId="0F107ED2">
            <w:pPr>
              <w:keepNext w:val="0"/>
              <w:keepLines w:val="0"/>
              <w:widowControl w:val="0"/>
              <w:suppressLineNumbers w:val="0"/>
              <w:spacing w:before="0" w:beforeAutospacing="0" w:after="0" w:afterAutospacing="0" w:line="288"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r>
      <w:tr w14:paraId="0C30AD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jc w:val="center"/>
        </w:trPr>
        <w:tc>
          <w:tcPr>
            <w:tcW w:w="900" w:type="dxa"/>
            <w:vMerge w:val="continue"/>
            <w:tcBorders>
              <w:top w:val="nil"/>
              <w:left w:val="single" w:color="auto" w:sz="4" w:space="0"/>
              <w:bottom w:val="single" w:color="auto" w:sz="4" w:space="0"/>
              <w:right w:val="single" w:color="auto" w:sz="4" w:space="0"/>
            </w:tcBorders>
            <w:shd w:val="clear" w:color="auto" w:fill="auto"/>
            <w:vAlign w:val="center"/>
          </w:tcPr>
          <w:p w14:paraId="018BD7E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6" w:type="dxa"/>
            <w:gridSpan w:val="2"/>
            <w:vMerge w:val="continue"/>
            <w:tcBorders>
              <w:top w:val="nil"/>
              <w:left w:val="nil"/>
              <w:bottom w:val="nil"/>
              <w:right w:val="single" w:color="auto" w:sz="4" w:space="0"/>
            </w:tcBorders>
            <w:shd w:val="clear" w:color="auto" w:fill="auto"/>
            <w:vAlign w:val="center"/>
          </w:tcPr>
          <w:p w14:paraId="5D374B2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1B4BAB0B">
            <w:pPr>
              <w:keepNext w:val="0"/>
              <w:keepLines w:val="0"/>
              <w:widowControl w:val="0"/>
              <w:suppressLineNumbers w:val="0"/>
              <w:spacing w:before="0" w:beforeAutospacing="0" w:after="0" w:afterAutospacing="0" w:line="288" w:lineRule="auto"/>
              <w:ind w:left="0" w:right="0"/>
              <w:jc w:val="center"/>
              <w:rPr>
                <w:rFonts w:hint="default"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备选投标方案</w:t>
            </w:r>
          </w:p>
        </w:tc>
        <w:tc>
          <w:tcPr>
            <w:tcW w:w="5648" w:type="dxa"/>
            <w:tcBorders>
              <w:top w:val="single" w:color="auto" w:sz="4" w:space="0"/>
              <w:left w:val="nil"/>
              <w:bottom w:val="single" w:color="auto" w:sz="4" w:space="0"/>
              <w:right w:val="single" w:color="auto" w:sz="4" w:space="0"/>
            </w:tcBorders>
            <w:shd w:val="clear" w:color="auto" w:fill="auto"/>
            <w:vAlign w:val="center"/>
          </w:tcPr>
          <w:p w14:paraId="6C3E6998">
            <w:pPr>
              <w:keepNext w:val="0"/>
              <w:keepLines w:val="0"/>
              <w:widowControl w:val="0"/>
              <w:suppressLineNumbers w:val="0"/>
              <w:spacing w:before="0" w:beforeAutospacing="0" w:after="0" w:afterAutospacing="0" w:line="288" w:lineRule="auto"/>
              <w:ind w:left="0" w:right="0"/>
              <w:jc w:val="both"/>
              <w:rPr>
                <w:rFonts w:hint="default"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不允许</w:t>
            </w:r>
          </w:p>
        </w:tc>
      </w:tr>
      <w:tr w14:paraId="0D1F40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jc w:val="center"/>
        </w:trPr>
        <w:tc>
          <w:tcPr>
            <w:tcW w:w="900" w:type="dxa"/>
            <w:vMerge w:val="continue"/>
            <w:tcBorders>
              <w:top w:val="nil"/>
              <w:left w:val="single" w:color="auto" w:sz="4" w:space="0"/>
              <w:bottom w:val="single" w:color="auto" w:sz="4" w:space="0"/>
              <w:right w:val="single" w:color="auto" w:sz="4" w:space="0"/>
            </w:tcBorders>
            <w:shd w:val="clear" w:color="auto" w:fill="auto"/>
            <w:vAlign w:val="center"/>
          </w:tcPr>
          <w:p w14:paraId="4CA0060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6" w:type="dxa"/>
            <w:gridSpan w:val="2"/>
            <w:vMerge w:val="continue"/>
            <w:tcBorders>
              <w:top w:val="nil"/>
              <w:left w:val="nil"/>
              <w:bottom w:val="nil"/>
              <w:right w:val="single" w:color="auto" w:sz="4" w:space="0"/>
            </w:tcBorders>
            <w:shd w:val="clear" w:color="auto" w:fill="auto"/>
            <w:vAlign w:val="center"/>
          </w:tcPr>
          <w:p w14:paraId="7E2BF75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32E8D5D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投标人机器码</w:t>
            </w:r>
          </w:p>
        </w:tc>
        <w:tc>
          <w:tcPr>
            <w:tcW w:w="5648" w:type="dxa"/>
            <w:tcBorders>
              <w:top w:val="single" w:color="auto" w:sz="4" w:space="0"/>
              <w:left w:val="nil"/>
              <w:bottom w:val="single" w:color="auto" w:sz="4" w:space="0"/>
              <w:right w:val="single" w:color="auto" w:sz="4" w:space="0"/>
            </w:tcBorders>
            <w:shd w:val="clear" w:color="auto" w:fill="auto"/>
            <w:vAlign w:val="center"/>
          </w:tcPr>
          <w:p w14:paraId="2FE507BB">
            <w:pPr>
              <w:keepNext w:val="0"/>
              <w:keepLines w:val="0"/>
              <w:widowControl w:val="0"/>
              <w:suppressLineNumbers w:val="0"/>
              <w:spacing w:before="0" w:beforeAutospacing="0" w:after="0" w:afterAutospacing="0" w:line="288"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投标人与</w:t>
            </w:r>
            <w:r>
              <w:rPr>
                <w:rFonts w:hint="eastAsia" w:ascii="宋体" w:hAnsi="宋体" w:eastAsia="宋体" w:cs="宋体"/>
                <w:color w:val="auto"/>
                <w:kern w:val="2"/>
                <w:sz w:val="21"/>
                <w:szCs w:val="21"/>
                <w:highlight w:val="none"/>
                <w:u w:val="single"/>
                <w:lang w:val="en-US" w:eastAsia="zh-CN" w:bidi="ar"/>
              </w:rPr>
              <w:t>本项目</w:t>
            </w:r>
            <w:r>
              <w:rPr>
                <w:rFonts w:hint="eastAsia" w:ascii="宋体" w:hAnsi="宋体" w:eastAsia="宋体" w:cs="宋体"/>
                <w:color w:val="auto"/>
                <w:kern w:val="2"/>
                <w:sz w:val="21"/>
                <w:szCs w:val="21"/>
                <w:highlight w:val="none"/>
                <w:lang w:val="en-US" w:eastAsia="zh-CN" w:bidi="ar"/>
              </w:rPr>
              <w:t>其他投标人加密打包投标文件电脑机器特征码一致的</w:t>
            </w:r>
            <w:r>
              <w:rPr>
                <w:rFonts w:hint="eastAsia" w:ascii="宋体" w:hAnsi="宋体"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以广州交易集团有限公司（广州公共资源交易中心）评标系统的检索信息为准</w:t>
            </w:r>
            <w:r>
              <w:rPr>
                <w:rFonts w:hint="eastAsia" w:ascii="宋体" w:hAnsi="宋体"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,其投标将被否决。</w:t>
            </w:r>
          </w:p>
        </w:tc>
      </w:tr>
      <w:tr w14:paraId="72EBC95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340" w:hRule="atLeast"/>
          <w:jc w:val="center"/>
        </w:trPr>
        <w:tc>
          <w:tcPr>
            <w:tcW w:w="900" w:type="dxa"/>
            <w:vMerge w:val="restart"/>
            <w:tcBorders>
              <w:top w:val="nil"/>
              <w:left w:val="single" w:color="auto" w:sz="4" w:space="0"/>
              <w:bottom w:val="nil"/>
              <w:right w:val="single" w:color="auto" w:sz="4" w:space="0"/>
            </w:tcBorders>
            <w:shd w:val="clear" w:color="auto" w:fill="auto"/>
            <w:vAlign w:val="center"/>
          </w:tcPr>
          <w:p w14:paraId="533E1F8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2.1.2</w:t>
            </w:r>
          </w:p>
        </w:tc>
        <w:tc>
          <w:tcPr>
            <w:tcW w:w="1116" w:type="dxa"/>
            <w:gridSpan w:val="2"/>
            <w:vMerge w:val="restart"/>
            <w:tcBorders>
              <w:top w:val="nil"/>
              <w:left w:val="nil"/>
              <w:bottom w:val="nil"/>
              <w:right w:val="single" w:color="auto" w:sz="4" w:space="0"/>
            </w:tcBorders>
            <w:shd w:val="clear" w:color="auto" w:fill="auto"/>
            <w:vAlign w:val="center"/>
          </w:tcPr>
          <w:p w14:paraId="161EB65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资格评审标准</w:t>
            </w:r>
          </w:p>
        </w:tc>
        <w:tc>
          <w:tcPr>
            <w:tcW w:w="1843" w:type="dxa"/>
            <w:tcBorders>
              <w:top w:val="single" w:color="auto" w:sz="4" w:space="0"/>
              <w:left w:val="nil"/>
              <w:bottom w:val="single" w:color="auto" w:sz="4" w:space="0"/>
              <w:right w:val="single" w:color="auto" w:sz="4" w:space="0"/>
            </w:tcBorders>
            <w:shd w:val="clear" w:color="auto" w:fill="auto"/>
            <w:vAlign w:val="center"/>
          </w:tcPr>
          <w:p w14:paraId="5C8D2FC5">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营业执照</w:t>
            </w:r>
          </w:p>
        </w:tc>
        <w:tc>
          <w:tcPr>
            <w:tcW w:w="5648" w:type="dxa"/>
            <w:tcBorders>
              <w:top w:val="single" w:color="auto" w:sz="4" w:space="0"/>
              <w:left w:val="nil"/>
              <w:bottom w:val="single" w:color="auto" w:sz="4" w:space="0"/>
              <w:right w:val="single" w:color="auto" w:sz="4" w:space="0"/>
            </w:tcBorders>
            <w:shd w:val="clear" w:color="auto" w:fill="auto"/>
            <w:vAlign w:val="center"/>
          </w:tcPr>
          <w:p w14:paraId="155E874A">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符合第二章“投标人须知”第3.5.1项规定</w:t>
            </w:r>
          </w:p>
        </w:tc>
      </w:tr>
      <w:tr w14:paraId="2C18DB4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nil"/>
              <w:right w:val="single" w:color="auto" w:sz="4" w:space="0"/>
            </w:tcBorders>
            <w:shd w:val="clear" w:color="auto" w:fill="auto"/>
            <w:vAlign w:val="center"/>
          </w:tcPr>
          <w:p w14:paraId="406FF86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6" w:type="dxa"/>
            <w:gridSpan w:val="2"/>
            <w:vMerge w:val="continue"/>
            <w:tcBorders>
              <w:top w:val="nil"/>
              <w:left w:val="nil"/>
              <w:bottom w:val="nil"/>
              <w:right w:val="single" w:color="auto" w:sz="4" w:space="0"/>
            </w:tcBorders>
            <w:shd w:val="clear" w:color="auto" w:fill="auto"/>
            <w:vAlign w:val="center"/>
          </w:tcPr>
          <w:p w14:paraId="248960F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1699670F">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资质要求</w:t>
            </w:r>
          </w:p>
        </w:tc>
        <w:tc>
          <w:tcPr>
            <w:tcW w:w="5648" w:type="dxa"/>
            <w:tcBorders>
              <w:top w:val="single" w:color="auto" w:sz="4" w:space="0"/>
              <w:left w:val="nil"/>
              <w:bottom w:val="single" w:color="auto" w:sz="4" w:space="0"/>
              <w:right w:val="single" w:color="auto" w:sz="4" w:space="0"/>
            </w:tcBorders>
            <w:shd w:val="clear" w:color="auto" w:fill="auto"/>
            <w:vAlign w:val="center"/>
          </w:tcPr>
          <w:p w14:paraId="3F1DD490">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符合第二章“投标人须知”第1.4.1项规定</w:t>
            </w:r>
          </w:p>
        </w:tc>
      </w:tr>
      <w:tr w14:paraId="75EF2E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nil"/>
              <w:right w:val="single" w:color="auto" w:sz="4" w:space="0"/>
            </w:tcBorders>
            <w:shd w:val="clear" w:color="auto" w:fill="auto"/>
            <w:vAlign w:val="center"/>
          </w:tcPr>
          <w:p w14:paraId="525367F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6" w:type="dxa"/>
            <w:gridSpan w:val="2"/>
            <w:vMerge w:val="continue"/>
            <w:tcBorders>
              <w:top w:val="nil"/>
              <w:left w:val="nil"/>
              <w:bottom w:val="nil"/>
              <w:right w:val="single" w:color="auto" w:sz="4" w:space="0"/>
            </w:tcBorders>
            <w:shd w:val="clear" w:color="auto" w:fill="auto"/>
            <w:vAlign w:val="center"/>
          </w:tcPr>
          <w:p w14:paraId="238D692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41A8D105">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财务要求</w:t>
            </w:r>
          </w:p>
        </w:tc>
        <w:tc>
          <w:tcPr>
            <w:tcW w:w="5648" w:type="dxa"/>
            <w:tcBorders>
              <w:top w:val="single" w:color="auto" w:sz="4" w:space="0"/>
              <w:left w:val="nil"/>
              <w:bottom w:val="single" w:color="auto" w:sz="4" w:space="0"/>
              <w:right w:val="single" w:color="auto" w:sz="4" w:space="0"/>
            </w:tcBorders>
            <w:shd w:val="clear" w:color="auto" w:fill="auto"/>
            <w:vAlign w:val="center"/>
          </w:tcPr>
          <w:p w14:paraId="42B489C3">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r>
      <w:tr w14:paraId="2C97F6A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nil"/>
              <w:right w:val="single" w:color="auto" w:sz="4" w:space="0"/>
            </w:tcBorders>
            <w:shd w:val="clear" w:color="auto" w:fill="auto"/>
            <w:vAlign w:val="center"/>
          </w:tcPr>
          <w:p w14:paraId="0498C88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6" w:type="dxa"/>
            <w:gridSpan w:val="2"/>
            <w:vMerge w:val="continue"/>
            <w:tcBorders>
              <w:top w:val="nil"/>
              <w:left w:val="nil"/>
              <w:bottom w:val="nil"/>
              <w:right w:val="single" w:color="auto" w:sz="4" w:space="0"/>
            </w:tcBorders>
            <w:shd w:val="clear" w:color="auto" w:fill="auto"/>
            <w:vAlign w:val="center"/>
          </w:tcPr>
          <w:p w14:paraId="28B5BE4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22FE31C2">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业绩要求</w:t>
            </w:r>
          </w:p>
        </w:tc>
        <w:tc>
          <w:tcPr>
            <w:tcW w:w="5648" w:type="dxa"/>
            <w:tcBorders>
              <w:top w:val="single" w:color="auto" w:sz="4" w:space="0"/>
              <w:left w:val="nil"/>
              <w:bottom w:val="single" w:color="auto" w:sz="4" w:space="0"/>
              <w:right w:val="single" w:color="auto" w:sz="4" w:space="0"/>
            </w:tcBorders>
            <w:shd w:val="clear" w:color="auto" w:fill="auto"/>
            <w:vAlign w:val="center"/>
          </w:tcPr>
          <w:p w14:paraId="51EDF349">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符合第二章“投标人须知”第1.4.1项规定</w:t>
            </w:r>
          </w:p>
        </w:tc>
      </w:tr>
      <w:tr w14:paraId="1AC5E5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nil"/>
              <w:right w:val="single" w:color="auto" w:sz="4" w:space="0"/>
            </w:tcBorders>
            <w:shd w:val="clear" w:color="auto" w:fill="auto"/>
            <w:vAlign w:val="center"/>
          </w:tcPr>
          <w:p w14:paraId="2BAFE9E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6" w:type="dxa"/>
            <w:gridSpan w:val="2"/>
            <w:vMerge w:val="continue"/>
            <w:tcBorders>
              <w:top w:val="nil"/>
              <w:left w:val="nil"/>
              <w:bottom w:val="nil"/>
              <w:right w:val="single" w:color="auto" w:sz="4" w:space="0"/>
            </w:tcBorders>
            <w:shd w:val="clear" w:color="auto" w:fill="auto"/>
            <w:vAlign w:val="center"/>
          </w:tcPr>
          <w:p w14:paraId="1620FCF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79382C46">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信誉要求</w:t>
            </w:r>
          </w:p>
        </w:tc>
        <w:tc>
          <w:tcPr>
            <w:tcW w:w="5648" w:type="dxa"/>
            <w:tcBorders>
              <w:top w:val="single" w:color="auto" w:sz="4" w:space="0"/>
              <w:left w:val="nil"/>
              <w:bottom w:val="single" w:color="auto" w:sz="4" w:space="0"/>
              <w:right w:val="single" w:color="auto" w:sz="4" w:space="0"/>
            </w:tcBorders>
            <w:shd w:val="clear" w:color="auto" w:fill="auto"/>
            <w:vAlign w:val="center"/>
          </w:tcPr>
          <w:p w14:paraId="0E536F5E">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r>
      <w:tr w14:paraId="137B7C3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nil"/>
              <w:right w:val="single" w:color="auto" w:sz="4" w:space="0"/>
            </w:tcBorders>
            <w:shd w:val="clear" w:color="auto" w:fill="auto"/>
            <w:vAlign w:val="center"/>
          </w:tcPr>
          <w:p w14:paraId="03B8E91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6" w:type="dxa"/>
            <w:gridSpan w:val="2"/>
            <w:vMerge w:val="continue"/>
            <w:tcBorders>
              <w:top w:val="nil"/>
              <w:left w:val="nil"/>
              <w:bottom w:val="nil"/>
              <w:right w:val="single" w:color="auto" w:sz="4" w:space="0"/>
            </w:tcBorders>
            <w:shd w:val="clear" w:color="auto" w:fill="auto"/>
            <w:vAlign w:val="center"/>
          </w:tcPr>
          <w:p w14:paraId="748D5F0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1B5BB9DB">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其他要求</w:t>
            </w:r>
          </w:p>
        </w:tc>
        <w:tc>
          <w:tcPr>
            <w:tcW w:w="5648" w:type="dxa"/>
            <w:tcBorders>
              <w:top w:val="single" w:color="auto" w:sz="4" w:space="0"/>
              <w:left w:val="nil"/>
              <w:bottom w:val="single" w:color="auto" w:sz="4" w:space="0"/>
              <w:right w:val="single" w:color="auto" w:sz="4" w:space="0"/>
            </w:tcBorders>
            <w:shd w:val="clear" w:color="auto" w:fill="auto"/>
            <w:vAlign w:val="center"/>
          </w:tcPr>
          <w:p w14:paraId="1668F1DD">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符合第二章“投标人须知”第1.4.1项规定</w:t>
            </w:r>
          </w:p>
        </w:tc>
      </w:tr>
      <w:tr w14:paraId="695F998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nil"/>
              <w:right w:val="single" w:color="auto" w:sz="4" w:space="0"/>
            </w:tcBorders>
            <w:shd w:val="clear" w:color="auto" w:fill="auto"/>
            <w:vAlign w:val="center"/>
          </w:tcPr>
          <w:p w14:paraId="5089DAE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6" w:type="dxa"/>
            <w:gridSpan w:val="2"/>
            <w:vMerge w:val="continue"/>
            <w:tcBorders>
              <w:top w:val="nil"/>
              <w:left w:val="nil"/>
              <w:bottom w:val="nil"/>
              <w:right w:val="single" w:color="auto" w:sz="4" w:space="0"/>
            </w:tcBorders>
            <w:shd w:val="clear" w:color="auto" w:fill="auto"/>
            <w:vAlign w:val="center"/>
          </w:tcPr>
          <w:p w14:paraId="62DF487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129D5CFE">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联合体投标人</w:t>
            </w:r>
          </w:p>
        </w:tc>
        <w:tc>
          <w:tcPr>
            <w:tcW w:w="5648" w:type="dxa"/>
            <w:tcBorders>
              <w:top w:val="single" w:color="auto" w:sz="4" w:space="0"/>
              <w:left w:val="nil"/>
              <w:bottom w:val="single" w:color="auto" w:sz="4" w:space="0"/>
              <w:right w:val="single" w:color="auto" w:sz="4" w:space="0"/>
            </w:tcBorders>
            <w:shd w:val="clear" w:color="auto" w:fill="auto"/>
            <w:vAlign w:val="center"/>
          </w:tcPr>
          <w:p w14:paraId="693AD701">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本次招标不接受联合体投标。</w:t>
            </w:r>
          </w:p>
        </w:tc>
      </w:tr>
      <w:tr w14:paraId="0159313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nil"/>
              <w:right w:val="single" w:color="auto" w:sz="4" w:space="0"/>
            </w:tcBorders>
            <w:shd w:val="clear" w:color="auto" w:fill="auto"/>
            <w:vAlign w:val="center"/>
          </w:tcPr>
          <w:p w14:paraId="339AD35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6" w:type="dxa"/>
            <w:gridSpan w:val="2"/>
            <w:vMerge w:val="continue"/>
            <w:tcBorders>
              <w:top w:val="nil"/>
              <w:left w:val="nil"/>
              <w:bottom w:val="nil"/>
              <w:right w:val="single" w:color="auto" w:sz="4" w:space="0"/>
            </w:tcBorders>
            <w:shd w:val="clear" w:color="auto" w:fill="auto"/>
            <w:vAlign w:val="center"/>
          </w:tcPr>
          <w:p w14:paraId="4303A0A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3B104ACD">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不存在禁止投标的情形</w:t>
            </w:r>
          </w:p>
        </w:tc>
        <w:tc>
          <w:tcPr>
            <w:tcW w:w="5648" w:type="dxa"/>
            <w:tcBorders>
              <w:top w:val="single" w:color="auto" w:sz="4" w:space="0"/>
              <w:left w:val="nil"/>
              <w:bottom w:val="single" w:color="auto" w:sz="4" w:space="0"/>
              <w:right w:val="single" w:color="auto" w:sz="4" w:space="0"/>
            </w:tcBorders>
            <w:shd w:val="clear" w:color="auto" w:fill="auto"/>
            <w:vAlign w:val="center"/>
          </w:tcPr>
          <w:p w14:paraId="285741B8">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（1）</w:t>
            </w:r>
            <w:r>
              <w:rPr>
                <w:rFonts w:hint="eastAsia" w:ascii="宋体" w:hAnsi="宋体" w:eastAsia="宋体" w:cs="宋体"/>
                <w:color w:val="auto"/>
                <w:kern w:val="2"/>
                <w:sz w:val="21"/>
                <w:szCs w:val="21"/>
                <w:highlight w:val="none"/>
                <w:lang w:val="en-US" w:eastAsia="zh-CN" w:bidi="ar"/>
              </w:rPr>
              <w:t>不存在第二章“投标人须知”第1.4.3项规定的任何一种情形</w:t>
            </w:r>
            <w:r>
              <w:rPr>
                <w:rFonts w:hint="eastAsia" w:ascii="宋体" w:hAnsi="宋体" w:eastAsia="宋体" w:cs="宋体"/>
                <w:color w:val="auto"/>
                <w:kern w:val="2"/>
                <w:sz w:val="21"/>
                <w:szCs w:val="21"/>
                <w:highlight w:val="none"/>
                <w:u w:val="single"/>
                <w:lang w:val="en-US" w:eastAsia="zh-CN" w:bidi="ar"/>
              </w:rPr>
              <w:t>（以投标函中的声明为评审依据）。</w:t>
            </w:r>
          </w:p>
          <w:p w14:paraId="0851C4D5">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（2）未被列入拖欠农民工工资失信联合惩戒对象名单。（投标人无需提供资料，按交易系统比对的结果进行评审）</w:t>
            </w:r>
          </w:p>
        </w:tc>
      </w:tr>
      <w:tr w14:paraId="1AA885C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340" w:hRule="atLeast"/>
          <w:jc w:val="center"/>
        </w:trPr>
        <w:tc>
          <w:tcPr>
            <w:tcW w:w="900" w:type="dxa"/>
            <w:vMerge w:val="restart"/>
            <w:tcBorders>
              <w:top w:val="nil"/>
              <w:left w:val="single" w:color="auto" w:sz="4" w:space="0"/>
              <w:bottom w:val="single" w:color="auto" w:sz="4" w:space="0"/>
              <w:right w:val="single" w:color="auto" w:sz="4" w:space="0"/>
            </w:tcBorders>
            <w:shd w:val="clear" w:color="auto" w:fill="auto"/>
            <w:vAlign w:val="center"/>
          </w:tcPr>
          <w:p w14:paraId="3F3C12D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2.1.3</w:t>
            </w:r>
          </w:p>
        </w:tc>
        <w:tc>
          <w:tcPr>
            <w:tcW w:w="1116" w:type="dxa"/>
            <w:gridSpan w:val="2"/>
            <w:vMerge w:val="restart"/>
            <w:tcBorders>
              <w:top w:val="nil"/>
              <w:left w:val="nil"/>
              <w:bottom w:val="single" w:color="auto" w:sz="4" w:space="0"/>
              <w:right w:val="single" w:color="auto" w:sz="4" w:space="0"/>
            </w:tcBorders>
            <w:shd w:val="clear" w:color="auto" w:fill="auto"/>
            <w:vAlign w:val="center"/>
          </w:tcPr>
          <w:p w14:paraId="101DBA3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响应性评审标准</w:t>
            </w:r>
          </w:p>
        </w:tc>
        <w:tc>
          <w:tcPr>
            <w:tcW w:w="1843" w:type="dxa"/>
            <w:tcBorders>
              <w:top w:val="single" w:color="auto" w:sz="4" w:space="0"/>
              <w:left w:val="nil"/>
              <w:bottom w:val="single" w:color="auto" w:sz="4" w:space="0"/>
              <w:right w:val="single" w:color="auto" w:sz="4" w:space="0"/>
            </w:tcBorders>
            <w:shd w:val="clear" w:color="auto" w:fill="auto"/>
            <w:vAlign w:val="center"/>
          </w:tcPr>
          <w:p w14:paraId="667CCDA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投标报价</w:t>
            </w:r>
          </w:p>
        </w:tc>
        <w:tc>
          <w:tcPr>
            <w:tcW w:w="5648" w:type="dxa"/>
            <w:tcBorders>
              <w:top w:val="single" w:color="auto" w:sz="4" w:space="0"/>
              <w:left w:val="nil"/>
              <w:bottom w:val="single" w:color="auto" w:sz="4" w:space="0"/>
              <w:right w:val="single" w:color="auto" w:sz="4" w:space="0"/>
            </w:tcBorders>
            <w:shd w:val="clear" w:color="auto" w:fill="auto"/>
            <w:vAlign w:val="center"/>
          </w:tcPr>
          <w:p w14:paraId="4E75A222">
            <w:pPr>
              <w:keepNext w:val="0"/>
              <w:keepLines w:val="0"/>
              <w:widowControl w:val="0"/>
              <w:suppressLineNumbers w:val="0"/>
              <w:spacing w:before="0" w:beforeAutospacing="0" w:after="0" w:afterAutospacing="0" w:line="288"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符合第二章“投标人须知”第</w:t>
            </w:r>
            <w:r>
              <w:rPr>
                <w:rFonts w:hint="eastAsia" w:ascii="宋体" w:hAnsi="宋体" w:eastAsia="宋体" w:cs="Times New Roman"/>
                <w:color w:val="auto"/>
                <w:kern w:val="2"/>
                <w:sz w:val="21"/>
                <w:szCs w:val="21"/>
                <w:highlight w:val="none"/>
                <w:lang w:val="en-US" w:eastAsia="zh-CN" w:bidi="ar"/>
              </w:rPr>
              <w:t>3.2</w:t>
            </w:r>
            <w:r>
              <w:rPr>
                <w:rFonts w:hint="eastAsia" w:ascii="宋体" w:hAnsi="宋体" w:eastAsia="宋体" w:cs="宋体"/>
                <w:color w:val="auto"/>
                <w:kern w:val="2"/>
                <w:sz w:val="21"/>
                <w:szCs w:val="21"/>
                <w:highlight w:val="none"/>
                <w:lang w:val="en-US" w:eastAsia="zh-CN" w:bidi="ar"/>
              </w:rPr>
              <w:t>款规定</w:t>
            </w:r>
            <w:r>
              <w:rPr>
                <w:rFonts w:hint="eastAsia" w:ascii="宋体" w:hAnsi="宋体" w:eastAsia="宋体" w:cs="宋体"/>
                <w:color w:val="auto"/>
                <w:kern w:val="2"/>
                <w:sz w:val="21"/>
                <w:szCs w:val="21"/>
                <w:highlight w:val="none"/>
                <w:u w:val="single"/>
                <w:lang w:val="en-US" w:eastAsia="zh-CN" w:bidi="ar"/>
              </w:rPr>
              <w:t>且投标报价不低于成本报价竞标的；</w:t>
            </w:r>
          </w:p>
        </w:tc>
      </w:tr>
      <w:tr w14:paraId="26C524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single" w:color="auto" w:sz="4" w:space="0"/>
              <w:right w:val="single" w:color="auto" w:sz="4" w:space="0"/>
            </w:tcBorders>
            <w:shd w:val="clear" w:color="auto" w:fill="auto"/>
            <w:vAlign w:val="center"/>
          </w:tcPr>
          <w:p w14:paraId="73DB802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6" w:type="dxa"/>
            <w:gridSpan w:val="2"/>
            <w:vMerge w:val="continue"/>
            <w:tcBorders>
              <w:top w:val="nil"/>
              <w:left w:val="nil"/>
              <w:bottom w:val="single" w:color="auto" w:sz="4" w:space="0"/>
              <w:right w:val="single" w:color="auto" w:sz="4" w:space="0"/>
            </w:tcBorders>
            <w:shd w:val="clear" w:color="auto" w:fill="auto"/>
            <w:vAlign w:val="center"/>
          </w:tcPr>
          <w:p w14:paraId="6494B6C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28E04FD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投标内容</w:t>
            </w:r>
          </w:p>
        </w:tc>
        <w:tc>
          <w:tcPr>
            <w:tcW w:w="5648" w:type="dxa"/>
            <w:tcBorders>
              <w:top w:val="single" w:color="auto" w:sz="4" w:space="0"/>
              <w:left w:val="nil"/>
              <w:bottom w:val="single" w:color="auto" w:sz="4" w:space="0"/>
              <w:right w:val="single" w:color="auto" w:sz="4" w:space="0"/>
            </w:tcBorders>
            <w:shd w:val="clear" w:color="auto" w:fill="auto"/>
            <w:vAlign w:val="center"/>
          </w:tcPr>
          <w:p w14:paraId="565A39C8">
            <w:pPr>
              <w:keepNext w:val="0"/>
              <w:keepLines w:val="0"/>
              <w:widowControl w:val="0"/>
              <w:suppressLineNumbers w:val="0"/>
              <w:spacing w:before="0" w:beforeAutospacing="0" w:after="0" w:afterAutospacing="0" w:line="288"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符合第二章“投标人须知”第</w:t>
            </w:r>
            <w:r>
              <w:rPr>
                <w:rFonts w:hint="eastAsia" w:ascii="宋体" w:hAnsi="宋体" w:eastAsia="宋体" w:cs="Times New Roman"/>
                <w:color w:val="auto"/>
                <w:kern w:val="2"/>
                <w:sz w:val="21"/>
                <w:szCs w:val="21"/>
                <w:highlight w:val="none"/>
                <w:lang w:val="en-US" w:eastAsia="zh-CN" w:bidi="ar"/>
              </w:rPr>
              <w:t>1.3.1</w:t>
            </w:r>
            <w:r>
              <w:rPr>
                <w:rFonts w:hint="eastAsia" w:ascii="宋体" w:hAnsi="宋体" w:eastAsia="宋体" w:cs="宋体"/>
                <w:color w:val="auto"/>
                <w:kern w:val="2"/>
                <w:sz w:val="21"/>
                <w:szCs w:val="21"/>
                <w:highlight w:val="none"/>
                <w:lang w:val="en-US" w:eastAsia="zh-CN" w:bidi="ar"/>
              </w:rPr>
              <w:t>项规定（按《投标函附录》进行评审）</w:t>
            </w:r>
          </w:p>
        </w:tc>
      </w:tr>
      <w:tr w14:paraId="5A0B86C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single" w:color="auto" w:sz="4" w:space="0"/>
              <w:right w:val="single" w:color="auto" w:sz="4" w:space="0"/>
            </w:tcBorders>
            <w:shd w:val="clear" w:color="auto" w:fill="auto"/>
            <w:vAlign w:val="center"/>
          </w:tcPr>
          <w:p w14:paraId="23B3AE2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6" w:type="dxa"/>
            <w:gridSpan w:val="2"/>
            <w:vMerge w:val="continue"/>
            <w:tcBorders>
              <w:top w:val="nil"/>
              <w:left w:val="nil"/>
              <w:bottom w:val="single" w:color="auto" w:sz="4" w:space="0"/>
              <w:right w:val="single" w:color="auto" w:sz="4" w:space="0"/>
            </w:tcBorders>
            <w:shd w:val="clear" w:color="auto" w:fill="auto"/>
            <w:vAlign w:val="center"/>
          </w:tcPr>
          <w:p w14:paraId="112C982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3A44C50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交货期</w:t>
            </w:r>
          </w:p>
        </w:tc>
        <w:tc>
          <w:tcPr>
            <w:tcW w:w="5648" w:type="dxa"/>
            <w:tcBorders>
              <w:top w:val="single" w:color="auto" w:sz="4" w:space="0"/>
              <w:left w:val="nil"/>
              <w:bottom w:val="single" w:color="auto" w:sz="4" w:space="0"/>
              <w:right w:val="single" w:color="auto" w:sz="4" w:space="0"/>
            </w:tcBorders>
            <w:shd w:val="clear" w:color="auto" w:fill="auto"/>
            <w:vAlign w:val="center"/>
          </w:tcPr>
          <w:p w14:paraId="21568BA7">
            <w:pPr>
              <w:keepNext w:val="0"/>
              <w:keepLines w:val="0"/>
              <w:widowControl w:val="0"/>
              <w:suppressLineNumbers w:val="0"/>
              <w:spacing w:before="0" w:beforeAutospacing="0" w:after="0" w:afterAutospacing="0" w:line="288"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符合第二章“投标人须知”第</w:t>
            </w:r>
            <w:r>
              <w:rPr>
                <w:rFonts w:hint="eastAsia" w:ascii="宋体" w:hAnsi="宋体" w:eastAsia="宋体" w:cs="Times New Roman"/>
                <w:color w:val="auto"/>
                <w:kern w:val="2"/>
                <w:sz w:val="21"/>
                <w:szCs w:val="21"/>
                <w:highlight w:val="none"/>
                <w:lang w:val="en-US" w:eastAsia="zh-CN" w:bidi="ar"/>
              </w:rPr>
              <w:t>1.3.2</w:t>
            </w:r>
            <w:r>
              <w:rPr>
                <w:rFonts w:hint="eastAsia" w:ascii="宋体" w:hAnsi="宋体" w:eastAsia="宋体" w:cs="宋体"/>
                <w:color w:val="auto"/>
                <w:kern w:val="2"/>
                <w:sz w:val="21"/>
                <w:szCs w:val="21"/>
                <w:highlight w:val="none"/>
                <w:lang w:val="en-US" w:eastAsia="zh-CN" w:bidi="ar"/>
              </w:rPr>
              <w:t>项规定（按《投标函附录》进行评审）</w:t>
            </w:r>
          </w:p>
        </w:tc>
      </w:tr>
      <w:tr w14:paraId="5BD58E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single" w:color="auto" w:sz="4" w:space="0"/>
              <w:right w:val="single" w:color="auto" w:sz="4" w:space="0"/>
            </w:tcBorders>
            <w:shd w:val="clear" w:color="auto" w:fill="auto"/>
            <w:vAlign w:val="center"/>
          </w:tcPr>
          <w:p w14:paraId="65CC92B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6" w:type="dxa"/>
            <w:gridSpan w:val="2"/>
            <w:vMerge w:val="continue"/>
            <w:tcBorders>
              <w:top w:val="nil"/>
              <w:left w:val="nil"/>
              <w:bottom w:val="single" w:color="auto" w:sz="4" w:space="0"/>
              <w:right w:val="single" w:color="auto" w:sz="4" w:space="0"/>
            </w:tcBorders>
            <w:shd w:val="clear" w:color="auto" w:fill="auto"/>
            <w:vAlign w:val="center"/>
          </w:tcPr>
          <w:p w14:paraId="3A3B20C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7B7E0A2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交货地点</w:t>
            </w:r>
          </w:p>
        </w:tc>
        <w:tc>
          <w:tcPr>
            <w:tcW w:w="5648" w:type="dxa"/>
            <w:tcBorders>
              <w:top w:val="single" w:color="auto" w:sz="4" w:space="0"/>
              <w:left w:val="nil"/>
              <w:bottom w:val="single" w:color="auto" w:sz="4" w:space="0"/>
              <w:right w:val="single" w:color="auto" w:sz="4" w:space="0"/>
            </w:tcBorders>
            <w:shd w:val="clear" w:color="auto" w:fill="auto"/>
            <w:vAlign w:val="center"/>
          </w:tcPr>
          <w:p w14:paraId="36D6E5D9">
            <w:pPr>
              <w:keepNext w:val="0"/>
              <w:keepLines w:val="0"/>
              <w:widowControl w:val="0"/>
              <w:suppressLineNumbers w:val="0"/>
              <w:spacing w:before="0" w:beforeAutospacing="0" w:after="0" w:afterAutospacing="0" w:line="288"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符合第二章“投标人须知”第</w:t>
            </w:r>
            <w:r>
              <w:rPr>
                <w:rFonts w:hint="eastAsia" w:ascii="宋体" w:hAnsi="宋体" w:eastAsia="宋体" w:cs="Times New Roman"/>
                <w:color w:val="auto"/>
                <w:kern w:val="2"/>
                <w:sz w:val="21"/>
                <w:szCs w:val="21"/>
                <w:highlight w:val="none"/>
                <w:lang w:val="en-US" w:eastAsia="zh-CN" w:bidi="ar"/>
              </w:rPr>
              <w:t>1.3.3</w:t>
            </w:r>
            <w:r>
              <w:rPr>
                <w:rFonts w:hint="eastAsia" w:ascii="宋体" w:hAnsi="宋体" w:eastAsia="宋体" w:cs="宋体"/>
                <w:color w:val="auto"/>
                <w:kern w:val="2"/>
                <w:sz w:val="21"/>
                <w:szCs w:val="21"/>
                <w:highlight w:val="none"/>
                <w:lang w:val="en-US" w:eastAsia="zh-CN" w:bidi="ar"/>
              </w:rPr>
              <w:t>项规定（按《投标函附录》进行评审）</w:t>
            </w:r>
          </w:p>
        </w:tc>
      </w:tr>
      <w:tr w14:paraId="7343CE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single" w:color="auto" w:sz="4" w:space="0"/>
              <w:right w:val="single" w:color="auto" w:sz="4" w:space="0"/>
            </w:tcBorders>
            <w:shd w:val="clear" w:color="auto" w:fill="auto"/>
            <w:vAlign w:val="center"/>
          </w:tcPr>
          <w:p w14:paraId="2E82F02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6" w:type="dxa"/>
            <w:gridSpan w:val="2"/>
            <w:vMerge w:val="continue"/>
            <w:tcBorders>
              <w:top w:val="nil"/>
              <w:left w:val="nil"/>
              <w:bottom w:val="single" w:color="auto" w:sz="4" w:space="0"/>
              <w:right w:val="single" w:color="auto" w:sz="4" w:space="0"/>
            </w:tcBorders>
            <w:shd w:val="clear" w:color="auto" w:fill="auto"/>
            <w:vAlign w:val="center"/>
          </w:tcPr>
          <w:p w14:paraId="71E41D3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5F087CB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投标有效期</w:t>
            </w:r>
          </w:p>
        </w:tc>
        <w:tc>
          <w:tcPr>
            <w:tcW w:w="5648" w:type="dxa"/>
            <w:tcBorders>
              <w:top w:val="single" w:color="auto" w:sz="4" w:space="0"/>
              <w:left w:val="nil"/>
              <w:bottom w:val="single" w:color="auto" w:sz="4" w:space="0"/>
              <w:right w:val="single" w:color="auto" w:sz="4" w:space="0"/>
            </w:tcBorders>
            <w:shd w:val="clear" w:color="auto" w:fill="auto"/>
            <w:vAlign w:val="center"/>
          </w:tcPr>
          <w:p w14:paraId="0671929B">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符合第二章“投标人须知”第</w:t>
            </w:r>
            <w:r>
              <w:rPr>
                <w:rFonts w:hint="eastAsia" w:ascii="宋体" w:hAnsi="宋体" w:eastAsia="宋体" w:cs="Times New Roman"/>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Times New Roman"/>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项规定（按《投标函附录》进行评审）</w:t>
            </w:r>
          </w:p>
        </w:tc>
      </w:tr>
      <w:tr w14:paraId="3452B8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425" w:hRule="atLeast"/>
          <w:jc w:val="center"/>
        </w:trPr>
        <w:tc>
          <w:tcPr>
            <w:tcW w:w="900" w:type="dxa"/>
            <w:vMerge w:val="continue"/>
            <w:tcBorders>
              <w:top w:val="nil"/>
              <w:left w:val="single" w:color="auto" w:sz="4" w:space="0"/>
              <w:bottom w:val="single" w:color="auto" w:sz="4" w:space="0"/>
              <w:right w:val="single" w:color="auto" w:sz="4" w:space="0"/>
            </w:tcBorders>
            <w:shd w:val="clear" w:color="auto" w:fill="auto"/>
            <w:vAlign w:val="center"/>
          </w:tcPr>
          <w:p w14:paraId="0950FC1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6" w:type="dxa"/>
            <w:gridSpan w:val="2"/>
            <w:vMerge w:val="continue"/>
            <w:tcBorders>
              <w:top w:val="nil"/>
              <w:left w:val="nil"/>
              <w:bottom w:val="single" w:color="auto" w:sz="4" w:space="0"/>
              <w:right w:val="single" w:color="auto" w:sz="4" w:space="0"/>
            </w:tcBorders>
            <w:shd w:val="clear" w:color="auto" w:fill="auto"/>
            <w:vAlign w:val="center"/>
          </w:tcPr>
          <w:p w14:paraId="63986FE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43" w:type="dxa"/>
            <w:tcBorders>
              <w:top w:val="single" w:color="auto" w:sz="4" w:space="0"/>
              <w:left w:val="nil"/>
              <w:bottom w:val="nil"/>
              <w:right w:val="single" w:color="auto" w:sz="4" w:space="0"/>
            </w:tcBorders>
            <w:shd w:val="clear" w:color="auto" w:fill="auto"/>
            <w:vAlign w:val="center"/>
          </w:tcPr>
          <w:p w14:paraId="4205FCD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strike/>
                <w:dstrike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串通投标情形</w:t>
            </w:r>
          </w:p>
        </w:tc>
        <w:tc>
          <w:tcPr>
            <w:tcW w:w="5648" w:type="dxa"/>
            <w:tcBorders>
              <w:top w:val="single" w:color="auto" w:sz="4" w:space="0"/>
              <w:left w:val="nil"/>
              <w:bottom w:val="nil"/>
              <w:right w:val="single" w:color="auto" w:sz="4" w:space="0"/>
            </w:tcBorders>
            <w:shd w:val="clear" w:color="auto" w:fill="auto"/>
            <w:vAlign w:val="top"/>
          </w:tcPr>
          <w:p w14:paraId="3D7DCF89">
            <w:pPr>
              <w:keepNext w:val="0"/>
              <w:keepLines w:val="0"/>
              <w:widowControl w:val="0"/>
              <w:suppressLineNumbers w:val="0"/>
              <w:spacing w:before="0" w:beforeAutospacing="0" w:after="0" w:afterAutospacing="0" w:line="288" w:lineRule="auto"/>
              <w:ind w:left="0" w:right="0"/>
              <w:jc w:val="both"/>
              <w:rPr>
                <w:rFonts w:hint="eastAsia" w:ascii="宋体" w:hAnsi="宋体" w:eastAsia="宋体" w:cs="Times New Roman"/>
                <w:strike/>
                <w:dstrike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不存在串通投标情形（串通投标情形以《中华人民共和国招标投标法实施条例》的规定为准）。</w:t>
            </w:r>
          </w:p>
        </w:tc>
      </w:tr>
      <w:tr w14:paraId="4F36CD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1" w:hRule="atLeast"/>
          <w:jc w:val="center"/>
        </w:trPr>
        <w:tc>
          <w:tcPr>
            <w:tcW w:w="20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AEC95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条款号</w:t>
            </w:r>
          </w:p>
        </w:tc>
        <w:tc>
          <w:tcPr>
            <w:tcW w:w="1843" w:type="dxa"/>
            <w:tcBorders>
              <w:top w:val="single" w:color="auto" w:sz="4" w:space="0"/>
              <w:left w:val="nil"/>
              <w:bottom w:val="single" w:color="auto" w:sz="4" w:space="0"/>
              <w:right w:val="nil"/>
            </w:tcBorders>
            <w:shd w:val="clear" w:color="auto" w:fill="auto"/>
            <w:vAlign w:val="center"/>
          </w:tcPr>
          <w:p w14:paraId="0CB9B64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条款内容</w:t>
            </w:r>
          </w:p>
        </w:tc>
        <w:tc>
          <w:tcPr>
            <w:tcW w:w="5648" w:type="dxa"/>
            <w:tcBorders>
              <w:top w:val="single" w:color="auto" w:sz="4" w:space="0"/>
              <w:left w:val="single" w:color="auto" w:sz="4" w:space="0"/>
              <w:bottom w:val="single" w:color="auto" w:sz="4" w:space="0"/>
              <w:right w:val="single" w:color="auto" w:sz="4" w:space="0"/>
            </w:tcBorders>
            <w:shd w:val="clear" w:color="auto" w:fill="auto"/>
            <w:vAlign w:val="center"/>
          </w:tcPr>
          <w:p w14:paraId="1D76A6B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编列内容</w:t>
            </w:r>
          </w:p>
        </w:tc>
      </w:tr>
      <w:tr w14:paraId="35D0D67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1" w:hRule="atLeast"/>
          <w:jc w:val="center"/>
        </w:trPr>
        <w:tc>
          <w:tcPr>
            <w:tcW w:w="20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975F7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2.2.1</w:t>
            </w:r>
          </w:p>
        </w:tc>
        <w:tc>
          <w:tcPr>
            <w:tcW w:w="1843" w:type="dxa"/>
            <w:tcBorders>
              <w:top w:val="single" w:color="auto" w:sz="4" w:space="0"/>
              <w:left w:val="nil"/>
              <w:bottom w:val="single" w:color="auto" w:sz="4" w:space="0"/>
              <w:right w:val="nil"/>
            </w:tcBorders>
            <w:shd w:val="clear" w:color="auto" w:fill="auto"/>
            <w:vAlign w:val="center"/>
          </w:tcPr>
          <w:p w14:paraId="09CA71FC">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分值构成</w:t>
            </w:r>
          </w:p>
          <w:p w14:paraId="1F5730A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总分</w:t>
            </w:r>
            <w:r>
              <w:rPr>
                <w:rFonts w:hint="eastAsia" w:ascii="宋体" w:hAnsi="宋体" w:eastAsia="宋体" w:cs="Times New Roman"/>
                <w:color w:val="auto"/>
                <w:kern w:val="2"/>
                <w:sz w:val="21"/>
                <w:szCs w:val="21"/>
                <w:highlight w:val="none"/>
                <w:lang w:val="en-US" w:eastAsia="zh-CN" w:bidi="ar"/>
              </w:rPr>
              <w:t>100</w:t>
            </w:r>
            <w:r>
              <w:rPr>
                <w:rFonts w:hint="eastAsia" w:ascii="宋体" w:hAnsi="宋体" w:eastAsia="宋体" w:cs="宋体"/>
                <w:color w:val="auto"/>
                <w:kern w:val="2"/>
                <w:sz w:val="21"/>
                <w:szCs w:val="21"/>
                <w:highlight w:val="none"/>
                <w:lang w:val="en-US" w:eastAsia="zh-CN" w:bidi="ar"/>
              </w:rPr>
              <w:t>分</w:t>
            </w:r>
            <w:r>
              <w:rPr>
                <w:rFonts w:hint="eastAsia" w:ascii="宋体" w:hAnsi="宋体" w:eastAsia="宋体" w:cs="Times New Roman"/>
                <w:color w:val="auto"/>
                <w:kern w:val="2"/>
                <w:sz w:val="21"/>
                <w:szCs w:val="21"/>
                <w:highlight w:val="none"/>
                <w:lang w:val="en-US" w:eastAsia="zh-CN" w:bidi="ar"/>
              </w:rPr>
              <w:t>)</w:t>
            </w:r>
          </w:p>
        </w:tc>
        <w:tc>
          <w:tcPr>
            <w:tcW w:w="5648" w:type="dxa"/>
            <w:tcBorders>
              <w:top w:val="single" w:color="auto" w:sz="4" w:space="0"/>
              <w:left w:val="single" w:color="auto" w:sz="4" w:space="0"/>
              <w:bottom w:val="single" w:color="auto" w:sz="4" w:space="0"/>
              <w:right w:val="single" w:color="auto" w:sz="4" w:space="0"/>
            </w:tcBorders>
            <w:shd w:val="clear" w:color="auto" w:fill="auto"/>
            <w:vAlign w:val="center"/>
          </w:tcPr>
          <w:p w14:paraId="0E8886A4">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A商务部分：</w:t>
            </w:r>
            <w:r>
              <w:rPr>
                <w:rFonts w:hint="eastAsia" w:ascii="宋体" w:hAnsi="宋体" w:eastAsia="宋体" w:cs="Times New Roman"/>
                <w:color w:val="auto"/>
                <w:kern w:val="2"/>
                <w:sz w:val="21"/>
                <w:szCs w:val="21"/>
                <w:highlight w:val="none"/>
                <w:u w:val="single"/>
                <w:lang w:val="en-US" w:eastAsia="zh-CN" w:bidi="ar"/>
              </w:rPr>
              <w:t>10</w:t>
            </w:r>
            <w:r>
              <w:rPr>
                <w:rFonts w:hint="eastAsia" w:ascii="宋体" w:hAnsi="宋体" w:eastAsia="宋体" w:cs="宋体"/>
                <w:color w:val="auto"/>
                <w:kern w:val="2"/>
                <w:sz w:val="21"/>
                <w:szCs w:val="21"/>
                <w:highlight w:val="none"/>
                <w:lang w:val="en-US" w:eastAsia="zh-CN" w:bidi="ar"/>
              </w:rPr>
              <w:t>分</w:t>
            </w:r>
          </w:p>
          <w:p w14:paraId="7BBAEE4B">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B技术部分：</w:t>
            </w:r>
            <w:r>
              <w:rPr>
                <w:rFonts w:hint="eastAsia" w:ascii="宋体" w:hAnsi="宋体" w:eastAsia="宋体" w:cs="宋体"/>
                <w:color w:val="auto"/>
                <w:kern w:val="2"/>
                <w:sz w:val="21"/>
                <w:szCs w:val="21"/>
                <w:highlight w:val="none"/>
                <w:u w:val="single"/>
                <w:lang w:val="en-US" w:eastAsia="zh-CN" w:bidi="ar"/>
              </w:rPr>
              <w:t>40</w:t>
            </w:r>
            <w:r>
              <w:rPr>
                <w:rFonts w:hint="eastAsia" w:ascii="宋体" w:hAnsi="宋体" w:eastAsia="宋体" w:cs="宋体"/>
                <w:color w:val="auto"/>
                <w:kern w:val="2"/>
                <w:sz w:val="21"/>
                <w:szCs w:val="21"/>
                <w:highlight w:val="none"/>
                <w:lang w:val="en-US" w:eastAsia="zh-CN" w:bidi="ar"/>
              </w:rPr>
              <w:t>分</w:t>
            </w:r>
          </w:p>
          <w:p w14:paraId="4506A6D9">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C投标报价：</w:t>
            </w:r>
            <w:r>
              <w:rPr>
                <w:rFonts w:hint="eastAsia" w:ascii="宋体" w:hAnsi="宋体" w:eastAsia="宋体" w:cs="宋体"/>
                <w:color w:val="auto"/>
                <w:kern w:val="2"/>
                <w:sz w:val="21"/>
                <w:szCs w:val="21"/>
                <w:highlight w:val="none"/>
                <w:u w:val="single"/>
                <w:lang w:val="en-US" w:eastAsia="zh-CN" w:bidi="ar"/>
              </w:rPr>
              <w:t>50</w:t>
            </w:r>
            <w:r>
              <w:rPr>
                <w:rFonts w:hint="eastAsia" w:ascii="宋体" w:hAnsi="宋体" w:eastAsia="宋体" w:cs="宋体"/>
                <w:color w:val="auto"/>
                <w:kern w:val="2"/>
                <w:sz w:val="21"/>
                <w:szCs w:val="21"/>
                <w:highlight w:val="none"/>
                <w:lang w:val="en-US" w:eastAsia="zh-CN" w:bidi="ar"/>
              </w:rPr>
              <w:t>分</w:t>
            </w:r>
          </w:p>
          <w:p w14:paraId="38F9BD58">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其他评分因素：</w:t>
            </w:r>
            <w:r>
              <w:rPr>
                <w:rFonts w:hint="eastAsia" w:ascii="宋体" w:hAnsi="宋体" w:eastAsia="宋体" w:cs="Times New Roman"/>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分</w:t>
            </w:r>
          </w:p>
          <w:p w14:paraId="5AB9B9F8">
            <w:pPr>
              <w:keepNext w:val="0"/>
              <w:keepLines w:val="0"/>
              <w:widowControl w:val="0"/>
              <w:suppressLineNumbers w:val="0"/>
              <w:spacing w:before="0" w:beforeAutospacing="0" w:after="0" w:afterAutospacing="0" w:line="288" w:lineRule="auto"/>
              <w:ind w:left="0" w:right="0"/>
              <w:jc w:val="both"/>
              <w:rPr>
                <w:rFonts w:hint="eastAsia" w:ascii="宋体" w:hAnsi="宋体" w:eastAsia="宋体" w:cs="Times New Roman"/>
                <w:b/>
                <w:bCs w:val="0"/>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投标人总得分为各评委评分的算术平均分（分数出现小数点时，保留小数点后二位，第三位小数四舍五入）。</w:t>
            </w:r>
          </w:p>
        </w:tc>
      </w:tr>
      <w:tr w14:paraId="28C321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1" w:hRule="atLeast"/>
          <w:jc w:val="center"/>
        </w:trPr>
        <w:tc>
          <w:tcPr>
            <w:tcW w:w="20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0DF7F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2.2.2</w:t>
            </w:r>
          </w:p>
        </w:tc>
        <w:tc>
          <w:tcPr>
            <w:tcW w:w="1843" w:type="dxa"/>
            <w:tcBorders>
              <w:top w:val="single" w:color="auto" w:sz="4" w:space="0"/>
              <w:left w:val="nil"/>
              <w:bottom w:val="single" w:color="auto" w:sz="4" w:space="0"/>
              <w:right w:val="nil"/>
            </w:tcBorders>
            <w:shd w:val="clear" w:color="auto" w:fill="auto"/>
            <w:vAlign w:val="center"/>
          </w:tcPr>
          <w:p w14:paraId="1B48E2BB">
            <w:pPr>
              <w:keepNext w:val="0"/>
              <w:keepLines w:val="0"/>
              <w:widowControl w:val="0"/>
              <w:suppressLineNumbers w:val="0"/>
              <w:spacing w:before="0" w:beforeAutospacing="0" w:after="0" w:afterAutospacing="0" w:line="288" w:lineRule="auto"/>
              <w:ind w:left="0" w:right="0"/>
              <w:jc w:val="center"/>
              <w:rPr>
                <w:rFonts w:hint="default" w:ascii="宋体" w:hAnsi="宋体" w:eastAsia="宋体" w:cs="Times New Roman"/>
                <w:b/>
                <w:bCs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评标基准价计算方法</w:t>
            </w:r>
          </w:p>
        </w:tc>
        <w:tc>
          <w:tcPr>
            <w:tcW w:w="5648" w:type="dxa"/>
            <w:tcBorders>
              <w:top w:val="single" w:color="auto" w:sz="4" w:space="0"/>
              <w:left w:val="single" w:color="auto" w:sz="4" w:space="0"/>
              <w:bottom w:val="single" w:color="auto" w:sz="4" w:space="0"/>
              <w:right w:val="single" w:color="auto" w:sz="4" w:space="0"/>
            </w:tcBorders>
            <w:shd w:val="clear" w:color="auto" w:fill="auto"/>
            <w:vAlign w:val="center"/>
          </w:tcPr>
          <w:p w14:paraId="04A82F8B">
            <w:pPr>
              <w:keepNext w:val="0"/>
              <w:keepLines w:val="0"/>
              <w:widowControl w:val="0"/>
              <w:suppressLineNumbers w:val="0"/>
              <w:spacing w:before="0" w:beforeAutospacing="0" w:after="0" w:afterAutospacing="0" w:line="288" w:lineRule="auto"/>
              <w:ind w:left="0" w:right="0"/>
              <w:jc w:val="left"/>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现金支付部分：通过初步评审的投标人的投标报价中，取投标价格最低的现金支付部分的投标报价为评标基准价。</w:t>
            </w:r>
          </w:p>
          <w:p w14:paraId="4EFDAF1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赞助权益回报部分：通过初步评审的投标人的投标报价中，取投标价格最高的赞助权益回报部分的投标报价为评标基准价。</w:t>
            </w:r>
          </w:p>
        </w:tc>
      </w:tr>
      <w:tr w14:paraId="0683DF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1" w:hRule="atLeast"/>
          <w:jc w:val="center"/>
        </w:trPr>
        <w:tc>
          <w:tcPr>
            <w:tcW w:w="20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B2950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2.2.3</w:t>
            </w:r>
          </w:p>
        </w:tc>
        <w:tc>
          <w:tcPr>
            <w:tcW w:w="1843" w:type="dxa"/>
            <w:tcBorders>
              <w:top w:val="single" w:color="auto" w:sz="4" w:space="0"/>
              <w:left w:val="nil"/>
              <w:bottom w:val="single" w:color="auto" w:sz="4" w:space="0"/>
              <w:right w:val="nil"/>
            </w:tcBorders>
            <w:shd w:val="clear" w:color="auto" w:fill="auto"/>
            <w:vAlign w:val="center"/>
          </w:tcPr>
          <w:p w14:paraId="476E42CF">
            <w:pPr>
              <w:keepNext w:val="0"/>
              <w:keepLines w:val="0"/>
              <w:widowControl w:val="0"/>
              <w:suppressLineNumbers w:val="0"/>
              <w:spacing w:before="0" w:beforeAutospacing="0" w:after="0" w:afterAutospacing="0" w:line="288" w:lineRule="auto"/>
              <w:ind w:left="0" w:right="0"/>
              <w:jc w:val="center"/>
              <w:rPr>
                <w:rFonts w:hint="default" w:ascii="宋体" w:hAnsi="宋体" w:eastAsia="宋体" w:cs="Times New Roman"/>
                <w:b/>
                <w:bCs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投标报价得分计算方法</w:t>
            </w:r>
          </w:p>
        </w:tc>
        <w:tc>
          <w:tcPr>
            <w:tcW w:w="5648" w:type="dxa"/>
            <w:tcBorders>
              <w:top w:val="single" w:color="auto" w:sz="4" w:space="0"/>
              <w:left w:val="single" w:color="auto" w:sz="4" w:space="0"/>
              <w:bottom w:val="single" w:color="auto" w:sz="4" w:space="0"/>
              <w:right w:val="single" w:color="auto" w:sz="4" w:space="0"/>
            </w:tcBorders>
            <w:shd w:val="clear" w:color="auto" w:fill="auto"/>
            <w:vAlign w:val="center"/>
          </w:tcPr>
          <w:p w14:paraId="0EE1BACA">
            <w:pPr>
              <w:keepNext w:val="0"/>
              <w:keepLines w:val="0"/>
              <w:widowControl w:val="0"/>
              <w:suppressLineNumbers w:val="0"/>
              <w:spacing w:before="0" w:beforeAutospacing="0" w:after="0" w:afterAutospacing="0" w:line="288" w:lineRule="auto"/>
              <w:ind w:left="0" w:right="0"/>
              <w:jc w:val="left"/>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现金支付部分报价得分</w:t>
            </w:r>
            <w:r>
              <w:rPr>
                <w:rFonts w:hint="default" w:ascii="Times New Roman" w:hAnsi="Times New Roman"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评标基准价／投标报价</w:t>
            </w:r>
            <w:r>
              <w:rPr>
                <w:rFonts w:hint="default" w:ascii="Times New Roman" w:hAnsi="Times New Roman"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eastAsia="zh-CN" w:bidi="ar"/>
              </w:rPr>
              <w:t>25</w:t>
            </w:r>
            <w:r>
              <w:rPr>
                <w:rFonts w:hint="default" w:ascii="Times New Roman" w:hAnsi="Times New Roman"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100</w:t>
            </w:r>
          </w:p>
          <w:p w14:paraId="43860EC7">
            <w:pPr>
              <w:keepNext w:val="0"/>
              <w:keepLines w:val="0"/>
              <w:widowControl w:val="0"/>
              <w:suppressLineNumbers w:val="0"/>
              <w:spacing w:before="0" w:beforeAutospacing="0" w:after="0" w:afterAutospacing="0" w:line="288" w:lineRule="auto"/>
              <w:ind w:left="0" w:right="0"/>
              <w:jc w:val="left"/>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赞助权益回报部分报价得分</w:t>
            </w:r>
            <w:r>
              <w:rPr>
                <w:rFonts w:hint="default" w:ascii="Times New Roman" w:hAnsi="Times New Roman"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投标报价／评标基准价</w:t>
            </w:r>
            <w:r>
              <w:rPr>
                <w:rFonts w:hint="default" w:ascii="Times New Roman" w:hAnsi="Times New Roman"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eastAsia="zh-CN" w:bidi="ar"/>
              </w:rPr>
              <w:t>25%</w:t>
            </w: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100</w:t>
            </w:r>
          </w:p>
          <w:p w14:paraId="7980012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（报价得分四舍五入保留</w:t>
            </w:r>
            <w:r>
              <w:rPr>
                <w:rFonts w:hint="default" w:ascii="Times New Roman" w:hAnsi="Times New Roman" w:eastAsia="宋体" w:cs="Times New Roman"/>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位小数）</w:t>
            </w:r>
          </w:p>
        </w:tc>
      </w:tr>
      <w:tr w14:paraId="06B2D0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1" w:hRule="atLeast"/>
          <w:jc w:val="center"/>
        </w:trPr>
        <w:tc>
          <w:tcPr>
            <w:tcW w:w="20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277F7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条款号</w:t>
            </w:r>
          </w:p>
        </w:tc>
        <w:tc>
          <w:tcPr>
            <w:tcW w:w="1843" w:type="dxa"/>
            <w:tcBorders>
              <w:top w:val="single" w:color="auto" w:sz="4" w:space="0"/>
              <w:left w:val="nil"/>
              <w:bottom w:val="single" w:color="auto" w:sz="4" w:space="0"/>
              <w:right w:val="nil"/>
            </w:tcBorders>
            <w:shd w:val="clear" w:color="auto" w:fill="auto"/>
            <w:vAlign w:val="center"/>
          </w:tcPr>
          <w:p w14:paraId="3FB23095">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评分因素</w:t>
            </w:r>
          </w:p>
          <w:p w14:paraId="25BB3C5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（偏差率）</w:t>
            </w:r>
          </w:p>
        </w:tc>
        <w:tc>
          <w:tcPr>
            <w:tcW w:w="5648" w:type="dxa"/>
            <w:tcBorders>
              <w:top w:val="single" w:color="auto" w:sz="4" w:space="0"/>
              <w:left w:val="single" w:color="auto" w:sz="4" w:space="0"/>
              <w:bottom w:val="single" w:color="auto" w:sz="4" w:space="0"/>
              <w:right w:val="single" w:color="auto" w:sz="4" w:space="0"/>
            </w:tcBorders>
            <w:shd w:val="clear" w:color="auto" w:fill="auto"/>
            <w:vAlign w:val="center"/>
          </w:tcPr>
          <w:p w14:paraId="0BD096B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评分标准</w:t>
            </w:r>
          </w:p>
        </w:tc>
      </w:tr>
      <w:tr w14:paraId="488FA6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04" w:hRule="atLeast"/>
          <w:jc w:val="center"/>
        </w:trPr>
        <w:tc>
          <w:tcPr>
            <w:tcW w:w="1008" w:type="dxa"/>
            <w:gridSpan w:val="2"/>
            <w:tcBorders>
              <w:top w:val="nil"/>
              <w:left w:val="single" w:color="auto" w:sz="4" w:space="0"/>
              <w:bottom w:val="nil"/>
              <w:right w:val="single" w:color="auto" w:sz="4" w:space="0"/>
            </w:tcBorders>
            <w:shd w:val="clear" w:color="auto" w:fill="auto"/>
            <w:vAlign w:val="center"/>
          </w:tcPr>
          <w:p w14:paraId="7BBF318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2.2.4</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Times New Roman"/>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w:t>
            </w:r>
          </w:p>
        </w:tc>
        <w:tc>
          <w:tcPr>
            <w:tcW w:w="1008" w:type="dxa"/>
            <w:tcBorders>
              <w:top w:val="nil"/>
              <w:left w:val="nil"/>
              <w:bottom w:val="nil"/>
              <w:right w:val="single" w:color="auto" w:sz="4" w:space="0"/>
            </w:tcBorders>
            <w:shd w:val="clear" w:color="auto" w:fill="auto"/>
            <w:vAlign w:val="center"/>
          </w:tcPr>
          <w:p w14:paraId="41763B8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商务评分标准（10分）</w:t>
            </w:r>
          </w:p>
        </w:tc>
        <w:tc>
          <w:tcPr>
            <w:tcW w:w="1843" w:type="dxa"/>
            <w:tcBorders>
              <w:top w:val="single" w:color="auto" w:sz="4" w:space="0"/>
              <w:left w:val="nil"/>
              <w:bottom w:val="nil"/>
              <w:right w:val="nil"/>
            </w:tcBorders>
            <w:shd w:val="clear" w:color="auto" w:fill="auto"/>
            <w:vAlign w:val="center"/>
          </w:tcPr>
          <w:p w14:paraId="0FA3443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投标人业绩</w:t>
            </w:r>
          </w:p>
          <w:p w14:paraId="4B1698C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eastAsia="zh-CN" w:bidi="ar"/>
              </w:rPr>
              <w:t>3</w:t>
            </w:r>
            <w:r>
              <w:rPr>
                <w:rFonts w:hint="eastAsia" w:ascii="宋体" w:hAnsi="宋体" w:eastAsia="宋体" w:cs="宋体"/>
                <w:color w:val="auto"/>
                <w:kern w:val="2"/>
                <w:sz w:val="21"/>
                <w:szCs w:val="21"/>
                <w:highlight w:val="none"/>
                <w:lang w:val="en-US" w:eastAsia="zh-CN" w:bidi="ar"/>
              </w:rPr>
              <w:t>分）</w:t>
            </w:r>
          </w:p>
          <w:p w14:paraId="5FC2BBF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color w:val="auto"/>
                <w:kern w:val="2"/>
                <w:sz w:val="21"/>
                <w:szCs w:val="21"/>
                <w:highlight w:val="none"/>
              </w:rPr>
            </w:pPr>
          </w:p>
        </w:tc>
        <w:tc>
          <w:tcPr>
            <w:tcW w:w="5648" w:type="dxa"/>
            <w:tcBorders>
              <w:top w:val="single" w:color="auto" w:sz="4" w:space="0"/>
              <w:left w:val="single" w:color="auto" w:sz="4" w:space="0"/>
              <w:bottom w:val="single" w:color="auto" w:sz="4" w:space="0"/>
              <w:right w:val="single" w:color="auto" w:sz="4" w:space="0"/>
            </w:tcBorders>
            <w:shd w:val="clear" w:color="auto" w:fill="auto"/>
            <w:vAlign w:val="center"/>
          </w:tcPr>
          <w:p w14:paraId="2E75F08D">
            <w:pPr>
              <w:keepNext w:val="0"/>
              <w:keepLines w:val="0"/>
              <w:widowControl w:val="0"/>
              <w:suppressLineNumbers w:val="0"/>
              <w:spacing w:before="0" w:beforeAutospacing="0" w:after="0" w:afterAutospacing="0" w:line="288" w:lineRule="auto"/>
              <w:ind w:left="0" w:right="0" w:rightChars="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投标人自2018年1月1日至投标截止时间承揽过单项合同金额1000万元或以上的体育工艺设备业绩，每提供1项得3分，最高得3分。</w:t>
            </w:r>
          </w:p>
          <w:p w14:paraId="45BFD728">
            <w:pPr>
              <w:keepNext w:val="0"/>
              <w:keepLines w:val="0"/>
              <w:widowControl w:val="0"/>
              <w:suppressLineNumbers w:val="0"/>
              <w:spacing w:before="0" w:beforeAutospacing="0" w:after="0" w:afterAutospacing="0" w:line="288" w:lineRule="auto"/>
              <w:ind w:left="0" w:right="0" w:rightChars="0"/>
              <w:jc w:val="left"/>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注：（1）类似体育工艺设备业绩是指包含场地照明设备、场地扩声设备、LED大屏幕显示设备其中一项或多项体育工艺设备的供货或采购服务或赞助业绩。</w:t>
            </w:r>
          </w:p>
          <w:p w14:paraId="3C6558E7">
            <w:pPr>
              <w:keepNext w:val="0"/>
              <w:keepLines w:val="0"/>
              <w:widowControl w:val="0"/>
              <w:suppressLineNumbers w:val="0"/>
              <w:spacing w:before="0" w:beforeAutospacing="0" w:after="0" w:afterAutospacing="0" w:line="288" w:lineRule="auto"/>
              <w:ind w:left="0" w:right="0" w:rightChars="0"/>
              <w:jc w:val="left"/>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（2）投标人须提供供货合同或采购服务合同或供货赞助协议等合同关键页扫描件。如合同不能单独体现对应体育工艺设备名称的，还需提供经业主盖章确认的相关证明资料。</w:t>
            </w:r>
          </w:p>
          <w:p w14:paraId="3F5702C2">
            <w:pPr>
              <w:keepNext w:val="0"/>
              <w:keepLines w:val="0"/>
              <w:widowControl w:val="0"/>
              <w:suppressLineNumbers w:val="0"/>
              <w:spacing w:before="0" w:beforeAutospacing="0" w:after="0" w:afterAutospacing="0" w:line="288" w:lineRule="auto"/>
              <w:ind w:left="0" w:right="0" w:rightChars="0"/>
              <w:jc w:val="left"/>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3）金额以合同（不含补充合同）为准，如合同不能单独体现对应的体育工艺设备业绩金额的，则以中标通知书或经业主盖章确认的其他证明资料中载明的对应的体育工艺设备业绩金额为准。时间以合同（不含补充合同）为准。</w:t>
            </w:r>
          </w:p>
          <w:p w14:paraId="2A7B2A0C">
            <w:pPr>
              <w:keepNext w:val="0"/>
              <w:keepLines w:val="0"/>
              <w:widowControl w:val="0"/>
              <w:suppressLineNumbers w:val="0"/>
              <w:spacing w:before="0" w:beforeAutospacing="0" w:after="0" w:afterAutospacing="0" w:line="288" w:lineRule="auto"/>
              <w:ind w:left="0" w:right="0" w:rightChars="0"/>
              <w:jc w:val="left"/>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4）投标人提供的类似业绩可以是中华人民共和国境内或境外业绩，相关证明资料若为外文的，须同时提供中文译文，评标时不同语言的解释发生异议的，以中文译文为准，投标人须对中文译文的准确性、真实性负责，未提供中文译文的，该文件无效。类似业绩为境外业绩的，金额按合同签订当月最后一日中国人民银行发布的人民币汇率换算的金额为准。</w:t>
            </w:r>
          </w:p>
          <w:p w14:paraId="6AE509C8">
            <w:pPr>
              <w:keepNext w:val="0"/>
              <w:keepLines w:val="0"/>
              <w:widowControl w:val="0"/>
              <w:suppressLineNumbers w:val="0"/>
              <w:spacing w:before="0" w:beforeAutospacing="0" w:after="0" w:afterAutospacing="0" w:line="288" w:lineRule="auto"/>
              <w:ind w:left="0" w:right="0"/>
              <w:jc w:val="left"/>
              <w:rPr>
                <w:rFonts w:hint="default" w:ascii="宋体" w:hAnsi="宋体" w:eastAsia="宋体" w:cs="Times New Roman"/>
                <w:b/>
                <w:bCs w:val="0"/>
                <w:color w:val="auto"/>
                <w:kern w:val="2"/>
                <w:sz w:val="21"/>
                <w:szCs w:val="21"/>
                <w:highlight w:val="none"/>
              </w:rPr>
            </w:pPr>
            <w:r>
              <w:rPr>
                <w:rFonts w:hint="eastAsia" w:ascii="宋体" w:hAnsi="宋体" w:eastAsia="宋体" w:cs="宋体"/>
                <w:b/>
                <w:bCs/>
                <w:color w:val="auto"/>
                <w:szCs w:val="21"/>
                <w:highlight w:val="none"/>
                <w:lang w:bidi="ar"/>
              </w:rPr>
              <w:t>（5）上述证明资料扫描件均需加盖投标人电子印章。</w:t>
            </w:r>
          </w:p>
        </w:tc>
      </w:tr>
      <w:tr w14:paraId="603885F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04" w:hRule="atLeast"/>
          <w:jc w:val="center"/>
        </w:trPr>
        <w:tc>
          <w:tcPr>
            <w:tcW w:w="1008" w:type="dxa"/>
            <w:gridSpan w:val="2"/>
            <w:tcBorders>
              <w:top w:val="nil"/>
              <w:left w:val="single" w:color="auto" w:sz="4" w:space="0"/>
              <w:bottom w:val="nil"/>
              <w:right w:val="single" w:color="auto" w:sz="4" w:space="0"/>
            </w:tcBorders>
            <w:shd w:val="clear" w:color="auto" w:fill="auto"/>
            <w:vAlign w:val="center"/>
          </w:tcPr>
          <w:p w14:paraId="4FE9C26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color w:val="auto"/>
                <w:kern w:val="2"/>
                <w:sz w:val="21"/>
                <w:szCs w:val="21"/>
                <w:highlight w:val="none"/>
                <w:lang w:val="en-US" w:eastAsia="zh-CN" w:bidi="ar"/>
              </w:rPr>
            </w:pPr>
          </w:p>
        </w:tc>
        <w:tc>
          <w:tcPr>
            <w:tcW w:w="1008" w:type="dxa"/>
            <w:tcBorders>
              <w:top w:val="nil"/>
              <w:left w:val="nil"/>
              <w:bottom w:val="nil"/>
              <w:right w:val="single" w:color="auto" w:sz="4" w:space="0"/>
            </w:tcBorders>
            <w:shd w:val="clear" w:color="auto" w:fill="auto"/>
            <w:vAlign w:val="center"/>
          </w:tcPr>
          <w:p w14:paraId="1CFBF6A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lang w:val="en-US" w:eastAsia="zh-CN" w:bidi="ar"/>
              </w:rPr>
            </w:pPr>
          </w:p>
        </w:tc>
        <w:tc>
          <w:tcPr>
            <w:tcW w:w="1843" w:type="dxa"/>
            <w:tcBorders>
              <w:top w:val="single" w:color="auto" w:sz="4" w:space="0"/>
              <w:left w:val="nil"/>
              <w:bottom w:val="nil"/>
              <w:right w:val="nil"/>
            </w:tcBorders>
            <w:shd w:val="clear" w:color="auto" w:fill="auto"/>
            <w:vAlign w:val="center"/>
          </w:tcPr>
          <w:p w14:paraId="197EDEB7">
            <w:pPr>
              <w:keepNext w:val="0"/>
              <w:keepLines w:val="0"/>
              <w:widowControl w:val="0"/>
              <w:suppressLineNumbers w:val="0"/>
              <w:snapToGrid/>
              <w:spacing w:before="0" w:beforeAutospacing="0" w:after="0" w:afterAutospacing="0" w:line="288" w:lineRule="auto"/>
              <w:ind w:left="0" w:right="0"/>
              <w:jc w:val="center"/>
              <w:rPr>
                <w:rFonts w:hint="default" w:ascii="宋体" w:hAnsi="宋体" w:eastAsia="宋体" w:cs="宋体"/>
                <w:color w:val="auto"/>
                <w:kern w:val="2"/>
                <w:sz w:val="21"/>
                <w:szCs w:val="21"/>
                <w:highlight w:val="none"/>
                <w:lang w:bidi="ar"/>
              </w:rPr>
            </w:pPr>
            <w:r>
              <w:rPr>
                <w:rFonts w:hint="default" w:ascii="宋体" w:hAnsi="宋体" w:eastAsia="宋体" w:cs="宋体"/>
                <w:color w:val="auto"/>
                <w:kern w:val="2"/>
                <w:sz w:val="21"/>
                <w:szCs w:val="21"/>
                <w:highlight w:val="none"/>
                <w:lang w:val="en-US" w:eastAsia="zh-CN" w:bidi="ar"/>
              </w:rPr>
              <w:t>认证体系</w:t>
            </w:r>
          </w:p>
          <w:p w14:paraId="1471E1BA">
            <w:pPr>
              <w:keepNext w:val="0"/>
              <w:keepLines w:val="0"/>
              <w:widowControl w:val="0"/>
              <w:suppressLineNumbers w:val="0"/>
              <w:spacing w:before="0" w:beforeAutospacing="0" w:after="0" w:afterAutospacing="0" w:line="288" w:lineRule="auto"/>
              <w:ind w:left="0" w:right="0"/>
              <w:jc w:val="center"/>
              <w:rPr>
                <w:rFonts w:hint="default" w:ascii="宋体" w:hAnsi="宋体" w:eastAsia="宋体" w:cs="宋体"/>
                <w:b w:val="0"/>
                <w:bCs w:val="0"/>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（3分）</w:t>
            </w:r>
          </w:p>
        </w:tc>
        <w:tc>
          <w:tcPr>
            <w:tcW w:w="5648" w:type="dxa"/>
            <w:tcBorders>
              <w:top w:val="single" w:color="auto" w:sz="4" w:space="0"/>
              <w:left w:val="single" w:color="auto" w:sz="4" w:space="0"/>
              <w:bottom w:val="single" w:color="auto" w:sz="4" w:space="0"/>
              <w:right w:val="single" w:color="auto" w:sz="4" w:space="0"/>
            </w:tcBorders>
            <w:shd w:val="clear" w:color="auto" w:fill="auto"/>
            <w:vAlign w:val="center"/>
          </w:tcPr>
          <w:p w14:paraId="7535E6C6">
            <w:pPr>
              <w:keepNext w:val="0"/>
              <w:keepLines w:val="0"/>
              <w:widowControl w:val="0"/>
              <w:suppressLineNumbers w:val="0"/>
              <w:spacing w:before="0" w:beforeAutospacing="0" w:after="0" w:afterAutospacing="0" w:line="288" w:lineRule="auto"/>
              <w:ind w:left="0" w:right="0"/>
              <w:jc w:val="left"/>
              <w:rPr>
                <w:rFonts w:hint="default" w:ascii="宋体" w:hAnsi="宋体" w:eastAsia="宋体" w:cs="宋体"/>
                <w:b w:val="0"/>
                <w:color w:val="auto"/>
                <w:kern w:val="2"/>
                <w:sz w:val="21"/>
                <w:szCs w:val="21"/>
                <w:highlight w:val="none"/>
                <w:u w:val="none"/>
                <w:lang w:eastAsia="zh-CN" w:bidi="ar"/>
              </w:rPr>
            </w:pPr>
            <w:r>
              <w:rPr>
                <w:rFonts w:hint="default" w:ascii="宋体" w:hAnsi="宋体" w:eastAsia="宋体" w:cs="宋体"/>
                <w:b w:val="0"/>
                <w:color w:val="auto"/>
                <w:kern w:val="2"/>
                <w:sz w:val="21"/>
                <w:szCs w:val="21"/>
                <w:highlight w:val="none"/>
                <w:u w:val="none"/>
                <w:lang w:eastAsia="zh-CN" w:bidi="ar"/>
              </w:rPr>
              <w:t>投标人同时具有有效的质量管理体系认证证书、环境管理体系认证证书、职业健康安全管理体系认证证书、售后服务认证证书的，得3分；同时具有以上任意三项认证证书的，得2分；同时具有以上任意两项认证证书的，得1分。</w:t>
            </w:r>
          </w:p>
          <w:p w14:paraId="50321983">
            <w:pPr>
              <w:keepNext w:val="0"/>
              <w:keepLines w:val="0"/>
              <w:widowControl w:val="0"/>
              <w:suppressLineNumbers w:val="0"/>
              <w:spacing w:before="0" w:beforeAutospacing="0" w:after="0" w:afterAutospacing="0" w:line="288" w:lineRule="auto"/>
              <w:ind w:left="0" w:right="0"/>
              <w:jc w:val="left"/>
              <w:rPr>
                <w:rFonts w:hint="default" w:ascii="宋体" w:hAnsi="宋体" w:eastAsia="宋体" w:cs="宋体"/>
                <w:b w:val="0"/>
                <w:color w:val="auto"/>
                <w:kern w:val="2"/>
                <w:sz w:val="21"/>
                <w:szCs w:val="21"/>
                <w:highlight w:val="none"/>
                <w:u w:val="none"/>
                <w:lang w:eastAsia="zh-CN" w:bidi="ar"/>
              </w:rPr>
            </w:pPr>
            <w:r>
              <w:rPr>
                <w:rFonts w:hint="default" w:ascii="宋体" w:hAnsi="宋体" w:eastAsia="宋体" w:cs="宋体"/>
                <w:b w:val="0"/>
                <w:color w:val="auto"/>
                <w:kern w:val="2"/>
                <w:sz w:val="21"/>
                <w:szCs w:val="21"/>
                <w:highlight w:val="none"/>
                <w:u w:val="none"/>
                <w:lang w:eastAsia="zh-CN" w:bidi="ar"/>
              </w:rPr>
              <w:t>不符合上述条件的不得分，本项最高得3分。</w:t>
            </w:r>
          </w:p>
          <w:p w14:paraId="3A1ADD3F">
            <w:pPr>
              <w:keepNext w:val="0"/>
              <w:keepLines w:val="0"/>
              <w:widowControl w:val="0"/>
              <w:suppressLineNumbers w:val="0"/>
              <w:spacing w:before="0" w:beforeAutospacing="0" w:after="0" w:afterAutospacing="0" w:line="288" w:lineRule="auto"/>
              <w:ind w:left="0" w:right="0"/>
              <w:jc w:val="left"/>
              <w:rPr>
                <w:rFonts w:hint="default" w:ascii="宋体" w:hAnsi="宋体" w:eastAsia="宋体" w:cs="宋体"/>
                <w:b/>
                <w:color w:val="auto"/>
                <w:kern w:val="2"/>
                <w:sz w:val="21"/>
                <w:szCs w:val="21"/>
                <w:highlight w:val="none"/>
                <w:u w:val="single"/>
                <w:lang w:eastAsia="zh-CN" w:bidi="ar"/>
              </w:rPr>
            </w:pPr>
            <w:r>
              <w:rPr>
                <w:rFonts w:hint="default" w:ascii="宋体" w:hAnsi="宋体" w:eastAsia="宋体" w:cs="宋体"/>
                <w:b/>
                <w:bCs/>
                <w:color w:val="auto"/>
                <w:kern w:val="2"/>
                <w:sz w:val="21"/>
                <w:szCs w:val="21"/>
                <w:highlight w:val="none"/>
                <w:u w:val="none"/>
                <w:lang w:eastAsia="zh-CN" w:bidi="ar"/>
              </w:rPr>
              <w:t>注：只计算投标人自身（不含投标人的子、分公司或区域公司）。需同时提供体系证书原件扫描件及在国家认证认可监督管理委员会（网址：http://www.cnca.gov.cn/）网站查询结果截图并加盖投标单位电子印章，查询结果页面须显示证书的状态为“有效”，否则不得分。</w:t>
            </w:r>
          </w:p>
        </w:tc>
      </w:tr>
      <w:tr w14:paraId="4570B9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4" w:hRule="atLeast"/>
          <w:jc w:val="center"/>
        </w:trPr>
        <w:tc>
          <w:tcPr>
            <w:tcW w:w="1008" w:type="dxa"/>
            <w:gridSpan w:val="2"/>
            <w:tcBorders>
              <w:top w:val="nil"/>
              <w:left w:val="single" w:color="auto" w:sz="4" w:space="0"/>
              <w:bottom w:val="nil"/>
              <w:right w:val="single" w:color="auto" w:sz="4" w:space="0"/>
            </w:tcBorders>
            <w:shd w:val="clear" w:color="auto" w:fill="auto"/>
            <w:vAlign w:val="center"/>
          </w:tcPr>
          <w:p w14:paraId="28B87DD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color w:val="auto"/>
                <w:kern w:val="2"/>
                <w:sz w:val="21"/>
                <w:szCs w:val="21"/>
                <w:highlight w:val="none"/>
                <w:lang w:val="en-US" w:eastAsia="zh-CN" w:bidi="ar"/>
              </w:rPr>
            </w:pPr>
          </w:p>
        </w:tc>
        <w:tc>
          <w:tcPr>
            <w:tcW w:w="1008" w:type="dxa"/>
            <w:tcBorders>
              <w:top w:val="nil"/>
              <w:left w:val="nil"/>
              <w:bottom w:val="nil"/>
              <w:right w:val="single" w:color="auto" w:sz="4" w:space="0"/>
            </w:tcBorders>
            <w:shd w:val="clear" w:color="auto" w:fill="auto"/>
            <w:vAlign w:val="center"/>
          </w:tcPr>
          <w:p w14:paraId="21A246C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lang w:val="en-US" w:eastAsia="zh-CN" w:bidi="ar"/>
              </w:rPr>
            </w:pPr>
          </w:p>
        </w:tc>
        <w:tc>
          <w:tcPr>
            <w:tcW w:w="1843" w:type="dxa"/>
            <w:tcBorders>
              <w:top w:val="single" w:color="auto" w:sz="4" w:space="0"/>
              <w:left w:val="nil"/>
              <w:bottom w:val="nil"/>
              <w:right w:val="nil"/>
            </w:tcBorders>
            <w:shd w:val="clear" w:color="auto" w:fill="auto"/>
            <w:vAlign w:val="center"/>
          </w:tcPr>
          <w:p w14:paraId="2E6F756B">
            <w:pPr>
              <w:keepNext w:val="0"/>
              <w:keepLines w:val="0"/>
              <w:widowControl w:val="0"/>
              <w:suppressLineNumbers w:val="0"/>
              <w:snapToGrid/>
              <w:spacing w:before="0" w:beforeAutospacing="0" w:after="0" w:afterAutospacing="0" w:line="288" w:lineRule="auto"/>
              <w:ind w:left="0" w:right="0"/>
              <w:jc w:val="center"/>
              <w:rPr>
                <w:rFonts w:hint="default" w:ascii="宋体" w:hAnsi="宋体" w:eastAsia="宋体" w:cs="宋体"/>
                <w:color w:val="auto"/>
                <w:kern w:val="2"/>
                <w:sz w:val="21"/>
                <w:szCs w:val="21"/>
                <w:highlight w:val="none"/>
                <w:lang w:bidi="ar"/>
              </w:rPr>
            </w:pPr>
            <w:r>
              <w:rPr>
                <w:rFonts w:hint="default" w:ascii="宋体" w:hAnsi="宋体" w:eastAsia="宋体" w:cs="宋体"/>
                <w:color w:val="auto"/>
                <w:kern w:val="2"/>
                <w:sz w:val="21"/>
                <w:szCs w:val="21"/>
                <w:highlight w:val="none"/>
                <w:lang w:bidi="ar"/>
              </w:rPr>
              <w:t>第三方评价</w:t>
            </w:r>
          </w:p>
          <w:p w14:paraId="50926E52">
            <w:pPr>
              <w:keepNext w:val="0"/>
              <w:keepLines w:val="0"/>
              <w:widowControl w:val="0"/>
              <w:suppressLineNumbers w:val="0"/>
              <w:spacing w:before="0" w:beforeAutospacing="0" w:after="0" w:afterAutospacing="0" w:line="288" w:lineRule="auto"/>
              <w:ind w:left="0" w:right="0"/>
              <w:jc w:val="center"/>
              <w:rPr>
                <w:rFonts w:hint="default" w:ascii="宋体" w:hAnsi="宋体" w:eastAsia="宋体" w:cs="宋体"/>
                <w:b w:val="0"/>
                <w:bCs w:val="0"/>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（4分）</w:t>
            </w:r>
          </w:p>
        </w:tc>
        <w:tc>
          <w:tcPr>
            <w:tcW w:w="5648" w:type="dxa"/>
            <w:tcBorders>
              <w:top w:val="single" w:color="auto" w:sz="4" w:space="0"/>
              <w:left w:val="single" w:color="auto" w:sz="4" w:space="0"/>
              <w:bottom w:val="single" w:color="auto" w:sz="4" w:space="0"/>
              <w:right w:val="single" w:color="auto" w:sz="4" w:space="0"/>
            </w:tcBorders>
            <w:shd w:val="clear" w:color="auto" w:fill="auto"/>
            <w:vAlign w:val="center"/>
          </w:tcPr>
          <w:p w14:paraId="3D2DD013">
            <w:pPr>
              <w:keepNext w:val="0"/>
              <w:keepLines w:val="0"/>
              <w:widowControl w:val="0"/>
              <w:suppressLineNumbers w:val="0"/>
              <w:spacing w:before="0" w:beforeAutospacing="0" w:after="0" w:afterAutospacing="0" w:line="288" w:lineRule="auto"/>
              <w:ind w:left="0" w:right="0"/>
              <w:jc w:val="left"/>
              <w:rPr>
                <w:rFonts w:hint="default" w:ascii="宋体" w:hAnsi="宋体" w:eastAsia="宋体" w:cs="宋体"/>
                <w:b w:val="0"/>
                <w:color w:val="auto"/>
                <w:kern w:val="2"/>
                <w:sz w:val="21"/>
                <w:szCs w:val="21"/>
                <w:highlight w:val="none"/>
                <w:u w:val="none"/>
                <w:lang w:eastAsia="zh-CN" w:bidi="ar"/>
              </w:rPr>
            </w:pPr>
            <w:r>
              <w:rPr>
                <w:rFonts w:hint="default" w:ascii="宋体" w:hAnsi="宋体" w:eastAsia="宋体" w:cs="宋体"/>
                <w:b w:val="0"/>
                <w:color w:val="auto"/>
                <w:kern w:val="2"/>
                <w:sz w:val="21"/>
                <w:szCs w:val="21"/>
                <w:highlight w:val="none"/>
                <w:u w:val="none"/>
                <w:lang w:eastAsia="zh-CN" w:bidi="ar"/>
              </w:rPr>
              <w:t>投标人至投标截止时间（含最近评审年度2023年度）获得“纳税信用A级纳税人”称号情况：</w:t>
            </w:r>
          </w:p>
          <w:p w14:paraId="1CCF4D60">
            <w:pPr>
              <w:keepNext w:val="0"/>
              <w:keepLines w:val="0"/>
              <w:widowControl w:val="0"/>
              <w:suppressLineNumbers w:val="0"/>
              <w:spacing w:before="0" w:beforeAutospacing="0" w:after="0" w:afterAutospacing="0" w:line="288" w:lineRule="auto"/>
              <w:ind w:left="0" w:right="0"/>
              <w:jc w:val="left"/>
              <w:rPr>
                <w:rFonts w:hint="default" w:ascii="宋体" w:hAnsi="宋体" w:eastAsia="宋体" w:cs="宋体"/>
                <w:b w:val="0"/>
                <w:kern w:val="2"/>
                <w:sz w:val="21"/>
                <w:szCs w:val="21"/>
                <w:highlight w:val="none"/>
                <w:u w:val="none"/>
                <w:lang w:eastAsia="zh-CN" w:bidi="ar"/>
              </w:rPr>
            </w:pPr>
            <w:r>
              <w:rPr>
                <w:rFonts w:hint="default" w:ascii="宋体" w:hAnsi="宋体" w:eastAsia="宋体" w:cs="宋体"/>
                <w:b w:val="0"/>
                <w:kern w:val="2"/>
                <w:sz w:val="21"/>
                <w:szCs w:val="21"/>
                <w:highlight w:val="none"/>
                <w:u w:val="none"/>
                <w:lang w:eastAsia="zh-CN" w:bidi="ar"/>
              </w:rPr>
              <w:t>（1）连续获得5个年度或以上的，得4分；</w:t>
            </w:r>
          </w:p>
          <w:p w14:paraId="74C3F918">
            <w:pPr>
              <w:keepNext w:val="0"/>
              <w:keepLines w:val="0"/>
              <w:widowControl w:val="0"/>
              <w:suppressLineNumbers w:val="0"/>
              <w:spacing w:before="0" w:beforeAutospacing="0" w:after="0" w:afterAutospacing="0" w:line="288" w:lineRule="auto"/>
              <w:ind w:left="0" w:right="0"/>
              <w:jc w:val="left"/>
              <w:rPr>
                <w:rFonts w:hint="default" w:ascii="宋体" w:hAnsi="宋体" w:eastAsia="宋体" w:cs="宋体"/>
                <w:b w:val="0"/>
                <w:kern w:val="2"/>
                <w:sz w:val="21"/>
                <w:szCs w:val="21"/>
                <w:highlight w:val="none"/>
                <w:u w:val="none"/>
                <w:lang w:eastAsia="zh-CN" w:bidi="ar"/>
              </w:rPr>
            </w:pPr>
            <w:r>
              <w:rPr>
                <w:rFonts w:hint="default" w:ascii="宋体" w:hAnsi="宋体" w:eastAsia="宋体" w:cs="宋体"/>
                <w:b w:val="0"/>
                <w:kern w:val="2"/>
                <w:sz w:val="21"/>
                <w:szCs w:val="21"/>
                <w:highlight w:val="none"/>
                <w:u w:val="none"/>
                <w:lang w:eastAsia="zh-CN" w:bidi="ar"/>
              </w:rPr>
              <w:t>（2）连续获得3-4个年度的，得2分；</w:t>
            </w:r>
          </w:p>
          <w:p w14:paraId="7CF8B82B">
            <w:pPr>
              <w:keepNext w:val="0"/>
              <w:keepLines w:val="0"/>
              <w:widowControl w:val="0"/>
              <w:suppressLineNumbers w:val="0"/>
              <w:spacing w:before="0" w:beforeAutospacing="0" w:after="0" w:afterAutospacing="0" w:line="288" w:lineRule="auto"/>
              <w:ind w:left="0" w:right="0"/>
              <w:jc w:val="left"/>
              <w:rPr>
                <w:rFonts w:hint="default" w:ascii="宋体" w:hAnsi="宋体" w:eastAsia="宋体" w:cs="宋体"/>
                <w:b w:val="0"/>
                <w:kern w:val="2"/>
                <w:sz w:val="21"/>
                <w:szCs w:val="21"/>
                <w:highlight w:val="none"/>
                <w:u w:val="none"/>
                <w:lang w:eastAsia="zh-CN" w:bidi="ar"/>
              </w:rPr>
            </w:pPr>
            <w:r>
              <w:rPr>
                <w:rFonts w:hint="default" w:ascii="宋体" w:hAnsi="宋体" w:eastAsia="宋体" w:cs="宋体"/>
                <w:b w:val="0"/>
                <w:kern w:val="2"/>
                <w:sz w:val="21"/>
                <w:szCs w:val="21"/>
                <w:highlight w:val="none"/>
                <w:u w:val="none"/>
                <w:lang w:eastAsia="zh-CN" w:bidi="ar"/>
              </w:rPr>
              <w:t>（3）连续获得1-2个年度的，得1分。</w:t>
            </w:r>
          </w:p>
          <w:p w14:paraId="4021996B">
            <w:pPr>
              <w:keepNext w:val="0"/>
              <w:keepLines w:val="0"/>
              <w:widowControl w:val="0"/>
              <w:suppressLineNumbers w:val="0"/>
              <w:spacing w:before="0" w:beforeAutospacing="0" w:after="0" w:afterAutospacing="0" w:line="288" w:lineRule="auto"/>
              <w:ind w:left="0" w:right="0"/>
              <w:jc w:val="left"/>
              <w:rPr>
                <w:rFonts w:hint="default" w:ascii="宋体" w:hAnsi="宋体" w:eastAsia="宋体" w:cs="宋体"/>
                <w:b/>
                <w:color w:val="auto"/>
                <w:kern w:val="2"/>
                <w:sz w:val="21"/>
                <w:szCs w:val="21"/>
                <w:highlight w:val="none"/>
                <w:u w:val="single"/>
                <w:lang w:eastAsia="zh-CN" w:bidi="ar"/>
              </w:rPr>
            </w:pPr>
            <w:r>
              <w:rPr>
                <w:rFonts w:hint="default" w:ascii="宋体" w:hAnsi="宋体" w:eastAsia="宋体" w:cs="宋体"/>
                <w:b/>
                <w:bCs/>
                <w:color w:val="auto"/>
                <w:kern w:val="2"/>
                <w:sz w:val="21"/>
                <w:szCs w:val="21"/>
                <w:highlight w:val="none"/>
                <w:u w:val="none"/>
                <w:lang w:eastAsia="zh-CN" w:bidi="ar"/>
              </w:rPr>
              <w:t>注：投标人（只计算投标人自身，不计算投标人的分公司、子公司和分支机构）须提供纳税信用A级纳税人证书扫描件或省级（或以上）国家税务局官网（含在国家税务局官网单列的城市）纳税信用信息查询结果的网页截图并加盖投标人电子印章，时间以证书上注明的公示评价（评定）年度为准。不符合上述条件或未按要求提供上述材料或无加盖投标人企业电子印章的不计分。</w:t>
            </w:r>
          </w:p>
        </w:tc>
      </w:tr>
      <w:tr w14:paraId="54E17A1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904" w:hRule="atLeast"/>
          <w:jc w:val="center"/>
        </w:trPr>
        <w:tc>
          <w:tcPr>
            <w:tcW w:w="1008" w:type="dxa"/>
            <w:gridSpan w:val="2"/>
            <w:vMerge w:val="restart"/>
            <w:tcBorders>
              <w:top w:val="nil"/>
              <w:left w:val="single" w:color="auto" w:sz="4" w:space="0"/>
              <w:bottom w:val="nil"/>
              <w:right w:val="single" w:color="auto" w:sz="4" w:space="0"/>
            </w:tcBorders>
            <w:shd w:val="clear" w:color="auto" w:fill="auto"/>
            <w:vAlign w:val="center"/>
          </w:tcPr>
          <w:p w14:paraId="3559B46E">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2.2.4</w:t>
            </w:r>
            <w:r>
              <w:rPr>
                <w:rFonts w:hint="eastAsia" w:ascii="宋体" w:hAnsi="宋体" w:eastAsia="宋体" w:cs="宋体"/>
                <w:color w:val="auto"/>
                <w:kern w:val="2"/>
                <w:sz w:val="21"/>
                <w:szCs w:val="21"/>
                <w:highlight w:val="none"/>
                <w:lang w:val="en-US" w:eastAsia="zh-CN" w:bidi="ar"/>
              </w:rPr>
              <w:t>（2）</w:t>
            </w:r>
          </w:p>
        </w:tc>
        <w:tc>
          <w:tcPr>
            <w:tcW w:w="1008" w:type="dxa"/>
            <w:vMerge w:val="restart"/>
            <w:tcBorders>
              <w:top w:val="nil"/>
              <w:left w:val="nil"/>
              <w:bottom w:val="nil"/>
              <w:right w:val="single" w:color="auto" w:sz="4" w:space="0"/>
            </w:tcBorders>
            <w:shd w:val="clear" w:color="auto" w:fill="auto"/>
            <w:vAlign w:val="center"/>
          </w:tcPr>
          <w:p w14:paraId="283544C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技术评分标准（40分）</w:t>
            </w:r>
          </w:p>
        </w:tc>
        <w:tc>
          <w:tcPr>
            <w:tcW w:w="1843" w:type="dxa"/>
            <w:tcBorders>
              <w:top w:val="single" w:color="auto" w:sz="4" w:space="0"/>
              <w:left w:val="nil"/>
              <w:bottom w:val="nil"/>
              <w:right w:val="nil"/>
            </w:tcBorders>
            <w:shd w:val="clear" w:color="auto" w:fill="auto"/>
            <w:vAlign w:val="center"/>
          </w:tcPr>
          <w:p w14:paraId="6A32D1A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实施进度计划</w:t>
            </w:r>
          </w:p>
          <w:p w14:paraId="67B396F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eastAsia="zh-CN" w:bidi="ar"/>
              </w:rPr>
              <w:t>8</w:t>
            </w:r>
            <w:r>
              <w:rPr>
                <w:rFonts w:hint="eastAsia" w:ascii="宋体" w:hAnsi="宋体" w:eastAsia="宋体" w:cs="宋体"/>
                <w:color w:val="auto"/>
                <w:kern w:val="2"/>
                <w:sz w:val="21"/>
                <w:szCs w:val="21"/>
                <w:highlight w:val="none"/>
                <w:lang w:val="en-US" w:eastAsia="zh-CN" w:bidi="ar"/>
              </w:rPr>
              <w:t>分）</w:t>
            </w:r>
          </w:p>
        </w:tc>
        <w:tc>
          <w:tcPr>
            <w:tcW w:w="5648" w:type="dxa"/>
            <w:tcBorders>
              <w:top w:val="single" w:color="auto" w:sz="4" w:space="0"/>
              <w:left w:val="single" w:color="auto" w:sz="4" w:space="0"/>
              <w:bottom w:val="single" w:color="auto" w:sz="4" w:space="0"/>
              <w:right w:val="single" w:color="auto" w:sz="4" w:space="0"/>
            </w:tcBorders>
            <w:shd w:val="clear" w:color="auto" w:fill="auto"/>
            <w:vAlign w:val="center"/>
          </w:tcPr>
          <w:p w14:paraId="33EE41F2">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b/>
                <w:color w:val="auto"/>
                <w:kern w:val="0"/>
                <w:sz w:val="21"/>
                <w:szCs w:val="21"/>
                <w:highlight w:val="none"/>
                <w:lang w:val="en-US" w:eastAsia="zh-CN" w:bidi="ar"/>
              </w:rPr>
              <w:t>第十五届全运会广东奥林匹克体育中心升级改造项目</w:t>
            </w:r>
          </w:p>
          <w:p w14:paraId="7D423EF7">
            <w:pPr>
              <w:keepNext w:val="0"/>
              <w:keepLines w:val="0"/>
              <w:widowControl w:val="0"/>
              <w:suppressLineNumbers w:val="0"/>
              <w:snapToGrid w:val="0"/>
              <w:spacing w:before="0" w:beforeAutospacing="0" w:after="0" w:afterAutospacing="0"/>
              <w:ind w:left="0" w:right="0"/>
              <w:jc w:val="left"/>
              <w:rPr>
                <w:rFonts w:hint="default"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根据投标人的对本项目提供的全方位实施的落地规划、计划、难点及工艺保障等方面进行综合评审。包含但不限于体育工艺各项目、各个分步</w:t>
            </w:r>
            <w:r>
              <w:rPr>
                <w:rFonts w:hint="default" w:ascii="宋体" w:hAnsi="宋体" w:eastAsia="宋体" w:cs="宋体"/>
                <w:color w:val="auto"/>
                <w:kern w:val="2"/>
                <w:sz w:val="21"/>
                <w:szCs w:val="21"/>
                <w:highlight w:val="none"/>
                <w:lang w:eastAsia="zh-CN" w:bidi="ar"/>
              </w:rPr>
              <w:t>实施</w:t>
            </w:r>
            <w:r>
              <w:rPr>
                <w:rFonts w:hint="eastAsia" w:ascii="宋体" w:hAnsi="宋体" w:eastAsia="宋体" w:cs="宋体"/>
                <w:color w:val="auto"/>
                <w:kern w:val="2"/>
                <w:sz w:val="21"/>
                <w:szCs w:val="21"/>
                <w:highlight w:val="none"/>
                <w:lang w:val="en-US" w:eastAsia="zh-CN" w:bidi="ar"/>
              </w:rPr>
              <w:t xml:space="preserve">节点的安排；重点、难点等方面的理解程度；按照各项体育工艺规范流程提出专业、系统的解决方案： </w:t>
            </w:r>
          </w:p>
          <w:p w14:paraId="1E60C64E">
            <w:pPr>
              <w:keepNext w:val="0"/>
              <w:keepLines w:val="0"/>
              <w:widowControl w:val="0"/>
              <w:suppressLineNumbers w:val="0"/>
              <w:snapToGrid w:val="0"/>
              <w:spacing w:before="0" w:beforeAutospacing="0" w:after="0" w:afterAutospacing="0"/>
              <w:ind w:left="0" w:right="0"/>
              <w:jc w:val="left"/>
              <w:rPr>
                <w:rFonts w:hint="default"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优：</w:t>
            </w:r>
            <w:r>
              <w:rPr>
                <w:rFonts w:hint="default" w:ascii="宋体" w:hAnsi="宋体" w:eastAsia="宋体" w:cs="宋体"/>
                <w:color w:val="auto"/>
                <w:kern w:val="2"/>
                <w:sz w:val="21"/>
                <w:szCs w:val="21"/>
                <w:highlight w:val="none"/>
                <w:lang w:eastAsia="zh-CN" w:bidi="ar"/>
              </w:rPr>
              <w:t>实施</w:t>
            </w:r>
            <w:r>
              <w:rPr>
                <w:rFonts w:hint="eastAsia" w:ascii="宋体" w:hAnsi="宋体" w:eastAsia="宋体" w:cs="宋体"/>
                <w:color w:val="auto"/>
                <w:kern w:val="2"/>
                <w:sz w:val="21"/>
                <w:szCs w:val="21"/>
                <w:highlight w:val="none"/>
                <w:lang w:val="en-US" w:eastAsia="zh-CN" w:bidi="ar"/>
              </w:rPr>
              <w:t>进度计划逻辑性强、可行、合理，各环节保证措施明确具体，得</w:t>
            </w:r>
            <w:r>
              <w:rPr>
                <w:rFonts w:hint="eastAsia" w:ascii="宋体" w:hAnsi="宋体" w:eastAsia="宋体" w:cs="宋体"/>
                <w:color w:val="auto"/>
                <w:kern w:val="2"/>
                <w:sz w:val="21"/>
                <w:szCs w:val="21"/>
                <w:highlight w:val="none"/>
                <w:lang w:eastAsia="zh-CN" w:bidi="ar"/>
              </w:rPr>
              <w:t>5</w:t>
            </w:r>
            <w:r>
              <w:rPr>
                <w:rFonts w:hint="eastAsia" w:ascii="宋体" w:hAnsi="宋体" w:eastAsia="宋体" w:cs="宋体"/>
                <w:color w:val="auto"/>
                <w:kern w:val="2"/>
                <w:sz w:val="21"/>
                <w:szCs w:val="21"/>
                <w:highlight w:val="none"/>
                <w:lang w:val="en-US" w:eastAsia="zh-CN" w:bidi="ar"/>
              </w:rPr>
              <w:t>分；</w:t>
            </w:r>
          </w:p>
          <w:p w14:paraId="4DA44485">
            <w:pPr>
              <w:keepNext w:val="0"/>
              <w:keepLines w:val="0"/>
              <w:widowControl w:val="0"/>
              <w:suppressLineNumbers w:val="0"/>
              <w:snapToGrid w:val="0"/>
              <w:spacing w:before="0" w:beforeAutospacing="0" w:after="0" w:afterAutospacing="0"/>
              <w:ind w:left="0" w:right="0"/>
              <w:jc w:val="left"/>
              <w:rPr>
                <w:rFonts w:hint="default"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良：</w:t>
            </w:r>
            <w:r>
              <w:rPr>
                <w:rFonts w:hint="default" w:ascii="宋体" w:hAnsi="宋体" w:eastAsia="宋体" w:cs="宋体"/>
                <w:color w:val="auto"/>
                <w:kern w:val="2"/>
                <w:sz w:val="21"/>
                <w:szCs w:val="21"/>
                <w:highlight w:val="none"/>
                <w:lang w:eastAsia="zh-CN" w:bidi="ar"/>
              </w:rPr>
              <w:t>实施</w:t>
            </w:r>
            <w:r>
              <w:rPr>
                <w:rFonts w:hint="eastAsia" w:ascii="宋体" w:hAnsi="宋体" w:eastAsia="宋体" w:cs="宋体"/>
                <w:color w:val="auto"/>
                <w:kern w:val="2"/>
                <w:sz w:val="21"/>
                <w:szCs w:val="21"/>
                <w:highlight w:val="none"/>
                <w:lang w:val="en-US" w:eastAsia="zh-CN" w:bidi="ar"/>
              </w:rPr>
              <w:t>进度计划逻辑性较强、较可行、较合理，各环节有保证措施，得</w:t>
            </w:r>
            <w:r>
              <w:rPr>
                <w:rFonts w:hint="eastAsia" w:ascii="宋体" w:hAnsi="宋体" w:eastAsia="宋体" w:cs="宋体"/>
                <w:color w:val="auto"/>
                <w:kern w:val="2"/>
                <w:sz w:val="21"/>
                <w:szCs w:val="21"/>
                <w:highlight w:val="none"/>
                <w:lang w:eastAsia="zh-CN" w:bidi="ar"/>
              </w:rPr>
              <w:t>3</w:t>
            </w:r>
            <w:r>
              <w:rPr>
                <w:rFonts w:hint="eastAsia" w:ascii="宋体" w:hAnsi="宋体" w:eastAsia="宋体" w:cs="宋体"/>
                <w:color w:val="auto"/>
                <w:kern w:val="2"/>
                <w:sz w:val="21"/>
                <w:szCs w:val="21"/>
                <w:highlight w:val="none"/>
                <w:lang w:val="en-US" w:eastAsia="zh-CN" w:bidi="ar"/>
              </w:rPr>
              <w:t>分；</w:t>
            </w:r>
          </w:p>
          <w:p w14:paraId="184F5498">
            <w:pPr>
              <w:keepNext w:val="0"/>
              <w:keepLines w:val="0"/>
              <w:widowControl w:val="0"/>
              <w:suppressLineNumbers w:val="0"/>
              <w:snapToGrid w:val="0"/>
              <w:spacing w:before="0" w:beforeAutospacing="0" w:after="0" w:afterAutospacing="0"/>
              <w:ind w:left="0" w:right="0"/>
              <w:jc w:val="left"/>
              <w:rPr>
                <w:rFonts w:hint="default"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中：</w:t>
            </w:r>
            <w:r>
              <w:rPr>
                <w:rFonts w:hint="default" w:ascii="宋体" w:hAnsi="宋体" w:eastAsia="宋体" w:cs="宋体"/>
                <w:color w:val="auto"/>
                <w:kern w:val="2"/>
                <w:sz w:val="21"/>
                <w:szCs w:val="21"/>
                <w:highlight w:val="none"/>
                <w:lang w:eastAsia="zh-CN" w:bidi="ar"/>
              </w:rPr>
              <w:t>实施</w:t>
            </w:r>
            <w:r>
              <w:rPr>
                <w:rFonts w:hint="eastAsia" w:ascii="宋体" w:hAnsi="宋体" w:eastAsia="宋体" w:cs="宋体"/>
                <w:color w:val="auto"/>
                <w:kern w:val="2"/>
                <w:sz w:val="21"/>
                <w:szCs w:val="21"/>
                <w:highlight w:val="none"/>
                <w:lang w:val="en-US" w:eastAsia="zh-CN" w:bidi="ar"/>
              </w:rPr>
              <w:t>进度计划逻辑性一般、基本可行、基本合理，各环节保证措施欠具体、欠明确，得</w:t>
            </w:r>
            <w:r>
              <w:rPr>
                <w:rFonts w:hint="eastAsia" w:ascii="宋体" w:hAnsi="宋体" w:eastAsia="宋体" w:cs="宋体"/>
                <w:color w:val="auto"/>
                <w:kern w:val="2"/>
                <w:sz w:val="21"/>
                <w:szCs w:val="21"/>
                <w:highlight w:val="none"/>
                <w:lang w:eastAsia="zh-CN" w:bidi="ar"/>
              </w:rPr>
              <w:t>1</w:t>
            </w:r>
            <w:r>
              <w:rPr>
                <w:rFonts w:hint="eastAsia" w:ascii="宋体" w:hAnsi="宋体" w:eastAsia="宋体" w:cs="宋体"/>
                <w:color w:val="auto"/>
                <w:kern w:val="2"/>
                <w:sz w:val="21"/>
                <w:szCs w:val="21"/>
                <w:highlight w:val="none"/>
                <w:lang w:val="en-US" w:eastAsia="zh-CN" w:bidi="ar"/>
              </w:rPr>
              <w:t>分；</w:t>
            </w:r>
          </w:p>
          <w:p w14:paraId="2FA7D8E7">
            <w:pPr>
              <w:keepNext w:val="0"/>
              <w:keepLines w:val="0"/>
              <w:widowControl w:val="0"/>
              <w:suppressLineNumbers w:val="0"/>
              <w:snapToGrid w:val="0"/>
              <w:spacing w:before="0" w:beforeAutospacing="0" w:after="0" w:afterAutospacing="0"/>
              <w:ind w:left="0" w:right="0"/>
              <w:jc w:val="left"/>
              <w:rPr>
                <w:rFonts w:hint="default"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差：无提供相应评审内容或差的不得分；</w:t>
            </w:r>
          </w:p>
          <w:p w14:paraId="6D00E9ED">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本小项最高得5分。</w:t>
            </w:r>
          </w:p>
          <w:p w14:paraId="3469B572">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b/>
                <w:color w:val="auto"/>
                <w:kern w:val="0"/>
                <w:sz w:val="21"/>
                <w:szCs w:val="21"/>
                <w:highlight w:val="none"/>
                <w:lang w:val="en-US" w:eastAsia="zh-CN" w:bidi="ar"/>
              </w:rPr>
              <w:t>第十五届全运会广东省人民体育场改造项目</w:t>
            </w:r>
          </w:p>
          <w:p w14:paraId="1EFEE2BB">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根据投标人的对本项目提供的全方位实施的落地规划、计划、难点及工艺保障等方面进行综合评审。包含但不限于体育工艺各项目、各个分步</w:t>
            </w:r>
            <w:r>
              <w:rPr>
                <w:rFonts w:hint="default" w:ascii="宋体" w:hAnsi="宋体" w:eastAsia="宋体" w:cs="宋体"/>
                <w:color w:val="auto"/>
                <w:kern w:val="2"/>
                <w:sz w:val="21"/>
                <w:szCs w:val="21"/>
                <w:highlight w:val="none"/>
                <w:lang w:eastAsia="zh-CN" w:bidi="ar"/>
              </w:rPr>
              <w:t>实施</w:t>
            </w:r>
            <w:r>
              <w:rPr>
                <w:rFonts w:hint="eastAsia" w:ascii="宋体" w:hAnsi="宋体" w:eastAsia="宋体" w:cs="宋体"/>
                <w:color w:val="auto"/>
                <w:kern w:val="2"/>
                <w:sz w:val="21"/>
                <w:szCs w:val="21"/>
                <w:highlight w:val="none"/>
                <w:lang w:val="en-US" w:eastAsia="zh-CN" w:bidi="ar"/>
              </w:rPr>
              <w:t xml:space="preserve">节点的安排；重点、难点等方面的理解程度；按照各项体育工艺规范流程提出专业、系统的解决方案： </w:t>
            </w:r>
          </w:p>
          <w:p w14:paraId="075B2712">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优：</w:t>
            </w:r>
            <w:r>
              <w:rPr>
                <w:rFonts w:hint="default" w:ascii="宋体" w:hAnsi="宋体" w:eastAsia="宋体" w:cs="宋体"/>
                <w:color w:val="auto"/>
                <w:kern w:val="2"/>
                <w:sz w:val="21"/>
                <w:szCs w:val="21"/>
                <w:highlight w:val="none"/>
                <w:lang w:eastAsia="zh-CN" w:bidi="ar"/>
              </w:rPr>
              <w:t>实施</w:t>
            </w:r>
            <w:r>
              <w:rPr>
                <w:rFonts w:hint="eastAsia" w:ascii="宋体" w:hAnsi="宋体" w:eastAsia="宋体" w:cs="宋体"/>
                <w:color w:val="auto"/>
                <w:kern w:val="2"/>
                <w:sz w:val="21"/>
                <w:szCs w:val="21"/>
                <w:highlight w:val="none"/>
                <w:lang w:val="en-US" w:eastAsia="zh-CN" w:bidi="ar"/>
              </w:rPr>
              <w:t>进度计划逻辑性强、可行、合理，各环节保证措施明确具体，得</w:t>
            </w:r>
            <w:r>
              <w:rPr>
                <w:rFonts w:hint="default" w:ascii="宋体" w:hAnsi="宋体" w:eastAsia="宋体" w:cs="宋体"/>
                <w:color w:val="auto"/>
                <w:kern w:val="2"/>
                <w:sz w:val="21"/>
                <w:szCs w:val="21"/>
                <w:highlight w:val="none"/>
                <w:lang w:eastAsia="zh-CN" w:bidi="ar"/>
              </w:rPr>
              <w:t>3</w:t>
            </w:r>
            <w:r>
              <w:rPr>
                <w:rFonts w:hint="eastAsia" w:ascii="宋体" w:hAnsi="宋体" w:eastAsia="宋体" w:cs="宋体"/>
                <w:color w:val="auto"/>
                <w:kern w:val="2"/>
                <w:sz w:val="21"/>
                <w:szCs w:val="21"/>
                <w:highlight w:val="none"/>
                <w:lang w:val="en-US" w:eastAsia="zh-CN" w:bidi="ar"/>
              </w:rPr>
              <w:t>分；</w:t>
            </w:r>
          </w:p>
          <w:p w14:paraId="69065F4F">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良：</w:t>
            </w:r>
            <w:r>
              <w:rPr>
                <w:rFonts w:hint="default" w:ascii="宋体" w:hAnsi="宋体" w:eastAsia="宋体" w:cs="宋体"/>
                <w:color w:val="auto"/>
                <w:kern w:val="2"/>
                <w:sz w:val="21"/>
                <w:szCs w:val="21"/>
                <w:highlight w:val="none"/>
                <w:lang w:eastAsia="zh-CN" w:bidi="ar"/>
              </w:rPr>
              <w:t>实施</w:t>
            </w:r>
            <w:r>
              <w:rPr>
                <w:rFonts w:hint="eastAsia" w:ascii="宋体" w:hAnsi="宋体" w:eastAsia="宋体" w:cs="宋体"/>
                <w:color w:val="auto"/>
                <w:kern w:val="2"/>
                <w:sz w:val="21"/>
                <w:szCs w:val="21"/>
                <w:highlight w:val="none"/>
                <w:lang w:val="en-US" w:eastAsia="zh-CN" w:bidi="ar"/>
              </w:rPr>
              <w:t>进度计划逻辑性较强、较可行、较合理，各环节有保证措施，得</w:t>
            </w:r>
            <w:r>
              <w:rPr>
                <w:rFonts w:hint="default" w:ascii="宋体" w:hAnsi="宋体" w:eastAsia="宋体" w:cs="宋体"/>
                <w:color w:val="auto"/>
                <w:kern w:val="2"/>
                <w:sz w:val="21"/>
                <w:szCs w:val="21"/>
                <w:highlight w:val="none"/>
                <w:lang w:eastAsia="zh-CN" w:bidi="ar"/>
              </w:rPr>
              <w:t>1.5</w:t>
            </w:r>
            <w:r>
              <w:rPr>
                <w:rFonts w:hint="eastAsia" w:ascii="宋体" w:hAnsi="宋体" w:eastAsia="宋体" w:cs="宋体"/>
                <w:color w:val="auto"/>
                <w:kern w:val="2"/>
                <w:sz w:val="21"/>
                <w:szCs w:val="21"/>
                <w:highlight w:val="none"/>
                <w:lang w:val="en-US" w:eastAsia="zh-CN" w:bidi="ar"/>
              </w:rPr>
              <w:t>分；</w:t>
            </w:r>
          </w:p>
          <w:p w14:paraId="69B51626">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中：</w:t>
            </w:r>
            <w:r>
              <w:rPr>
                <w:rFonts w:hint="default" w:ascii="宋体" w:hAnsi="宋体" w:eastAsia="宋体" w:cs="宋体"/>
                <w:color w:val="auto"/>
                <w:kern w:val="2"/>
                <w:sz w:val="21"/>
                <w:szCs w:val="21"/>
                <w:highlight w:val="none"/>
                <w:lang w:eastAsia="zh-CN" w:bidi="ar"/>
              </w:rPr>
              <w:t>实施</w:t>
            </w:r>
            <w:r>
              <w:rPr>
                <w:rFonts w:hint="eastAsia" w:ascii="宋体" w:hAnsi="宋体" w:eastAsia="宋体" w:cs="宋体"/>
                <w:color w:val="auto"/>
                <w:kern w:val="2"/>
                <w:sz w:val="21"/>
                <w:szCs w:val="21"/>
                <w:highlight w:val="none"/>
                <w:lang w:val="en-US" w:eastAsia="zh-CN" w:bidi="ar"/>
              </w:rPr>
              <w:t>进度计划逻辑性一般、基本可行、基本合理，各环节保证措施欠具体、欠明确，得</w:t>
            </w:r>
            <w:r>
              <w:rPr>
                <w:rFonts w:hint="default" w:ascii="宋体" w:hAnsi="宋体" w:eastAsia="宋体" w:cs="宋体"/>
                <w:color w:val="auto"/>
                <w:kern w:val="2"/>
                <w:sz w:val="21"/>
                <w:szCs w:val="21"/>
                <w:highlight w:val="none"/>
                <w:lang w:eastAsia="zh-CN" w:bidi="ar"/>
              </w:rPr>
              <w:t>0.5</w:t>
            </w:r>
            <w:r>
              <w:rPr>
                <w:rFonts w:hint="eastAsia" w:ascii="宋体" w:hAnsi="宋体" w:eastAsia="宋体" w:cs="宋体"/>
                <w:color w:val="auto"/>
                <w:kern w:val="2"/>
                <w:sz w:val="21"/>
                <w:szCs w:val="21"/>
                <w:highlight w:val="none"/>
                <w:lang w:val="en-US" w:eastAsia="zh-CN" w:bidi="ar"/>
              </w:rPr>
              <w:t>分；</w:t>
            </w:r>
          </w:p>
          <w:p w14:paraId="02634C42">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差：无提供相应评审内容或差的不得分；</w:t>
            </w:r>
          </w:p>
          <w:p w14:paraId="1C77284C">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本小项最高得</w:t>
            </w:r>
            <w:r>
              <w:rPr>
                <w:rFonts w:hint="default" w:ascii="宋体" w:hAnsi="宋体" w:eastAsia="宋体" w:cs="宋体"/>
                <w:b/>
                <w:bCs w:val="0"/>
                <w:color w:val="auto"/>
                <w:kern w:val="2"/>
                <w:sz w:val="21"/>
                <w:szCs w:val="21"/>
                <w:highlight w:val="none"/>
                <w:lang w:eastAsia="zh-CN" w:bidi="ar"/>
              </w:rPr>
              <w:t>3</w:t>
            </w:r>
            <w:r>
              <w:rPr>
                <w:rFonts w:hint="eastAsia" w:ascii="宋体" w:hAnsi="宋体" w:eastAsia="宋体" w:cs="宋体"/>
                <w:b/>
                <w:bCs w:val="0"/>
                <w:color w:val="auto"/>
                <w:kern w:val="2"/>
                <w:sz w:val="21"/>
                <w:szCs w:val="21"/>
                <w:highlight w:val="none"/>
                <w:lang w:val="en-US" w:eastAsia="zh-CN" w:bidi="ar"/>
              </w:rPr>
              <w:t>分。</w:t>
            </w:r>
          </w:p>
          <w:p w14:paraId="0330F377">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注：本项最高得</w:t>
            </w:r>
            <w:r>
              <w:rPr>
                <w:rFonts w:hint="default" w:ascii="宋体" w:hAnsi="宋体" w:eastAsia="宋体" w:cs="宋体"/>
                <w:b/>
                <w:bCs w:val="0"/>
                <w:color w:val="auto"/>
                <w:kern w:val="0"/>
                <w:sz w:val="21"/>
                <w:szCs w:val="21"/>
                <w:highlight w:val="none"/>
                <w:lang w:eastAsia="zh-CN" w:bidi="ar"/>
              </w:rPr>
              <w:t>8</w:t>
            </w:r>
            <w:r>
              <w:rPr>
                <w:rFonts w:hint="eastAsia" w:ascii="宋体" w:hAnsi="宋体" w:eastAsia="宋体" w:cs="宋体"/>
                <w:b/>
                <w:bCs w:val="0"/>
                <w:color w:val="auto"/>
                <w:kern w:val="0"/>
                <w:sz w:val="21"/>
                <w:szCs w:val="21"/>
                <w:highlight w:val="none"/>
                <w:lang w:val="en-US" w:eastAsia="zh-CN" w:bidi="ar"/>
              </w:rPr>
              <w:t>分。</w:t>
            </w:r>
          </w:p>
        </w:tc>
      </w:tr>
      <w:tr w14:paraId="7D8D83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76" w:hRule="atLeast"/>
          <w:jc w:val="center"/>
        </w:trPr>
        <w:tc>
          <w:tcPr>
            <w:tcW w:w="1008" w:type="dxa"/>
            <w:gridSpan w:val="2"/>
            <w:vMerge w:val="continue"/>
            <w:tcBorders>
              <w:top w:val="nil"/>
              <w:left w:val="single" w:color="auto" w:sz="4" w:space="0"/>
              <w:bottom w:val="nil"/>
              <w:right w:val="single" w:color="auto" w:sz="4" w:space="0"/>
            </w:tcBorders>
            <w:shd w:val="clear" w:color="auto" w:fill="auto"/>
            <w:vAlign w:val="center"/>
          </w:tcPr>
          <w:p w14:paraId="6E9350D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8" w:type="dxa"/>
            <w:vMerge w:val="continue"/>
            <w:tcBorders>
              <w:top w:val="nil"/>
              <w:left w:val="nil"/>
              <w:bottom w:val="nil"/>
              <w:right w:val="single" w:color="auto" w:sz="4" w:space="0"/>
            </w:tcBorders>
            <w:shd w:val="clear" w:color="auto" w:fill="auto"/>
            <w:vAlign w:val="center"/>
          </w:tcPr>
          <w:p w14:paraId="6C297DC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43" w:type="dxa"/>
            <w:tcBorders>
              <w:top w:val="single" w:color="auto" w:sz="4" w:space="0"/>
              <w:left w:val="nil"/>
              <w:bottom w:val="nil"/>
              <w:right w:val="nil"/>
            </w:tcBorders>
            <w:shd w:val="clear" w:color="auto" w:fill="auto"/>
            <w:vAlign w:val="center"/>
          </w:tcPr>
          <w:p w14:paraId="106C413D">
            <w:pPr>
              <w:keepNext w:val="0"/>
              <w:keepLines w:val="0"/>
              <w:widowControl w:val="0"/>
              <w:suppressLineNumbers w:val="0"/>
              <w:spacing w:before="0" w:beforeAutospacing="0" w:after="0" w:afterAutospacing="0" w:line="288" w:lineRule="auto"/>
              <w:ind w:left="0" w:right="0"/>
              <w:jc w:val="center"/>
              <w:rPr>
                <w:rFonts w:hint="default" w:ascii="宋体" w:hAnsi="宋体" w:eastAsia="宋体" w:cs="宋体"/>
                <w:color w:val="auto"/>
                <w:kern w:val="2"/>
                <w:sz w:val="21"/>
                <w:szCs w:val="21"/>
                <w:highlight w:val="none"/>
                <w:lang w:bidi="ar"/>
              </w:rPr>
            </w:pPr>
            <w:r>
              <w:rPr>
                <w:rFonts w:hint="eastAsia" w:ascii="宋体" w:hAnsi="宋体" w:eastAsia="宋体" w:cs="宋体"/>
                <w:b w:val="0"/>
                <w:color w:val="auto"/>
                <w:kern w:val="2"/>
                <w:sz w:val="21"/>
                <w:szCs w:val="21"/>
                <w:highlight w:val="none"/>
                <w:lang w:eastAsia="zh-CN" w:bidi="ar"/>
              </w:rPr>
              <w:t>实施</w:t>
            </w:r>
            <w:r>
              <w:rPr>
                <w:rFonts w:hint="eastAsia" w:ascii="宋体" w:hAnsi="宋体" w:eastAsia="宋体" w:cs="宋体"/>
                <w:b w:val="0"/>
                <w:color w:val="auto"/>
                <w:kern w:val="2"/>
                <w:sz w:val="21"/>
                <w:szCs w:val="21"/>
                <w:highlight w:val="none"/>
                <w:lang w:val="en-US" w:eastAsia="zh-CN" w:bidi="ar"/>
              </w:rPr>
              <w:t>工艺科学先进程度</w:t>
            </w:r>
          </w:p>
          <w:p w14:paraId="53AD11C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eastAsia="zh-CN" w:bidi="ar"/>
              </w:rPr>
              <w:t>8</w:t>
            </w:r>
            <w:r>
              <w:rPr>
                <w:rFonts w:hint="eastAsia" w:ascii="宋体" w:hAnsi="宋体" w:eastAsia="宋体" w:cs="宋体"/>
                <w:color w:val="auto"/>
                <w:kern w:val="0"/>
                <w:sz w:val="21"/>
                <w:szCs w:val="21"/>
                <w:highlight w:val="none"/>
                <w:lang w:val="en-US" w:eastAsia="zh-CN" w:bidi="ar"/>
              </w:rPr>
              <w:t>分）</w:t>
            </w:r>
          </w:p>
        </w:tc>
        <w:tc>
          <w:tcPr>
            <w:tcW w:w="5648" w:type="dxa"/>
            <w:tcBorders>
              <w:top w:val="single" w:color="auto" w:sz="4" w:space="0"/>
              <w:left w:val="single" w:color="auto" w:sz="4" w:space="0"/>
              <w:bottom w:val="single" w:color="auto" w:sz="4" w:space="0"/>
              <w:right w:val="single" w:color="auto" w:sz="4" w:space="0"/>
            </w:tcBorders>
            <w:shd w:val="clear" w:color="auto" w:fill="auto"/>
            <w:vAlign w:val="center"/>
          </w:tcPr>
          <w:p w14:paraId="3E011F37">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b/>
                <w:color w:val="auto"/>
                <w:kern w:val="0"/>
                <w:sz w:val="21"/>
                <w:szCs w:val="21"/>
                <w:highlight w:val="none"/>
                <w:lang w:val="en-US" w:eastAsia="zh-CN" w:bidi="ar"/>
              </w:rPr>
              <w:t>第十五届全运会广东奥林匹克体育中心升级改造项目</w:t>
            </w:r>
          </w:p>
          <w:p w14:paraId="622A1C81">
            <w:pPr>
              <w:keepNext w:val="0"/>
              <w:keepLines w:val="0"/>
              <w:widowControl w:val="0"/>
              <w:suppressLineNumbers w:val="0"/>
              <w:snapToGrid w:val="0"/>
              <w:spacing w:before="0" w:beforeAutospacing="0" w:after="0" w:afterAutospacing="0"/>
              <w:ind w:left="0" w:right="0"/>
              <w:contextualSpacing w:val="0"/>
              <w:jc w:val="left"/>
              <w:rPr>
                <w:rFonts w:hint="default" w:ascii="宋体" w:hAnsi="宋体" w:eastAsia="宋体" w:cs="宋体"/>
                <w:b w:val="0"/>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根据投标人对本项目各体育工艺</w:t>
            </w:r>
            <w:r>
              <w:rPr>
                <w:rFonts w:hint="eastAsia" w:ascii="宋体" w:hAnsi="宋体" w:eastAsia="宋体" w:cs="宋体"/>
                <w:color w:val="auto"/>
                <w:kern w:val="0"/>
                <w:sz w:val="21"/>
                <w:szCs w:val="21"/>
                <w:highlight w:val="none"/>
                <w:lang w:eastAsia="zh-CN" w:bidi="ar"/>
              </w:rPr>
              <w:t>实施</w:t>
            </w:r>
            <w:r>
              <w:rPr>
                <w:rFonts w:hint="eastAsia" w:ascii="宋体" w:hAnsi="宋体" w:eastAsia="宋体" w:cs="宋体"/>
                <w:color w:val="auto"/>
                <w:kern w:val="0"/>
                <w:sz w:val="21"/>
                <w:szCs w:val="21"/>
                <w:highlight w:val="none"/>
                <w:lang w:val="en-US" w:eastAsia="zh-CN" w:bidi="ar"/>
              </w:rPr>
              <w:t>技术方案的科学先进性进行评审</w:t>
            </w:r>
            <w:r>
              <w:rPr>
                <w:rFonts w:hint="eastAsia" w:ascii="宋体" w:hAnsi="宋体" w:eastAsia="宋体" w:cs="宋体"/>
                <w:b w:val="0"/>
                <w:color w:val="auto"/>
                <w:kern w:val="0"/>
                <w:sz w:val="21"/>
                <w:szCs w:val="21"/>
                <w:highlight w:val="none"/>
                <w:lang w:val="en-US" w:eastAsia="zh-CN" w:bidi="ar"/>
              </w:rPr>
              <w:t>：</w:t>
            </w:r>
          </w:p>
          <w:p w14:paraId="222ADDA8">
            <w:pPr>
              <w:keepNext w:val="0"/>
              <w:keepLines w:val="0"/>
              <w:widowControl w:val="0"/>
              <w:suppressLineNumbers w:val="0"/>
              <w:snapToGrid w:val="0"/>
              <w:spacing w:before="0" w:beforeAutospacing="0" w:after="0" w:afterAutospacing="0"/>
              <w:ind w:left="0" w:right="0"/>
              <w:contextualSpacing w:val="0"/>
              <w:jc w:val="left"/>
              <w:rPr>
                <w:rFonts w:hint="default" w:ascii="宋体" w:hAnsi="宋体" w:eastAsia="宋体" w:cs="宋体"/>
                <w:b w:val="0"/>
                <w:color w:val="auto"/>
                <w:kern w:val="0"/>
                <w:sz w:val="21"/>
                <w:szCs w:val="21"/>
                <w:highlight w:val="none"/>
                <w:lang w:bidi="ar"/>
              </w:rPr>
            </w:pPr>
            <w:r>
              <w:rPr>
                <w:rFonts w:hint="eastAsia" w:ascii="宋体" w:hAnsi="宋体" w:eastAsia="宋体" w:cs="宋体"/>
                <w:b w:val="0"/>
                <w:color w:val="auto"/>
                <w:kern w:val="0"/>
                <w:sz w:val="21"/>
                <w:szCs w:val="21"/>
                <w:highlight w:val="none"/>
                <w:lang w:val="en-US" w:eastAsia="zh-CN" w:bidi="ar"/>
              </w:rPr>
              <w:t>优：</w:t>
            </w:r>
            <w:r>
              <w:rPr>
                <w:rFonts w:hint="eastAsia" w:ascii="宋体" w:hAnsi="宋体" w:eastAsia="宋体" w:cs="宋体"/>
                <w:b w:val="0"/>
                <w:color w:val="auto"/>
                <w:kern w:val="0"/>
                <w:sz w:val="21"/>
                <w:szCs w:val="21"/>
                <w:highlight w:val="none"/>
                <w:lang w:eastAsia="zh-CN" w:bidi="ar"/>
              </w:rPr>
              <w:t>实施</w:t>
            </w:r>
            <w:r>
              <w:rPr>
                <w:rFonts w:hint="eastAsia" w:ascii="宋体" w:hAnsi="宋体" w:eastAsia="宋体" w:cs="宋体"/>
                <w:b w:val="0"/>
                <w:color w:val="auto"/>
                <w:kern w:val="2"/>
                <w:sz w:val="21"/>
                <w:szCs w:val="21"/>
                <w:highlight w:val="none"/>
                <w:lang w:val="en-US" w:eastAsia="zh-CN" w:bidi="ar"/>
              </w:rPr>
              <w:t>工艺</w:t>
            </w:r>
            <w:r>
              <w:rPr>
                <w:rFonts w:hint="eastAsia" w:ascii="宋体" w:hAnsi="宋体" w:eastAsia="宋体" w:cs="宋体"/>
                <w:color w:val="auto"/>
                <w:kern w:val="0"/>
                <w:sz w:val="21"/>
                <w:szCs w:val="21"/>
                <w:highlight w:val="none"/>
                <w:lang w:val="en-US" w:eastAsia="zh-CN" w:bidi="ar"/>
              </w:rPr>
              <w:t>技术方案</w:t>
            </w:r>
            <w:r>
              <w:rPr>
                <w:rFonts w:hint="eastAsia" w:ascii="宋体" w:hAnsi="宋体" w:eastAsia="宋体" w:cs="宋体"/>
                <w:color w:val="auto"/>
                <w:kern w:val="0"/>
                <w:sz w:val="21"/>
                <w:szCs w:val="21"/>
                <w:highlight w:val="none"/>
                <w:lang w:eastAsia="zh-CN" w:bidi="ar"/>
              </w:rPr>
              <w:t>科学先进、</w:t>
            </w:r>
            <w:r>
              <w:rPr>
                <w:rFonts w:hint="default" w:ascii="宋体" w:hAnsi="宋体" w:eastAsia="宋体" w:cs="宋体"/>
                <w:color w:val="auto"/>
                <w:kern w:val="0"/>
                <w:sz w:val="21"/>
                <w:szCs w:val="21"/>
                <w:highlight w:val="none"/>
                <w:lang w:eastAsia="zh-CN" w:bidi="ar"/>
              </w:rPr>
              <w:t>合理</w:t>
            </w:r>
            <w:r>
              <w:rPr>
                <w:rFonts w:hint="eastAsia" w:ascii="宋体" w:hAnsi="宋体" w:eastAsia="宋体" w:cs="宋体"/>
                <w:color w:val="auto"/>
                <w:kern w:val="0"/>
                <w:sz w:val="21"/>
                <w:szCs w:val="21"/>
                <w:highlight w:val="none"/>
                <w:lang w:eastAsia="zh-CN" w:bidi="ar"/>
              </w:rPr>
              <w:t>可行的，</w:t>
            </w:r>
            <w:r>
              <w:rPr>
                <w:rFonts w:hint="eastAsia" w:ascii="宋体" w:hAnsi="宋体" w:eastAsia="宋体" w:cs="宋体"/>
                <w:color w:val="auto"/>
                <w:kern w:val="0"/>
                <w:sz w:val="21"/>
                <w:szCs w:val="21"/>
                <w:highlight w:val="none"/>
                <w:lang w:val="en-US" w:eastAsia="zh-CN" w:bidi="ar"/>
              </w:rPr>
              <w:t>得</w:t>
            </w:r>
            <w:r>
              <w:rPr>
                <w:rFonts w:hint="eastAsia" w:ascii="宋体" w:hAnsi="宋体" w:eastAsia="宋体" w:cs="宋体"/>
                <w:color w:val="auto"/>
                <w:kern w:val="0"/>
                <w:sz w:val="21"/>
                <w:szCs w:val="21"/>
                <w:highlight w:val="none"/>
                <w:lang w:eastAsia="zh-CN" w:bidi="ar"/>
              </w:rPr>
              <w:t>5</w:t>
            </w:r>
            <w:r>
              <w:rPr>
                <w:rFonts w:hint="eastAsia" w:ascii="宋体" w:hAnsi="宋体" w:eastAsia="宋体" w:cs="宋体"/>
                <w:color w:val="auto"/>
                <w:kern w:val="0"/>
                <w:sz w:val="21"/>
                <w:szCs w:val="21"/>
                <w:highlight w:val="none"/>
                <w:lang w:val="en-US" w:eastAsia="zh-CN" w:bidi="ar"/>
              </w:rPr>
              <w:t>分</w:t>
            </w:r>
            <w:r>
              <w:rPr>
                <w:rFonts w:hint="eastAsia" w:ascii="宋体" w:hAnsi="宋体" w:eastAsia="宋体" w:cs="宋体"/>
                <w:b w:val="0"/>
                <w:color w:val="auto"/>
                <w:kern w:val="0"/>
                <w:sz w:val="21"/>
                <w:szCs w:val="21"/>
                <w:highlight w:val="none"/>
                <w:lang w:val="en-US" w:eastAsia="zh-CN" w:bidi="ar"/>
              </w:rPr>
              <w:t>；</w:t>
            </w:r>
          </w:p>
          <w:p w14:paraId="29CBC914">
            <w:pPr>
              <w:keepNext w:val="0"/>
              <w:keepLines w:val="0"/>
              <w:widowControl w:val="0"/>
              <w:suppressLineNumbers w:val="0"/>
              <w:snapToGrid w:val="0"/>
              <w:spacing w:before="0" w:beforeAutospacing="0" w:after="0" w:afterAutospacing="0"/>
              <w:ind w:left="0" w:right="0"/>
              <w:contextualSpacing w:val="0"/>
              <w:jc w:val="left"/>
              <w:rPr>
                <w:rFonts w:hint="default" w:ascii="宋体" w:hAnsi="宋体" w:eastAsia="宋体" w:cs="宋体"/>
                <w:b w:val="0"/>
                <w:color w:val="auto"/>
                <w:kern w:val="0"/>
                <w:sz w:val="21"/>
                <w:szCs w:val="21"/>
                <w:highlight w:val="none"/>
                <w:lang w:bidi="ar"/>
              </w:rPr>
            </w:pPr>
            <w:r>
              <w:rPr>
                <w:rFonts w:hint="eastAsia" w:ascii="宋体" w:hAnsi="宋体" w:eastAsia="宋体" w:cs="宋体"/>
                <w:b w:val="0"/>
                <w:color w:val="auto"/>
                <w:kern w:val="0"/>
                <w:sz w:val="21"/>
                <w:szCs w:val="21"/>
                <w:highlight w:val="none"/>
                <w:lang w:val="en-US" w:eastAsia="zh-CN" w:bidi="ar"/>
              </w:rPr>
              <w:t>良：</w:t>
            </w:r>
            <w:r>
              <w:rPr>
                <w:rFonts w:hint="eastAsia" w:ascii="宋体" w:hAnsi="宋体" w:eastAsia="宋体" w:cs="宋体"/>
                <w:b w:val="0"/>
                <w:color w:val="auto"/>
                <w:kern w:val="0"/>
                <w:sz w:val="21"/>
                <w:szCs w:val="21"/>
                <w:highlight w:val="none"/>
                <w:lang w:eastAsia="zh-CN" w:bidi="ar"/>
              </w:rPr>
              <w:t>实施</w:t>
            </w:r>
            <w:r>
              <w:rPr>
                <w:rFonts w:hint="eastAsia" w:ascii="宋体" w:hAnsi="宋体" w:eastAsia="宋体" w:cs="宋体"/>
                <w:b w:val="0"/>
                <w:color w:val="auto"/>
                <w:kern w:val="2"/>
                <w:sz w:val="21"/>
                <w:szCs w:val="21"/>
                <w:highlight w:val="none"/>
                <w:lang w:val="en-US" w:eastAsia="zh-CN" w:bidi="ar"/>
              </w:rPr>
              <w:t>工艺</w:t>
            </w:r>
            <w:r>
              <w:rPr>
                <w:rFonts w:hint="eastAsia" w:ascii="宋体" w:hAnsi="宋体" w:eastAsia="宋体" w:cs="宋体"/>
                <w:color w:val="auto"/>
                <w:kern w:val="0"/>
                <w:sz w:val="21"/>
                <w:szCs w:val="21"/>
                <w:highlight w:val="none"/>
                <w:lang w:val="en-US" w:eastAsia="zh-CN" w:bidi="ar"/>
              </w:rPr>
              <w:t>技术方案</w:t>
            </w:r>
            <w:r>
              <w:rPr>
                <w:rFonts w:hint="eastAsia" w:ascii="宋体" w:hAnsi="宋体" w:eastAsia="宋体" w:cs="宋体"/>
                <w:color w:val="auto"/>
                <w:kern w:val="0"/>
                <w:sz w:val="21"/>
                <w:szCs w:val="21"/>
                <w:highlight w:val="none"/>
                <w:lang w:eastAsia="zh-CN" w:bidi="ar"/>
              </w:rPr>
              <w:t>较科学先进、较</w:t>
            </w:r>
            <w:r>
              <w:rPr>
                <w:rFonts w:hint="default" w:ascii="宋体" w:hAnsi="宋体" w:eastAsia="宋体" w:cs="宋体"/>
                <w:color w:val="auto"/>
                <w:kern w:val="0"/>
                <w:sz w:val="21"/>
                <w:szCs w:val="21"/>
                <w:highlight w:val="none"/>
                <w:lang w:eastAsia="zh-CN" w:bidi="ar"/>
              </w:rPr>
              <w:t>合理</w:t>
            </w:r>
            <w:r>
              <w:rPr>
                <w:rFonts w:hint="eastAsia" w:ascii="宋体" w:hAnsi="宋体" w:eastAsia="宋体" w:cs="宋体"/>
                <w:color w:val="auto"/>
                <w:kern w:val="0"/>
                <w:sz w:val="21"/>
                <w:szCs w:val="21"/>
                <w:highlight w:val="none"/>
                <w:lang w:eastAsia="zh-CN" w:bidi="ar"/>
              </w:rPr>
              <w:t>可行的</w:t>
            </w:r>
            <w:r>
              <w:rPr>
                <w:rFonts w:hint="eastAsia" w:ascii="宋体" w:hAnsi="宋体" w:eastAsia="宋体" w:cs="宋体"/>
                <w:color w:val="auto"/>
                <w:kern w:val="0"/>
                <w:sz w:val="21"/>
                <w:szCs w:val="21"/>
                <w:highlight w:val="none"/>
                <w:lang w:val="en-US" w:eastAsia="zh-CN" w:bidi="ar"/>
              </w:rPr>
              <w:t>，得</w:t>
            </w:r>
            <w:r>
              <w:rPr>
                <w:rFonts w:hint="eastAsia" w:ascii="宋体" w:hAnsi="宋体" w:eastAsia="宋体" w:cs="宋体"/>
                <w:color w:val="auto"/>
                <w:kern w:val="0"/>
                <w:sz w:val="21"/>
                <w:szCs w:val="21"/>
                <w:highlight w:val="none"/>
                <w:lang w:eastAsia="zh-CN" w:bidi="ar"/>
              </w:rPr>
              <w:t>3</w:t>
            </w:r>
            <w:r>
              <w:rPr>
                <w:rFonts w:hint="eastAsia" w:ascii="宋体" w:hAnsi="宋体" w:eastAsia="宋体" w:cs="宋体"/>
                <w:color w:val="auto"/>
                <w:kern w:val="0"/>
                <w:sz w:val="21"/>
                <w:szCs w:val="21"/>
                <w:highlight w:val="none"/>
                <w:lang w:val="en-US" w:eastAsia="zh-CN" w:bidi="ar"/>
              </w:rPr>
              <w:t>分</w:t>
            </w:r>
            <w:r>
              <w:rPr>
                <w:rFonts w:hint="eastAsia" w:ascii="宋体" w:hAnsi="宋体" w:eastAsia="宋体" w:cs="宋体"/>
                <w:b w:val="0"/>
                <w:color w:val="auto"/>
                <w:kern w:val="0"/>
                <w:sz w:val="21"/>
                <w:szCs w:val="21"/>
                <w:highlight w:val="none"/>
                <w:lang w:val="en-US" w:eastAsia="zh-CN" w:bidi="ar"/>
              </w:rPr>
              <w:t>；</w:t>
            </w:r>
          </w:p>
          <w:p w14:paraId="4F9F0AE5">
            <w:pPr>
              <w:keepNext w:val="0"/>
              <w:keepLines w:val="0"/>
              <w:widowControl w:val="0"/>
              <w:suppressLineNumbers w:val="0"/>
              <w:snapToGrid w:val="0"/>
              <w:spacing w:before="0" w:beforeAutospacing="0" w:after="0" w:afterAutospacing="0"/>
              <w:ind w:left="0" w:right="0"/>
              <w:contextualSpacing w:val="0"/>
              <w:jc w:val="left"/>
              <w:rPr>
                <w:rFonts w:hint="default" w:ascii="宋体" w:hAnsi="宋体" w:eastAsia="宋体" w:cs="宋体"/>
                <w:b w:val="0"/>
                <w:color w:val="auto"/>
                <w:kern w:val="0"/>
                <w:sz w:val="21"/>
                <w:szCs w:val="21"/>
                <w:highlight w:val="none"/>
                <w:lang w:bidi="ar"/>
              </w:rPr>
            </w:pPr>
            <w:r>
              <w:rPr>
                <w:rFonts w:hint="eastAsia" w:ascii="宋体" w:hAnsi="宋体" w:eastAsia="宋体" w:cs="宋体"/>
                <w:b w:val="0"/>
                <w:color w:val="auto"/>
                <w:kern w:val="0"/>
                <w:sz w:val="21"/>
                <w:szCs w:val="21"/>
                <w:highlight w:val="none"/>
                <w:lang w:val="en-US" w:eastAsia="zh-CN" w:bidi="ar"/>
              </w:rPr>
              <w:t>中：</w:t>
            </w:r>
            <w:r>
              <w:rPr>
                <w:rFonts w:hint="eastAsia" w:ascii="宋体" w:hAnsi="宋体" w:eastAsia="宋体" w:cs="宋体"/>
                <w:b w:val="0"/>
                <w:color w:val="auto"/>
                <w:kern w:val="0"/>
                <w:sz w:val="21"/>
                <w:szCs w:val="21"/>
                <w:highlight w:val="none"/>
                <w:lang w:eastAsia="zh-CN" w:bidi="ar"/>
              </w:rPr>
              <w:t>实施</w:t>
            </w:r>
            <w:r>
              <w:rPr>
                <w:rFonts w:hint="eastAsia" w:ascii="宋体" w:hAnsi="宋体" w:eastAsia="宋体" w:cs="宋体"/>
                <w:b w:val="0"/>
                <w:color w:val="auto"/>
                <w:kern w:val="2"/>
                <w:sz w:val="21"/>
                <w:szCs w:val="21"/>
                <w:highlight w:val="none"/>
                <w:lang w:val="en-US" w:eastAsia="zh-CN" w:bidi="ar"/>
              </w:rPr>
              <w:t>工艺</w:t>
            </w:r>
            <w:r>
              <w:rPr>
                <w:rFonts w:hint="eastAsia" w:ascii="宋体" w:hAnsi="宋体" w:eastAsia="宋体" w:cs="宋体"/>
                <w:color w:val="auto"/>
                <w:kern w:val="0"/>
                <w:sz w:val="21"/>
                <w:szCs w:val="21"/>
                <w:highlight w:val="none"/>
                <w:lang w:val="en-US" w:eastAsia="zh-CN" w:bidi="ar"/>
              </w:rPr>
              <w:t>技术方案</w:t>
            </w:r>
            <w:r>
              <w:rPr>
                <w:rFonts w:hint="eastAsia" w:ascii="宋体" w:hAnsi="宋体" w:eastAsia="宋体" w:cs="宋体"/>
                <w:color w:val="auto"/>
                <w:kern w:val="0"/>
                <w:sz w:val="21"/>
                <w:szCs w:val="21"/>
                <w:highlight w:val="none"/>
                <w:lang w:eastAsia="zh-CN" w:bidi="ar"/>
              </w:rPr>
              <w:t>一般、基本</w:t>
            </w:r>
            <w:r>
              <w:rPr>
                <w:rFonts w:hint="default" w:ascii="宋体" w:hAnsi="宋体" w:eastAsia="宋体" w:cs="宋体"/>
                <w:color w:val="auto"/>
                <w:kern w:val="0"/>
                <w:sz w:val="21"/>
                <w:szCs w:val="21"/>
                <w:highlight w:val="none"/>
                <w:lang w:eastAsia="zh-CN" w:bidi="ar"/>
              </w:rPr>
              <w:t>合理</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b w:val="0"/>
                <w:color w:val="auto"/>
                <w:kern w:val="0"/>
                <w:sz w:val="21"/>
                <w:szCs w:val="21"/>
                <w:highlight w:val="none"/>
                <w:lang w:val="en-US" w:eastAsia="zh-CN" w:bidi="ar"/>
              </w:rPr>
              <w:t>得1分；</w:t>
            </w:r>
          </w:p>
          <w:p w14:paraId="4A6EB625">
            <w:pPr>
              <w:keepNext w:val="0"/>
              <w:keepLines w:val="0"/>
              <w:widowControl w:val="0"/>
              <w:suppressLineNumbers w:val="0"/>
              <w:snapToGrid w:val="0"/>
              <w:spacing w:before="0" w:beforeAutospacing="0" w:after="0" w:afterAutospacing="0"/>
              <w:ind w:left="0" w:right="0"/>
              <w:contextualSpacing w:val="0"/>
              <w:jc w:val="left"/>
              <w:rPr>
                <w:rFonts w:hint="default"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差：无提供相应评审内容或差的不得分；</w:t>
            </w:r>
          </w:p>
          <w:p w14:paraId="497B82EF">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本小项最高得5分。</w:t>
            </w:r>
          </w:p>
          <w:p w14:paraId="17F0A1BD">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b/>
                <w:color w:val="auto"/>
                <w:kern w:val="0"/>
                <w:sz w:val="21"/>
                <w:szCs w:val="21"/>
                <w:highlight w:val="none"/>
                <w:lang w:val="en-US" w:eastAsia="zh-CN" w:bidi="ar"/>
              </w:rPr>
              <w:t>第十五届全运会广东省人民体育场改造项目</w:t>
            </w:r>
          </w:p>
          <w:p w14:paraId="2F8362A1">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b w:val="0"/>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根据投标人对本项目各体育工艺实施技术方案的科学先进性进行评审</w:t>
            </w:r>
            <w:r>
              <w:rPr>
                <w:rFonts w:hint="eastAsia" w:ascii="宋体" w:hAnsi="宋体" w:eastAsia="宋体" w:cs="宋体"/>
                <w:b w:val="0"/>
                <w:color w:val="auto"/>
                <w:kern w:val="0"/>
                <w:sz w:val="21"/>
                <w:szCs w:val="21"/>
                <w:highlight w:val="none"/>
                <w:lang w:val="en-US" w:eastAsia="zh-CN" w:bidi="ar"/>
              </w:rPr>
              <w:t>：</w:t>
            </w:r>
          </w:p>
          <w:p w14:paraId="6236E074">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b w:val="0"/>
                <w:color w:val="auto"/>
                <w:kern w:val="0"/>
                <w:sz w:val="21"/>
                <w:szCs w:val="21"/>
                <w:highlight w:val="none"/>
                <w:lang w:bidi="ar"/>
              </w:rPr>
            </w:pPr>
            <w:r>
              <w:rPr>
                <w:rFonts w:hint="eastAsia" w:ascii="宋体" w:hAnsi="宋体" w:eastAsia="宋体" w:cs="宋体"/>
                <w:b w:val="0"/>
                <w:color w:val="auto"/>
                <w:kern w:val="0"/>
                <w:sz w:val="21"/>
                <w:szCs w:val="21"/>
                <w:highlight w:val="none"/>
                <w:lang w:val="en-US" w:eastAsia="zh-CN" w:bidi="ar"/>
              </w:rPr>
              <w:t>优：实施</w:t>
            </w:r>
            <w:r>
              <w:rPr>
                <w:rFonts w:hint="eastAsia" w:ascii="宋体" w:hAnsi="宋体" w:eastAsia="宋体" w:cs="宋体"/>
                <w:b w:val="0"/>
                <w:color w:val="auto"/>
                <w:kern w:val="2"/>
                <w:sz w:val="21"/>
                <w:szCs w:val="21"/>
                <w:highlight w:val="none"/>
                <w:lang w:val="en-US" w:eastAsia="zh-CN" w:bidi="ar"/>
              </w:rPr>
              <w:t>工艺</w:t>
            </w:r>
            <w:r>
              <w:rPr>
                <w:rFonts w:hint="eastAsia" w:ascii="宋体" w:hAnsi="宋体" w:eastAsia="宋体" w:cs="宋体"/>
                <w:color w:val="auto"/>
                <w:kern w:val="0"/>
                <w:sz w:val="21"/>
                <w:szCs w:val="21"/>
                <w:highlight w:val="none"/>
                <w:lang w:val="en-US" w:eastAsia="zh-CN" w:bidi="ar"/>
              </w:rPr>
              <w:t>技术方案科学先进、</w:t>
            </w:r>
            <w:r>
              <w:rPr>
                <w:rFonts w:hint="default" w:ascii="宋体" w:hAnsi="宋体" w:eastAsia="宋体" w:cs="宋体"/>
                <w:color w:val="auto"/>
                <w:kern w:val="0"/>
                <w:sz w:val="21"/>
                <w:szCs w:val="21"/>
                <w:highlight w:val="none"/>
                <w:lang w:eastAsia="zh-CN" w:bidi="ar"/>
              </w:rPr>
              <w:t>合理</w:t>
            </w:r>
            <w:r>
              <w:rPr>
                <w:rFonts w:hint="eastAsia" w:ascii="宋体" w:hAnsi="宋体" w:eastAsia="宋体" w:cs="宋体"/>
                <w:color w:val="auto"/>
                <w:kern w:val="0"/>
                <w:sz w:val="21"/>
                <w:szCs w:val="21"/>
                <w:highlight w:val="none"/>
                <w:lang w:val="en-US" w:eastAsia="zh-CN" w:bidi="ar"/>
              </w:rPr>
              <w:t>可行的，得</w:t>
            </w:r>
            <w:r>
              <w:rPr>
                <w:rFonts w:hint="default" w:ascii="宋体" w:hAnsi="宋体" w:eastAsia="宋体" w:cs="宋体"/>
                <w:color w:val="auto"/>
                <w:kern w:val="0"/>
                <w:sz w:val="21"/>
                <w:szCs w:val="21"/>
                <w:highlight w:val="none"/>
                <w:lang w:eastAsia="zh-CN" w:bidi="ar"/>
              </w:rPr>
              <w:t>3</w:t>
            </w:r>
            <w:r>
              <w:rPr>
                <w:rFonts w:hint="eastAsia" w:ascii="宋体" w:hAnsi="宋体" w:eastAsia="宋体" w:cs="宋体"/>
                <w:color w:val="auto"/>
                <w:kern w:val="0"/>
                <w:sz w:val="21"/>
                <w:szCs w:val="21"/>
                <w:highlight w:val="none"/>
                <w:lang w:val="en-US" w:eastAsia="zh-CN" w:bidi="ar"/>
              </w:rPr>
              <w:t>分</w:t>
            </w:r>
            <w:r>
              <w:rPr>
                <w:rFonts w:hint="eastAsia" w:ascii="宋体" w:hAnsi="宋体" w:eastAsia="宋体" w:cs="宋体"/>
                <w:b w:val="0"/>
                <w:color w:val="auto"/>
                <w:kern w:val="0"/>
                <w:sz w:val="21"/>
                <w:szCs w:val="21"/>
                <w:highlight w:val="none"/>
                <w:lang w:val="en-US" w:eastAsia="zh-CN" w:bidi="ar"/>
              </w:rPr>
              <w:t>；</w:t>
            </w:r>
          </w:p>
          <w:p w14:paraId="4B15B709">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b w:val="0"/>
                <w:color w:val="auto"/>
                <w:kern w:val="0"/>
                <w:sz w:val="21"/>
                <w:szCs w:val="21"/>
                <w:highlight w:val="none"/>
                <w:lang w:bidi="ar"/>
              </w:rPr>
            </w:pPr>
            <w:r>
              <w:rPr>
                <w:rFonts w:hint="eastAsia" w:ascii="宋体" w:hAnsi="宋体" w:eastAsia="宋体" w:cs="宋体"/>
                <w:b w:val="0"/>
                <w:color w:val="auto"/>
                <w:kern w:val="0"/>
                <w:sz w:val="21"/>
                <w:szCs w:val="21"/>
                <w:highlight w:val="none"/>
                <w:lang w:val="en-US" w:eastAsia="zh-CN" w:bidi="ar"/>
              </w:rPr>
              <w:t>良：</w:t>
            </w:r>
            <w:r>
              <w:rPr>
                <w:rFonts w:hint="eastAsia" w:ascii="宋体" w:hAnsi="宋体" w:eastAsia="宋体" w:cs="宋体"/>
                <w:b w:val="0"/>
                <w:color w:val="auto"/>
                <w:kern w:val="0"/>
                <w:sz w:val="21"/>
                <w:szCs w:val="21"/>
                <w:highlight w:val="none"/>
                <w:lang w:eastAsia="zh-CN" w:bidi="ar"/>
              </w:rPr>
              <w:t>实施</w:t>
            </w:r>
            <w:r>
              <w:rPr>
                <w:rFonts w:hint="eastAsia" w:ascii="宋体" w:hAnsi="宋体" w:eastAsia="宋体" w:cs="宋体"/>
                <w:b w:val="0"/>
                <w:color w:val="auto"/>
                <w:kern w:val="2"/>
                <w:sz w:val="21"/>
                <w:szCs w:val="21"/>
                <w:highlight w:val="none"/>
                <w:lang w:val="en-US" w:eastAsia="zh-CN" w:bidi="ar"/>
              </w:rPr>
              <w:t>工艺</w:t>
            </w:r>
            <w:r>
              <w:rPr>
                <w:rFonts w:hint="eastAsia" w:ascii="宋体" w:hAnsi="宋体" w:eastAsia="宋体" w:cs="宋体"/>
                <w:color w:val="auto"/>
                <w:kern w:val="0"/>
                <w:sz w:val="21"/>
                <w:szCs w:val="21"/>
                <w:highlight w:val="none"/>
                <w:lang w:val="en-US" w:eastAsia="zh-CN" w:bidi="ar"/>
              </w:rPr>
              <w:t>技术方案较</w:t>
            </w:r>
            <w:r>
              <w:rPr>
                <w:rFonts w:hint="eastAsia" w:ascii="宋体" w:hAnsi="宋体" w:eastAsia="宋体" w:cs="宋体"/>
                <w:color w:val="auto"/>
                <w:kern w:val="0"/>
                <w:sz w:val="21"/>
                <w:szCs w:val="21"/>
                <w:highlight w:val="none"/>
                <w:lang w:eastAsia="zh-CN" w:bidi="ar"/>
              </w:rPr>
              <w:t>科学先进、较</w:t>
            </w:r>
            <w:r>
              <w:rPr>
                <w:rFonts w:hint="default" w:ascii="宋体" w:hAnsi="宋体" w:eastAsia="宋体" w:cs="宋体"/>
                <w:color w:val="auto"/>
                <w:kern w:val="0"/>
                <w:sz w:val="21"/>
                <w:szCs w:val="21"/>
                <w:highlight w:val="none"/>
                <w:lang w:eastAsia="zh-CN" w:bidi="ar"/>
              </w:rPr>
              <w:t>合理</w:t>
            </w:r>
            <w:r>
              <w:rPr>
                <w:rFonts w:hint="eastAsia" w:ascii="宋体" w:hAnsi="宋体" w:eastAsia="宋体" w:cs="宋体"/>
                <w:color w:val="auto"/>
                <w:kern w:val="0"/>
                <w:sz w:val="21"/>
                <w:szCs w:val="21"/>
                <w:highlight w:val="none"/>
                <w:lang w:eastAsia="zh-CN" w:bidi="ar"/>
              </w:rPr>
              <w:t>可行的</w:t>
            </w:r>
            <w:r>
              <w:rPr>
                <w:rFonts w:hint="eastAsia" w:ascii="宋体" w:hAnsi="宋体" w:eastAsia="宋体" w:cs="宋体"/>
                <w:color w:val="auto"/>
                <w:kern w:val="0"/>
                <w:sz w:val="21"/>
                <w:szCs w:val="21"/>
                <w:highlight w:val="none"/>
                <w:lang w:val="en-US" w:eastAsia="zh-CN" w:bidi="ar"/>
              </w:rPr>
              <w:t>，得</w:t>
            </w:r>
            <w:r>
              <w:rPr>
                <w:rFonts w:hint="default" w:ascii="宋体" w:hAnsi="宋体" w:eastAsia="宋体" w:cs="宋体"/>
                <w:color w:val="auto"/>
                <w:kern w:val="0"/>
                <w:sz w:val="21"/>
                <w:szCs w:val="21"/>
                <w:highlight w:val="none"/>
                <w:lang w:eastAsia="zh-CN" w:bidi="ar"/>
              </w:rPr>
              <w:t>1.5</w:t>
            </w:r>
            <w:r>
              <w:rPr>
                <w:rFonts w:hint="eastAsia" w:ascii="宋体" w:hAnsi="宋体" w:eastAsia="宋体" w:cs="宋体"/>
                <w:color w:val="auto"/>
                <w:kern w:val="0"/>
                <w:sz w:val="21"/>
                <w:szCs w:val="21"/>
                <w:highlight w:val="none"/>
                <w:lang w:val="en-US" w:eastAsia="zh-CN" w:bidi="ar"/>
              </w:rPr>
              <w:t>分</w:t>
            </w:r>
            <w:r>
              <w:rPr>
                <w:rFonts w:hint="eastAsia" w:ascii="宋体" w:hAnsi="宋体" w:eastAsia="宋体" w:cs="宋体"/>
                <w:b w:val="0"/>
                <w:color w:val="auto"/>
                <w:kern w:val="0"/>
                <w:sz w:val="21"/>
                <w:szCs w:val="21"/>
                <w:highlight w:val="none"/>
                <w:lang w:val="en-US" w:eastAsia="zh-CN" w:bidi="ar"/>
              </w:rPr>
              <w:t>；</w:t>
            </w:r>
          </w:p>
          <w:p w14:paraId="1189CFC4">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b w:val="0"/>
                <w:color w:val="auto"/>
                <w:kern w:val="0"/>
                <w:sz w:val="21"/>
                <w:szCs w:val="21"/>
                <w:highlight w:val="none"/>
                <w:lang w:bidi="ar"/>
              </w:rPr>
            </w:pPr>
            <w:r>
              <w:rPr>
                <w:rFonts w:hint="eastAsia" w:ascii="宋体" w:hAnsi="宋体" w:eastAsia="宋体" w:cs="宋体"/>
                <w:b w:val="0"/>
                <w:color w:val="auto"/>
                <w:kern w:val="0"/>
                <w:sz w:val="21"/>
                <w:szCs w:val="21"/>
                <w:highlight w:val="none"/>
                <w:lang w:val="en-US" w:eastAsia="zh-CN" w:bidi="ar"/>
              </w:rPr>
              <w:t>中：</w:t>
            </w:r>
            <w:r>
              <w:rPr>
                <w:rFonts w:hint="eastAsia" w:ascii="宋体" w:hAnsi="宋体" w:eastAsia="宋体" w:cs="宋体"/>
                <w:b w:val="0"/>
                <w:color w:val="auto"/>
                <w:kern w:val="0"/>
                <w:sz w:val="21"/>
                <w:szCs w:val="21"/>
                <w:highlight w:val="none"/>
                <w:lang w:eastAsia="zh-CN" w:bidi="ar"/>
              </w:rPr>
              <w:t>实施</w:t>
            </w:r>
            <w:r>
              <w:rPr>
                <w:rFonts w:hint="eastAsia" w:ascii="宋体" w:hAnsi="宋体" w:eastAsia="宋体" w:cs="宋体"/>
                <w:b w:val="0"/>
                <w:color w:val="auto"/>
                <w:kern w:val="2"/>
                <w:sz w:val="21"/>
                <w:szCs w:val="21"/>
                <w:highlight w:val="none"/>
                <w:lang w:val="en-US" w:eastAsia="zh-CN" w:bidi="ar"/>
              </w:rPr>
              <w:t>工艺</w:t>
            </w:r>
            <w:r>
              <w:rPr>
                <w:rFonts w:hint="eastAsia" w:ascii="宋体" w:hAnsi="宋体" w:eastAsia="宋体" w:cs="宋体"/>
                <w:color w:val="auto"/>
                <w:kern w:val="0"/>
                <w:sz w:val="21"/>
                <w:szCs w:val="21"/>
                <w:highlight w:val="none"/>
                <w:lang w:val="en-US" w:eastAsia="zh-CN" w:bidi="ar"/>
              </w:rPr>
              <w:t>技术方案一般</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基本</w:t>
            </w:r>
            <w:r>
              <w:rPr>
                <w:rFonts w:hint="default" w:ascii="宋体" w:hAnsi="宋体" w:eastAsia="宋体" w:cs="宋体"/>
                <w:color w:val="auto"/>
                <w:kern w:val="0"/>
                <w:sz w:val="21"/>
                <w:szCs w:val="21"/>
                <w:highlight w:val="none"/>
                <w:lang w:eastAsia="zh-CN" w:bidi="ar"/>
              </w:rPr>
              <w:t>合理</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b w:val="0"/>
                <w:color w:val="auto"/>
                <w:kern w:val="0"/>
                <w:sz w:val="21"/>
                <w:szCs w:val="21"/>
                <w:highlight w:val="none"/>
                <w:lang w:val="en-US" w:eastAsia="zh-CN" w:bidi="ar"/>
              </w:rPr>
              <w:t>得</w:t>
            </w:r>
            <w:r>
              <w:rPr>
                <w:rFonts w:hint="default" w:ascii="宋体" w:hAnsi="宋体" w:eastAsia="宋体" w:cs="宋体"/>
                <w:b w:val="0"/>
                <w:color w:val="auto"/>
                <w:kern w:val="0"/>
                <w:sz w:val="21"/>
                <w:szCs w:val="21"/>
                <w:highlight w:val="none"/>
                <w:lang w:eastAsia="zh-CN" w:bidi="ar"/>
              </w:rPr>
              <w:t>0.5</w:t>
            </w:r>
            <w:r>
              <w:rPr>
                <w:rFonts w:hint="eastAsia" w:ascii="宋体" w:hAnsi="宋体" w:eastAsia="宋体" w:cs="宋体"/>
                <w:b w:val="0"/>
                <w:color w:val="auto"/>
                <w:kern w:val="0"/>
                <w:sz w:val="21"/>
                <w:szCs w:val="21"/>
                <w:highlight w:val="none"/>
                <w:lang w:val="en-US" w:eastAsia="zh-CN" w:bidi="ar"/>
              </w:rPr>
              <w:t>分；</w:t>
            </w:r>
          </w:p>
          <w:p w14:paraId="4B3F6945">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差：无提供相应评审内容或差的不得分；</w:t>
            </w:r>
          </w:p>
          <w:p w14:paraId="51BFD2A1">
            <w:pPr>
              <w:keepNext w:val="0"/>
              <w:keepLines w:val="0"/>
              <w:widowControl w:val="0"/>
              <w:suppressLineNumbers w:val="0"/>
              <w:adjustRightInd w:val="0"/>
              <w:snapToGrid w:val="0"/>
              <w:spacing w:before="0" w:beforeAutospacing="0" w:after="0" w:afterAutospacing="0"/>
              <w:ind w:left="0" w:right="0"/>
              <w:contextualSpacing w:val="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本小项最高得</w:t>
            </w:r>
            <w:r>
              <w:rPr>
                <w:rFonts w:hint="default" w:ascii="宋体" w:hAnsi="宋体" w:eastAsia="宋体" w:cs="宋体"/>
                <w:b/>
                <w:bCs w:val="0"/>
                <w:color w:val="auto"/>
                <w:kern w:val="2"/>
                <w:sz w:val="21"/>
                <w:szCs w:val="21"/>
                <w:highlight w:val="none"/>
                <w:lang w:eastAsia="zh-CN" w:bidi="ar"/>
              </w:rPr>
              <w:t>3</w:t>
            </w:r>
            <w:r>
              <w:rPr>
                <w:rFonts w:hint="eastAsia" w:ascii="宋体" w:hAnsi="宋体" w:eastAsia="宋体" w:cs="宋体"/>
                <w:b/>
                <w:bCs w:val="0"/>
                <w:color w:val="auto"/>
                <w:kern w:val="2"/>
                <w:sz w:val="21"/>
                <w:szCs w:val="21"/>
                <w:highlight w:val="none"/>
                <w:lang w:val="en-US" w:eastAsia="zh-CN" w:bidi="ar"/>
              </w:rPr>
              <w:t>分。</w:t>
            </w:r>
          </w:p>
          <w:p w14:paraId="50D6B466">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注：本项最高得</w:t>
            </w:r>
            <w:r>
              <w:rPr>
                <w:rFonts w:hint="default" w:ascii="宋体" w:hAnsi="宋体" w:eastAsia="宋体" w:cs="宋体"/>
                <w:b/>
                <w:bCs w:val="0"/>
                <w:color w:val="auto"/>
                <w:kern w:val="0"/>
                <w:sz w:val="21"/>
                <w:szCs w:val="21"/>
                <w:highlight w:val="none"/>
                <w:lang w:eastAsia="zh-CN" w:bidi="ar"/>
              </w:rPr>
              <w:t>8</w:t>
            </w:r>
            <w:r>
              <w:rPr>
                <w:rFonts w:hint="eastAsia" w:ascii="宋体" w:hAnsi="宋体" w:eastAsia="宋体" w:cs="宋体"/>
                <w:b/>
                <w:bCs w:val="0"/>
                <w:color w:val="auto"/>
                <w:kern w:val="0"/>
                <w:sz w:val="21"/>
                <w:szCs w:val="21"/>
                <w:highlight w:val="none"/>
                <w:lang w:val="en-US" w:eastAsia="zh-CN" w:bidi="ar"/>
              </w:rPr>
              <w:t>分。</w:t>
            </w:r>
          </w:p>
        </w:tc>
      </w:tr>
      <w:tr w14:paraId="11733A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178" w:hRule="atLeast"/>
          <w:jc w:val="center"/>
        </w:trPr>
        <w:tc>
          <w:tcPr>
            <w:tcW w:w="1008" w:type="dxa"/>
            <w:gridSpan w:val="2"/>
            <w:vMerge w:val="continue"/>
            <w:tcBorders>
              <w:top w:val="nil"/>
              <w:left w:val="single" w:color="auto" w:sz="4" w:space="0"/>
              <w:bottom w:val="nil"/>
              <w:right w:val="single" w:color="auto" w:sz="4" w:space="0"/>
            </w:tcBorders>
            <w:shd w:val="clear" w:color="auto" w:fill="auto"/>
            <w:vAlign w:val="center"/>
          </w:tcPr>
          <w:p w14:paraId="173C4BB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8" w:type="dxa"/>
            <w:vMerge w:val="continue"/>
            <w:tcBorders>
              <w:top w:val="nil"/>
              <w:left w:val="nil"/>
              <w:bottom w:val="nil"/>
              <w:right w:val="single" w:color="auto" w:sz="4" w:space="0"/>
            </w:tcBorders>
            <w:shd w:val="clear" w:color="auto" w:fill="auto"/>
            <w:vAlign w:val="center"/>
          </w:tcPr>
          <w:p w14:paraId="29785B5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43" w:type="dxa"/>
            <w:tcBorders>
              <w:top w:val="single" w:color="auto" w:sz="4" w:space="0"/>
              <w:left w:val="nil"/>
              <w:right w:val="nil"/>
            </w:tcBorders>
            <w:shd w:val="clear" w:color="auto" w:fill="auto"/>
            <w:vAlign w:val="center"/>
          </w:tcPr>
          <w:p w14:paraId="362727C4">
            <w:pPr>
              <w:keepNext w:val="0"/>
              <w:keepLines w:val="0"/>
              <w:widowControl w:val="0"/>
              <w:suppressLineNumbers w:val="0"/>
              <w:snapToGrid/>
              <w:spacing w:before="0" w:beforeAutospacing="0" w:after="0" w:afterAutospacing="0" w:line="288" w:lineRule="auto"/>
              <w:ind w:left="0" w:right="0"/>
              <w:contextualSpacing w:val="0"/>
              <w:jc w:val="center"/>
              <w:rPr>
                <w:rFonts w:hint="default"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赛事保障能力</w:t>
            </w:r>
          </w:p>
          <w:p w14:paraId="0678FF44">
            <w:pPr>
              <w:keepNext w:val="0"/>
              <w:keepLines w:val="0"/>
              <w:widowControl w:val="0"/>
              <w:suppressLineNumbers w:val="0"/>
              <w:snapToGrid w:val="0"/>
              <w:spacing w:before="0" w:beforeAutospacing="0" w:after="0" w:afterAutospacing="0"/>
              <w:ind w:left="0" w:right="0"/>
              <w:contextualSpacing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eastAsia="zh-CN" w:bidi="ar"/>
              </w:rPr>
              <w:t>8</w:t>
            </w:r>
            <w:r>
              <w:rPr>
                <w:rFonts w:hint="eastAsia" w:ascii="宋体" w:hAnsi="宋体" w:eastAsia="宋体" w:cs="宋体"/>
                <w:color w:val="auto"/>
                <w:kern w:val="0"/>
                <w:sz w:val="21"/>
                <w:szCs w:val="21"/>
                <w:highlight w:val="none"/>
                <w:lang w:val="en-US" w:eastAsia="zh-CN" w:bidi="ar"/>
              </w:rPr>
              <w:t>分）</w:t>
            </w:r>
          </w:p>
        </w:tc>
        <w:tc>
          <w:tcPr>
            <w:tcW w:w="5648" w:type="dxa"/>
            <w:tcBorders>
              <w:top w:val="single" w:color="auto" w:sz="4" w:space="0"/>
              <w:left w:val="single" w:color="auto" w:sz="4" w:space="0"/>
              <w:bottom w:val="single" w:color="auto" w:sz="4" w:space="0"/>
              <w:right w:val="single" w:color="auto" w:sz="4" w:space="0"/>
            </w:tcBorders>
            <w:shd w:val="clear" w:color="auto" w:fill="auto"/>
            <w:vAlign w:val="center"/>
          </w:tcPr>
          <w:p w14:paraId="1BD1432D">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b/>
                <w:color w:val="auto"/>
                <w:kern w:val="0"/>
                <w:sz w:val="21"/>
                <w:szCs w:val="21"/>
                <w:highlight w:val="none"/>
                <w:lang w:val="en-US" w:eastAsia="zh-CN" w:bidi="ar"/>
              </w:rPr>
              <w:t>第十五届全运会广东奥林匹克体育中心升级改造项目</w:t>
            </w:r>
          </w:p>
          <w:p w14:paraId="7A37ECC6">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
              </w:rPr>
              <w:t>根据投标人在全运会赛</w:t>
            </w:r>
            <w:r>
              <w:rPr>
                <w:rFonts w:hint="default" w:ascii="宋体" w:hAnsi="宋体" w:eastAsia="宋体" w:cs="宋体"/>
                <w:b w:val="0"/>
                <w:color w:val="auto"/>
                <w:kern w:val="0"/>
                <w:sz w:val="21"/>
                <w:szCs w:val="21"/>
                <w:highlight w:val="none"/>
                <w:lang w:eastAsia="zh-CN" w:bidi="ar"/>
              </w:rPr>
              <w:t>事</w:t>
            </w:r>
            <w:r>
              <w:rPr>
                <w:rFonts w:hint="eastAsia" w:ascii="宋体" w:hAnsi="宋体" w:eastAsia="宋体" w:cs="宋体"/>
                <w:b w:val="0"/>
                <w:color w:val="auto"/>
                <w:kern w:val="0"/>
                <w:sz w:val="21"/>
                <w:szCs w:val="21"/>
                <w:highlight w:val="none"/>
                <w:lang w:val="en-US" w:eastAsia="zh-CN" w:bidi="ar"/>
              </w:rPr>
              <w:t>期间保障方案进行综合评审：</w:t>
            </w:r>
          </w:p>
          <w:p w14:paraId="25C1731D">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
              </w:rPr>
              <w:t>优：赛</w:t>
            </w:r>
            <w:r>
              <w:rPr>
                <w:rFonts w:hint="default" w:ascii="宋体" w:hAnsi="宋体" w:eastAsia="宋体" w:cs="宋体"/>
                <w:b w:val="0"/>
                <w:color w:val="auto"/>
                <w:kern w:val="0"/>
                <w:sz w:val="21"/>
                <w:szCs w:val="21"/>
                <w:highlight w:val="none"/>
                <w:lang w:eastAsia="zh-CN" w:bidi="ar"/>
              </w:rPr>
              <w:t>事</w:t>
            </w:r>
            <w:r>
              <w:rPr>
                <w:rFonts w:hint="eastAsia" w:ascii="宋体" w:hAnsi="宋体" w:eastAsia="宋体" w:cs="宋体"/>
                <w:b w:val="0"/>
                <w:color w:val="auto"/>
                <w:kern w:val="0"/>
                <w:sz w:val="21"/>
                <w:szCs w:val="21"/>
                <w:highlight w:val="none"/>
                <w:lang w:val="en-US" w:eastAsia="zh-CN" w:bidi="ar"/>
              </w:rPr>
              <w:t>保障方案明确、具体、可行；有完善的保障团队、保障方案及保障措施的，得</w:t>
            </w:r>
            <w:r>
              <w:rPr>
                <w:rFonts w:hint="default" w:ascii="宋体" w:hAnsi="宋体" w:eastAsia="宋体" w:cs="宋体"/>
                <w:b w:val="0"/>
                <w:color w:val="auto"/>
                <w:kern w:val="0"/>
                <w:sz w:val="21"/>
                <w:szCs w:val="21"/>
                <w:highlight w:val="none"/>
                <w:lang w:eastAsia="zh-CN" w:bidi="ar"/>
              </w:rPr>
              <w:t>5</w:t>
            </w:r>
            <w:r>
              <w:rPr>
                <w:rFonts w:hint="eastAsia" w:ascii="宋体" w:hAnsi="宋体" w:eastAsia="宋体" w:cs="宋体"/>
                <w:b w:val="0"/>
                <w:color w:val="auto"/>
                <w:kern w:val="0"/>
                <w:sz w:val="21"/>
                <w:szCs w:val="21"/>
                <w:highlight w:val="none"/>
                <w:lang w:val="en-US" w:eastAsia="zh-CN" w:bidi="ar"/>
              </w:rPr>
              <w:t>分；</w:t>
            </w:r>
          </w:p>
          <w:p w14:paraId="03383780">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
              </w:rPr>
              <w:t>良：赛时保障方案较具体、较可行；保障团队、保障方案及保障措施较完善，得</w:t>
            </w:r>
            <w:r>
              <w:rPr>
                <w:rFonts w:hint="default" w:ascii="宋体" w:hAnsi="宋体" w:eastAsia="宋体" w:cs="宋体"/>
                <w:b w:val="0"/>
                <w:color w:val="auto"/>
                <w:kern w:val="0"/>
                <w:sz w:val="21"/>
                <w:szCs w:val="21"/>
                <w:highlight w:val="none"/>
                <w:lang w:eastAsia="zh-CN" w:bidi="ar"/>
              </w:rPr>
              <w:t>3</w:t>
            </w:r>
            <w:r>
              <w:rPr>
                <w:rFonts w:hint="eastAsia" w:ascii="宋体" w:hAnsi="宋体" w:eastAsia="宋体" w:cs="宋体"/>
                <w:b w:val="0"/>
                <w:color w:val="auto"/>
                <w:kern w:val="0"/>
                <w:sz w:val="21"/>
                <w:szCs w:val="21"/>
                <w:highlight w:val="none"/>
                <w:lang w:val="en-US" w:eastAsia="zh-CN" w:bidi="ar"/>
              </w:rPr>
              <w:t>分；</w:t>
            </w:r>
          </w:p>
          <w:p w14:paraId="09ED9710">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
              </w:rPr>
              <w:t>中：赛时保障方案不具体；保障团队、保障方案及保障措施一般，得</w:t>
            </w:r>
            <w:r>
              <w:rPr>
                <w:rFonts w:hint="default" w:ascii="宋体" w:hAnsi="宋体" w:eastAsia="宋体" w:cs="宋体"/>
                <w:b w:val="0"/>
                <w:color w:val="auto"/>
                <w:kern w:val="0"/>
                <w:sz w:val="21"/>
                <w:szCs w:val="21"/>
                <w:highlight w:val="none"/>
                <w:lang w:eastAsia="zh-CN" w:bidi="ar"/>
              </w:rPr>
              <w:t>1</w:t>
            </w:r>
            <w:r>
              <w:rPr>
                <w:rFonts w:hint="eastAsia" w:ascii="宋体" w:hAnsi="宋体" w:eastAsia="宋体" w:cs="宋体"/>
                <w:b w:val="0"/>
                <w:color w:val="auto"/>
                <w:kern w:val="0"/>
                <w:sz w:val="21"/>
                <w:szCs w:val="21"/>
                <w:highlight w:val="none"/>
                <w:lang w:val="en-US" w:eastAsia="zh-CN" w:bidi="ar"/>
              </w:rPr>
              <w:t>分；</w:t>
            </w:r>
          </w:p>
          <w:p w14:paraId="58B8C20C">
            <w:pPr>
              <w:keepNext w:val="0"/>
              <w:keepLines w:val="0"/>
              <w:widowControl w:val="0"/>
              <w:suppressLineNumbers w:val="0"/>
              <w:snapToGrid w:val="0"/>
              <w:spacing w:before="0" w:beforeAutospacing="0" w:after="0" w:afterAutospacing="0"/>
              <w:ind w:left="0" w:right="0"/>
              <w:contextualSpacing w:val="0"/>
              <w:jc w:val="left"/>
              <w:rPr>
                <w:rFonts w:hint="default"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
              </w:rPr>
              <w:t>差：无提供相应评审内容或差的不得分</w:t>
            </w:r>
            <w:r>
              <w:rPr>
                <w:rFonts w:hint="default" w:ascii="宋体" w:hAnsi="宋体" w:eastAsia="宋体" w:cs="宋体"/>
                <w:b w:val="0"/>
                <w:color w:val="auto"/>
                <w:kern w:val="0"/>
                <w:sz w:val="21"/>
                <w:szCs w:val="21"/>
                <w:highlight w:val="none"/>
                <w:lang w:eastAsia="zh-CN" w:bidi="ar"/>
              </w:rPr>
              <w:t>。</w:t>
            </w:r>
          </w:p>
          <w:p w14:paraId="6A57ABE9">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本小项最高得</w:t>
            </w:r>
            <w:r>
              <w:rPr>
                <w:rFonts w:hint="default" w:ascii="宋体" w:hAnsi="宋体" w:eastAsia="宋体" w:cs="宋体"/>
                <w:b/>
                <w:bCs w:val="0"/>
                <w:color w:val="auto"/>
                <w:kern w:val="2"/>
                <w:sz w:val="21"/>
                <w:szCs w:val="21"/>
                <w:highlight w:val="none"/>
                <w:lang w:eastAsia="zh-CN" w:bidi="ar"/>
              </w:rPr>
              <w:t>5</w:t>
            </w:r>
            <w:r>
              <w:rPr>
                <w:rFonts w:hint="eastAsia" w:ascii="宋体" w:hAnsi="宋体" w:eastAsia="宋体" w:cs="宋体"/>
                <w:b/>
                <w:bCs w:val="0"/>
                <w:color w:val="auto"/>
                <w:kern w:val="2"/>
                <w:sz w:val="21"/>
                <w:szCs w:val="21"/>
                <w:highlight w:val="none"/>
                <w:lang w:val="en-US" w:eastAsia="zh-CN" w:bidi="ar"/>
              </w:rPr>
              <w:t>分。</w:t>
            </w:r>
          </w:p>
          <w:p w14:paraId="78821F9D">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b/>
                <w:color w:val="auto"/>
                <w:kern w:val="0"/>
                <w:sz w:val="21"/>
                <w:szCs w:val="21"/>
                <w:highlight w:val="none"/>
                <w:lang w:val="en-US" w:eastAsia="zh-CN" w:bidi="ar"/>
              </w:rPr>
              <w:t>第十五届全运会广东省人民体育场改造项目</w:t>
            </w:r>
          </w:p>
          <w:p w14:paraId="09D50C8D">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
              </w:rPr>
              <w:t>根据投标人在全运会赛时期间保障方案进行综合评审：</w:t>
            </w:r>
          </w:p>
          <w:p w14:paraId="5347B881">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
              </w:rPr>
              <w:t>优：赛</w:t>
            </w:r>
            <w:r>
              <w:rPr>
                <w:rFonts w:hint="default" w:ascii="宋体" w:hAnsi="宋体" w:eastAsia="宋体" w:cs="宋体"/>
                <w:b w:val="0"/>
                <w:color w:val="auto"/>
                <w:kern w:val="0"/>
                <w:sz w:val="21"/>
                <w:szCs w:val="21"/>
                <w:highlight w:val="none"/>
                <w:lang w:eastAsia="zh-CN" w:bidi="ar"/>
              </w:rPr>
              <w:t>事</w:t>
            </w:r>
            <w:r>
              <w:rPr>
                <w:rFonts w:hint="eastAsia" w:ascii="宋体" w:hAnsi="宋体" w:eastAsia="宋体" w:cs="宋体"/>
                <w:b w:val="0"/>
                <w:color w:val="auto"/>
                <w:kern w:val="0"/>
                <w:sz w:val="21"/>
                <w:szCs w:val="21"/>
                <w:highlight w:val="none"/>
                <w:lang w:val="en-US" w:eastAsia="zh-CN" w:bidi="ar"/>
              </w:rPr>
              <w:t>保障方案明确、具体、可行；有完善的保障团队、保障方案及保障措施的，得</w:t>
            </w:r>
            <w:r>
              <w:rPr>
                <w:rFonts w:hint="default" w:ascii="宋体" w:hAnsi="宋体" w:eastAsia="宋体" w:cs="宋体"/>
                <w:b w:val="0"/>
                <w:color w:val="auto"/>
                <w:kern w:val="0"/>
                <w:sz w:val="21"/>
                <w:szCs w:val="21"/>
                <w:highlight w:val="none"/>
                <w:lang w:eastAsia="zh-CN" w:bidi="ar"/>
              </w:rPr>
              <w:t>3</w:t>
            </w:r>
            <w:r>
              <w:rPr>
                <w:rFonts w:hint="eastAsia" w:ascii="宋体" w:hAnsi="宋体" w:eastAsia="宋体" w:cs="宋体"/>
                <w:b w:val="0"/>
                <w:color w:val="auto"/>
                <w:kern w:val="0"/>
                <w:sz w:val="21"/>
                <w:szCs w:val="21"/>
                <w:highlight w:val="none"/>
                <w:lang w:val="en-US" w:eastAsia="zh-CN" w:bidi="ar"/>
              </w:rPr>
              <w:t>分；</w:t>
            </w:r>
          </w:p>
          <w:p w14:paraId="6DFAB712">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
              </w:rPr>
              <w:t>良：赛</w:t>
            </w:r>
            <w:r>
              <w:rPr>
                <w:rFonts w:hint="default" w:ascii="宋体" w:hAnsi="宋体" w:eastAsia="宋体" w:cs="宋体"/>
                <w:b w:val="0"/>
                <w:color w:val="auto"/>
                <w:kern w:val="0"/>
                <w:sz w:val="21"/>
                <w:szCs w:val="21"/>
                <w:highlight w:val="none"/>
                <w:lang w:eastAsia="zh-CN" w:bidi="ar"/>
              </w:rPr>
              <w:t>事</w:t>
            </w:r>
            <w:r>
              <w:rPr>
                <w:rFonts w:hint="eastAsia" w:ascii="宋体" w:hAnsi="宋体" w:eastAsia="宋体" w:cs="宋体"/>
                <w:b w:val="0"/>
                <w:color w:val="auto"/>
                <w:kern w:val="0"/>
                <w:sz w:val="21"/>
                <w:szCs w:val="21"/>
                <w:highlight w:val="none"/>
                <w:lang w:val="en-US" w:eastAsia="zh-CN" w:bidi="ar"/>
              </w:rPr>
              <w:t>保障方案较具体、较可行；保障团队、保障方案及保障措施较完善，得</w:t>
            </w:r>
            <w:r>
              <w:rPr>
                <w:rFonts w:hint="default" w:ascii="宋体" w:hAnsi="宋体" w:eastAsia="宋体" w:cs="宋体"/>
                <w:b w:val="0"/>
                <w:color w:val="auto"/>
                <w:kern w:val="0"/>
                <w:sz w:val="21"/>
                <w:szCs w:val="21"/>
                <w:highlight w:val="none"/>
                <w:lang w:eastAsia="zh-CN" w:bidi="ar"/>
              </w:rPr>
              <w:t>1.5</w:t>
            </w:r>
            <w:r>
              <w:rPr>
                <w:rFonts w:hint="eastAsia" w:ascii="宋体" w:hAnsi="宋体" w:eastAsia="宋体" w:cs="宋体"/>
                <w:b w:val="0"/>
                <w:color w:val="auto"/>
                <w:kern w:val="0"/>
                <w:sz w:val="21"/>
                <w:szCs w:val="21"/>
                <w:highlight w:val="none"/>
                <w:lang w:val="en-US" w:eastAsia="zh-CN" w:bidi="ar"/>
              </w:rPr>
              <w:t>分；</w:t>
            </w:r>
          </w:p>
          <w:p w14:paraId="6DFD71E8">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
              </w:rPr>
              <w:t>中：赛</w:t>
            </w:r>
            <w:r>
              <w:rPr>
                <w:rFonts w:hint="default" w:ascii="宋体" w:hAnsi="宋体" w:eastAsia="宋体" w:cs="宋体"/>
                <w:b w:val="0"/>
                <w:color w:val="auto"/>
                <w:kern w:val="0"/>
                <w:sz w:val="21"/>
                <w:szCs w:val="21"/>
                <w:highlight w:val="none"/>
                <w:lang w:eastAsia="zh-CN" w:bidi="ar"/>
              </w:rPr>
              <w:t>事</w:t>
            </w:r>
            <w:r>
              <w:rPr>
                <w:rFonts w:hint="eastAsia" w:ascii="宋体" w:hAnsi="宋体" w:eastAsia="宋体" w:cs="宋体"/>
                <w:b w:val="0"/>
                <w:color w:val="auto"/>
                <w:kern w:val="0"/>
                <w:sz w:val="21"/>
                <w:szCs w:val="21"/>
                <w:highlight w:val="none"/>
                <w:lang w:val="en-US" w:eastAsia="zh-CN" w:bidi="ar"/>
              </w:rPr>
              <w:t>保障方案不具体；保障团队、保障方案及保障措施一般，得</w:t>
            </w:r>
            <w:r>
              <w:rPr>
                <w:rFonts w:hint="default" w:ascii="宋体" w:hAnsi="宋体" w:eastAsia="宋体" w:cs="宋体"/>
                <w:b w:val="0"/>
                <w:color w:val="auto"/>
                <w:kern w:val="0"/>
                <w:sz w:val="21"/>
                <w:szCs w:val="21"/>
                <w:highlight w:val="none"/>
                <w:lang w:eastAsia="zh-CN" w:bidi="ar"/>
              </w:rPr>
              <w:t>0.5</w:t>
            </w:r>
            <w:r>
              <w:rPr>
                <w:rFonts w:hint="eastAsia" w:ascii="宋体" w:hAnsi="宋体" w:eastAsia="宋体" w:cs="宋体"/>
                <w:b w:val="0"/>
                <w:color w:val="auto"/>
                <w:kern w:val="0"/>
                <w:sz w:val="21"/>
                <w:szCs w:val="21"/>
                <w:highlight w:val="none"/>
                <w:lang w:val="en-US" w:eastAsia="zh-CN" w:bidi="ar"/>
              </w:rPr>
              <w:t>分；</w:t>
            </w:r>
          </w:p>
          <w:p w14:paraId="42AA175A">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bidi="ar"/>
              </w:rPr>
              <w:t>差：无提供相应评审内容或差的不得分；</w:t>
            </w:r>
          </w:p>
          <w:p w14:paraId="5C8A0A95">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本小项最高得</w:t>
            </w:r>
            <w:r>
              <w:rPr>
                <w:rFonts w:hint="default" w:ascii="宋体" w:hAnsi="宋体" w:eastAsia="宋体" w:cs="宋体"/>
                <w:b/>
                <w:bCs w:val="0"/>
                <w:color w:val="auto"/>
                <w:kern w:val="2"/>
                <w:sz w:val="21"/>
                <w:szCs w:val="21"/>
                <w:highlight w:val="none"/>
                <w:lang w:eastAsia="zh-CN" w:bidi="ar"/>
              </w:rPr>
              <w:t>3</w:t>
            </w:r>
            <w:r>
              <w:rPr>
                <w:rFonts w:hint="eastAsia" w:ascii="宋体" w:hAnsi="宋体" w:eastAsia="宋体" w:cs="宋体"/>
                <w:b/>
                <w:bCs w:val="0"/>
                <w:color w:val="auto"/>
                <w:kern w:val="2"/>
                <w:sz w:val="21"/>
                <w:szCs w:val="21"/>
                <w:highlight w:val="none"/>
                <w:lang w:val="en-US" w:eastAsia="zh-CN" w:bidi="ar"/>
              </w:rPr>
              <w:t>分。</w:t>
            </w:r>
          </w:p>
          <w:p w14:paraId="4577DE0A">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b w:val="0"/>
                <w:color w:val="auto"/>
                <w:kern w:val="2"/>
                <w:sz w:val="21"/>
                <w:szCs w:val="21"/>
                <w:highlight w:val="none"/>
              </w:rPr>
            </w:pPr>
            <w:r>
              <w:rPr>
                <w:rFonts w:hint="eastAsia" w:ascii="宋体" w:hAnsi="宋体" w:eastAsia="宋体" w:cs="宋体"/>
                <w:b/>
                <w:bCs w:val="0"/>
                <w:color w:val="auto"/>
                <w:kern w:val="0"/>
                <w:sz w:val="21"/>
                <w:szCs w:val="21"/>
                <w:highlight w:val="none"/>
                <w:lang w:val="en-US" w:eastAsia="zh-CN" w:bidi="ar"/>
              </w:rPr>
              <w:t>注：本项最高得</w:t>
            </w:r>
            <w:r>
              <w:rPr>
                <w:rFonts w:hint="default" w:ascii="宋体" w:hAnsi="宋体" w:eastAsia="宋体" w:cs="宋体"/>
                <w:b/>
                <w:bCs w:val="0"/>
                <w:color w:val="auto"/>
                <w:kern w:val="0"/>
                <w:sz w:val="21"/>
                <w:szCs w:val="21"/>
                <w:highlight w:val="none"/>
                <w:lang w:eastAsia="zh-CN" w:bidi="ar"/>
              </w:rPr>
              <w:t>8</w:t>
            </w:r>
            <w:r>
              <w:rPr>
                <w:rFonts w:hint="eastAsia" w:ascii="宋体" w:hAnsi="宋体" w:eastAsia="宋体" w:cs="宋体"/>
                <w:b/>
                <w:bCs w:val="0"/>
                <w:color w:val="auto"/>
                <w:kern w:val="0"/>
                <w:sz w:val="21"/>
                <w:szCs w:val="21"/>
                <w:highlight w:val="none"/>
                <w:lang w:val="en-US" w:eastAsia="zh-CN" w:bidi="ar"/>
              </w:rPr>
              <w:t>分。</w:t>
            </w:r>
          </w:p>
        </w:tc>
      </w:tr>
      <w:tr w14:paraId="36A459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1" w:hRule="atLeast"/>
          <w:jc w:val="center"/>
        </w:trPr>
        <w:tc>
          <w:tcPr>
            <w:tcW w:w="1008" w:type="dxa"/>
            <w:gridSpan w:val="2"/>
            <w:vMerge w:val="continue"/>
            <w:tcBorders>
              <w:top w:val="nil"/>
              <w:left w:val="single" w:color="auto" w:sz="4" w:space="0"/>
              <w:bottom w:val="nil"/>
              <w:right w:val="single" w:color="auto" w:sz="4" w:space="0"/>
            </w:tcBorders>
            <w:shd w:val="clear" w:color="auto" w:fill="auto"/>
            <w:vAlign w:val="center"/>
          </w:tcPr>
          <w:p w14:paraId="1D4A1C3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8" w:type="dxa"/>
            <w:vMerge w:val="continue"/>
            <w:tcBorders>
              <w:top w:val="nil"/>
              <w:left w:val="nil"/>
              <w:bottom w:val="nil"/>
              <w:right w:val="single" w:color="auto" w:sz="4" w:space="0"/>
            </w:tcBorders>
            <w:shd w:val="clear" w:color="auto" w:fill="auto"/>
            <w:vAlign w:val="center"/>
          </w:tcPr>
          <w:p w14:paraId="19792DF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43" w:type="dxa"/>
            <w:tcBorders>
              <w:top w:val="single" w:color="auto" w:sz="4" w:space="0"/>
              <w:left w:val="nil"/>
              <w:bottom w:val="single" w:color="auto" w:sz="4" w:space="0"/>
              <w:right w:val="nil"/>
            </w:tcBorders>
            <w:shd w:val="clear" w:color="auto" w:fill="auto"/>
            <w:vAlign w:val="center"/>
          </w:tcPr>
          <w:p w14:paraId="43E306D1">
            <w:pPr>
              <w:keepNext w:val="0"/>
              <w:keepLines w:val="0"/>
              <w:widowControl w:val="0"/>
              <w:suppressLineNumbers w:val="0"/>
              <w:spacing w:before="0" w:beforeAutospacing="0" w:after="0" w:afterAutospacing="0" w:line="288" w:lineRule="auto"/>
              <w:ind w:left="0" w:right="0"/>
              <w:jc w:val="center"/>
              <w:rPr>
                <w:rFonts w:hint="default"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售后保障能力</w:t>
            </w:r>
          </w:p>
          <w:p w14:paraId="2CE13EA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eastAsia="zh-CN" w:bidi="ar"/>
              </w:rPr>
              <w:t>8</w:t>
            </w:r>
            <w:r>
              <w:rPr>
                <w:rFonts w:hint="eastAsia" w:ascii="宋体" w:hAnsi="宋体" w:eastAsia="宋体" w:cs="宋体"/>
                <w:color w:val="auto"/>
                <w:kern w:val="0"/>
                <w:sz w:val="21"/>
                <w:szCs w:val="21"/>
                <w:highlight w:val="none"/>
                <w:lang w:val="en-US" w:eastAsia="zh-CN" w:bidi="ar"/>
              </w:rPr>
              <w:t>分）</w:t>
            </w:r>
          </w:p>
        </w:tc>
        <w:tc>
          <w:tcPr>
            <w:tcW w:w="5648" w:type="dxa"/>
            <w:tcBorders>
              <w:top w:val="single" w:color="auto" w:sz="4" w:space="0"/>
              <w:left w:val="single" w:color="auto" w:sz="4" w:space="0"/>
              <w:bottom w:val="single" w:color="auto" w:sz="4" w:space="0"/>
              <w:right w:val="single" w:color="auto" w:sz="4" w:space="0"/>
            </w:tcBorders>
            <w:shd w:val="clear" w:color="auto" w:fill="auto"/>
            <w:vAlign w:val="center"/>
          </w:tcPr>
          <w:p w14:paraId="0A3B4834">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b/>
                <w:color w:val="auto"/>
                <w:kern w:val="0"/>
                <w:sz w:val="21"/>
                <w:szCs w:val="21"/>
                <w:highlight w:val="none"/>
                <w:lang w:val="en-US" w:eastAsia="zh-CN" w:bidi="ar"/>
              </w:rPr>
              <w:t>第十五届全运会广东奥林匹克体育中心升级改造项目</w:t>
            </w:r>
          </w:p>
          <w:p w14:paraId="347A6751">
            <w:pPr>
              <w:keepNext w:val="0"/>
              <w:keepLines w:val="0"/>
              <w:widowControl w:val="0"/>
              <w:suppressLineNumbers w:val="0"/>
              <w:adjustRightInd w:val="0"/>
              <w:snapToGrid w:val="0"/>
              <w:spacing w:before="0" w:beforeAutospacing="0" w:after="0" w:afterAutospacing="0"/>
              <w:ind w:left="0" w:right="0"/>
              <w:jc w:val="both"/>
              <w:rPr>
                <w:rFonts w:hint="default"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根据投标人的售后服务内容进行综合评审</w:t>
            </w:r>
            <w:r>
              <w:rPr>
                <w:rFonts w:hint="eastAsia" w:ascii="宋体" w:hAnsi="宋体" w:eastAsia="宋体" w:cs="宋体"/>
                <w:color w:val="auto"/>
                <w:kern w:val="2"/>
                <w:sz w:val="21"/>
                <w:szCs w:val="21"/>
                <w:highlight w:val="none"/>
                <w:lang w:eastAsia="zh-CN" w:bidi="ar"/>
              </w:rPr>
              <w:t>，</w:t>
            </w:r>
            <w:r>
              <w:rPr>
                <w:rFonts w:hint="eastAsia" w:ascii="宋体" w:hAnsi="宋体" w:eastAsia="宋体" w:cs="宋体"/>
                <w:color w:val="auto"/>
                <w:kern w:val="2"/>
                <w:sz w:val="21"/>
                <w:szCs w:val="21"/>
                <w:highlight w:val="none"/>
                <w:lang w:val="en-US" w:eastAsia="zh-CN" w:bidi="ar"/>
              </w:rPr>
              <w:t>包括但不限于（紧急状态的应变服务、售后服务的响应时间，项目的前中后提供的各种服务、进入质保期的前中后的维护、保养方案）：</w:t>
            </w:r>
          </w:p>
          <w:p w14:paraId="48ACAAA4">
            <w:pPr>
              <w:keepNext w:val="0"/>
              <w:keepLines w:val="0"/>
              <w:widowControl w:val="0"/>
              <w:suppressLineNumbers w:val="0"/>
              <w:adjustRightInd w:val="0"/>
              <w:snapToGrid w:val="0"/>
              <w:spacing w:before="0" w:beforeAutospacing="0" w:after="0" w:afterAutospacing="0"/>
              <w:ind w:left="0" w:right="0"/>
              <w:jc w:val="both"/>
              <w:rPr>
                <w:rFonts w:hint="default"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优：售后服务方案明确、具体、可行；有完善的技术人员服务团队、售后方案及保障措施的，得</w:t>
            </w:r>
            <w:r>
              <w:rPr>
                <w:rFonts w:hint="default" w:ascii="宋体" w:hAnsi="宋体" w:eastAsia="宋体" w:cs="宋体"/>
                <w:color w:val="auto"/>
                <w:kern w:val="2"/>
                <w:sz w:val="21"/>
                <w:szCs w:val="21"/>
                <w:highlight w:val="none"/>
                <w:lang w:eastAsia="zh-CN" w:bidi="ar"/>
              </w:rPr>
              <w:t>5</w:t>
            </w:r>
            <w:r>
              <w:rPr>
                <w:rFonts w:hint="eastAsia" w:ascii="宋体" w:hAnsi="宋体" w:eastAsia="宋体" w:cs="宋体"/>
                <w:color w:val="auto"/>
                <w:kern w:val="2"/>
                <w:sz w:val="21"/>
                <w:szCs w:val="21"/>
                <w:highlight w:val="none"/>
                <w:lang w:val="en-US" w:eastAsia="zh-CN" w:bidi="ar"/>
              </w:rPr>
              <w:t>分；</w:t>
            </w:r>
          </w:p>
          <w:p w14:paraId="1759D28F">
            <w:pPr>
              <w:keepNext w:val="0"/>
              <w:keepLines w:val="0"/>
              <w:widowControl w:val="0"/>
              <w:suppressLineNumbers w:val="0"/>
              <w:adjustRightInd w:val="0"/>
              <w:snapToGrid w:val="0"/>
              <w:spacing w:before="0" w:beforeAutospacing="0" w:after="0" w:afterAutospacing="0"/>
              <w:ind w:left="0" w:right="0"/>
              <w:jc w:val="both"/>
              <w:rPr>
                <w:rFonts w:hint="default"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良：售后服务方案较具体、较可行；技术人员服务团队、售后方案及保障措施较完善，得</w:t>
            </w:r>
            <w:r>
              <w:rPr>
                <w:rFonts w:hint="default" w:ascii="宋体" w:hAnsi="宋体" w:eastAsia="宋体" w:cs="宋体"/>
                <w:color w:val="auto"/>
                <w:kern w:val="2"/>
                <w:sz w:val="21"/>
                <w:szCs w:val="21"/>
                <w:highlight w:val="none"/>
                <w:lang w:eastAsia="zh-CN" w:bidi="ar"/>
              </w:rPr>
              <w:t>3</w:t>
            </w:r>
            <w:r>
              <w:rPr>
                <w:rFonts w:hint="eastAsia" w:ascii="宋体" w:hAnsi="宋体" w:eastAsia="宋体" w:cs="宋体"/>
                <w:color w:val="auto"/>
                <w:kern w:val="2"/>
                <w:sz w:val="21"/>
                <w:szCs w:val="21"/>
                <w:highlight w:val="none"/>
                <w:lang w:val="en-US" w:eastAsia="zh-CN" w:bidi="ar"/>
              </w:rPr>
              <w:t>分；</w:t>
            </w:r>
          </w:p>
          <w:p w14:paraId="22D4C5F4">
            <w:pPr>
              <w:keepNext w:val="0"/>
              <w:keepLines w:val="0"/>
              <w:widowControl w:val="0"/>
              <w:suppressLineNumbers w:val="0"/>
              <w:adjustRightInd w:val="0"/>
              <w:snapToGrid w:val="0"/>
              <w:spacing w:before="0" w:beforeAutospacing="0" w:after="0" w:afterAutospacing="0"/>
              <w:ind w:left="0" w:right="0"/>
              <w:jc w:val="both"/>
              <w:rPr>
                <w:rFonts w:hint="default"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中：售后服务方案不具体；技术人员服务团队、售后方案及保障措施一般，得</w:t>
            </w:r>
            <w:r>
              <w:rPr>
                <w:rFonts w:hint="default" w:ascii="宋体" w:hAnsi="宋体" w:eastAsia="宋体" w:cs="宋体"/>
                <w:color w:val="auto"/>
                <w:kern w:val="2"/>
                <w:sz w:val="21"/>
                <w:szCs w:val="21"/>
                <w:highlight w:val="none"/>
                <w:lang w:eastAsia="zh-CN" w:bidi="ar"/>
              </w:rPr>
              <w:t>1</w:t>
            </w:r>
            <w:r>
              <w:rPr>
                <w:rFonts w:hint="eastAsia" w:ascii="宋体" w:hAnsi="宋体" w:eastAsia="宋体" w:cs="宋体"/>
                <w:color w:val="auto"/>
                <w:kern w:val="2"/>
                <w:sz w:val="21"/>
                <w:szCs w:val="21"/>
                <w:highlight w:val="none"/>
                <w:lang w:val="en-US" w:eastAsia="zh-CN" w:bidi="ar"/>
              </w:rPr>
              <w:t>分；</w:t>
            </w:r>
          </w:p>
          <w:p w14:paraId="16935584">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差：无提供相应评审内容或差的不得分；</w:t>
            </w:r>
          </w:p>
          <w:p w14:paraId="5E75163C">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本小项最高得</w:t>
            </w:r>
            <w:r>
              <w:rPr>
                <w:rFonts w:hint="default" w:ascii="宋体" w:hAnsi="宋体" w:eastAsia="宋体" w:cs="宋体"/>
                <w:b/>
                <w:bCs w:val="0"/>
                <w:color w:val="auto"/>
                <w:kern w:val="2"/>
                <w:sz w:val="21"/>
                <w:szCs w:val="21"/>
                <w:highlight w:val="none"/>
                <w:lang w:eastAsia="zh-CN" w:bidi="ar"/>
              </w:rPr>
              <w:t>5</w:t>
            </w:r>
            <w:r>
              <w:rPr>
                <w:rFonts w:hint="eastAsia" w:ascii="宋体" w:hAnsi="宋体" w:eastAsia="宋体" w:cs="宋体"/>
                <w:b/>
                <w:bCs w:val="0"/>
                <w:color w:val="auto"/>
                <w:kern w:val="2"/>
                <w:sz w:val="21"/>
                <w:szCs w:val="21"/>
                <w:highlight w:val="none"/>
                <w:lang w:val="en-US" w:eastAsia="zh-CN" w:bidi="ar"/>
              </w:rPr>
              <w:t>分。</w:t>
            </w:r>
          </w:p>
          <w:p w14:paraId="27E88C23">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b/>
                <w:color w:val="auto"/>
                <w:kern w:val="0"/>
                <w:sz w:val="21"/>
                <w:szCs w:val="21"/>
                <w:highlight w:val="none"/>
                <w:lang w:val="en-US" w:eastAsia="zh-CN" w:bidi="ar"/>
              </w:rPr>
              <w:t>第十五届全运会广东省人民体育场改造项目</w:t>
            </w:r>
          </w:p>
          <w:p w14:paraId="760ECDB1">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根据投标人的售后服务内容进行综合评审：</w:t>
            </w:r>
          </w:p>
          <w:p w14:paraId="6328E368">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优：售后服务方案明确、具体、可行；有完善的技术人员服务团队、售后方案及保障措施的，得</w:t>
            </w:r>
            <w:r>
              <w:rPr>
                <w:rFonts w:hint="default" w:ascii="宋体" w:hAnsi="宋体" w:eastAsia="宋体" w:cs="宋体"/>
                <w:color w:val="auto"/>
                <w:kern w:val="2"/>
                <w:sz w:val="21"/>
                <w:szCs w:val="21"/>
                <w:highlight w:val="none"/>
                <w:lang w:eastAsia="zh-CN" w:bidi="ar"/>
              </w:rPr>
              <w:t>3</w:t>
            </w:r>
            <w:r>
              <w:rPr>
                <w:rFonts w:hint="eastAsia" w:ascii="宋体" w:hAnsi="宋体" w:eastAsia="宋体" w:cs="宋体"/>
                <w:color w:val="auto"/>
                <w:kern w:val="2"/>
                <w:sz w:val="21"/>
                <w:szCs w:val="21"/>
                <w:highlight w:val="none"/>
                <w:lang w:val="en-US" w:eastAsia="zh-CN" w:bidi="ar"/>
              </w:rPr>
              <w:t>分；</w:t>
            </w:r>
          </w:p>
          <w:p w14:paraId="6C54C150">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良：售后服务方案较具体、较可行；技术人员服务团队、售后方案及保障措施较完善，得</w:t>
            </w:r>
            <w:r>
              <w:rPr>
                <w:rFonts w:hint="default" w:ascii="宋体" w:hAnsi="宋体" w:eastAsia="宋体" w:cs="宋体"/>
                <w:color w:val="auto"/>
                <w:kern w:val="2"/>
                <w:sz w:val="21"/>
                <w:szCs w:val="21"/>
                <w:highlight w:val="none"/>
                <w:lang w:eastAsia="zh-CN" w:bidi="ar"/>
              </w:rPr>
              <w:t>1.5</w:t>
            </w:r>
            <w:r>
              <w:rPr>
                <w:rFonts w:hint="eastAsia" w:ascii="宋体" w:hAnsi="宋体" w:eastAsia="宋体" w:cs="宋体"/>
                <w:color w:val="auto"/>
                <w:kern w:val="2"/>
                <w:sz w:val="21"/>
                <w:szCs w:val="21"/>
                <w:highlight w:val="none"/>
                <w:lang w:val="en-US" w:eastAsia="zh-CN" w:bidi="ar"/>
              </w:rPr>
              <w:t>分；</w:t>
            </w:r>
          </w:p>
          <w:p w14:paraId="75399FF3">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中：售后服务方案不具体；技术人员服务团队、售后方案及保障措施一般，得</w:t>
            </w:r>
            <w:r>
              <w:rPr>
                <w:rFonts w:hint="default" w:ascii="宋体" w:hAnsi="宋体" w:eastAsia="宋体" w:cs="宋体"/>
                <w:color w:val="auto"/>
                <w:kern w:val="2"/>
                <w:sz w:val="21"/>
                <w:szCs w:val="21"/>
                <w:highlight w:val="none"/>
                <w:lang w:eastAsia="zh-CN" w:bidi="ar"/>
              </w:rPr>
              <w:t>0.5</w:t>
            </w:r>
            <w:r>
              <w:rPr>
                <w:rFonts w:hint="eastAsia" w:ascii="宋体" w:hAnsi="宋体" w:eastAsia="宋体" w:cs="宋体"/>
                <w:color w:val="auto"/>
                <w:kern w:val="2"/>
                <w:sz w:val="21"/>
                <w:szCs w:val="21"/>
                <w:highlight w:val="none"/>
                <w:lang w:val="en-US" w:eastAsia="zh-CN" w:bidi="ar"/>
              </w:rPr>
              <w:t>分；</w:t>
            </w:r>
          </w:p>
          <w:p w14:paraId="65EE8866">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差：无提供相应评审内容或差的不得分；</w:t>
            </w:r>
          </w:p>
          <w:p w14:paraId="330CE26D">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本小项最高得</w:t>
            </w:r>
            <w:r>
              <w:rPr>
                <w:rFonts w:hint="default" w:ascii="宋体" w:hAnsi="宋体" w:eastAsia="宋体" w:cs="宋体"/>
                <w:b/>
                <w:bCs w:val="0"/>
                <w:color w:val="auto"/>
                <w:kern w:val="2"/>
                <w:sz w:val="21"/>
                <w:szCs w:val="21"/>
                <w:highlight w:val="none"/>
                <w:lang w:eastAsia="zh-CN" w:bidi="ar"/>
              </w:rPr>
              <w:t>3</w:t>
            </w:r>
            <w:r>
              <w:rPr>
                <w:rFonts w:hint="eastAsia" w:ascii="宋体" w:hAnsi="宋体" w:eastAsia="宋体" w:cs="宋体"/>
                <w:b/>
                <w:bCs w:val="0"/>
                <w:color w:val="auto"/>
                <w:kern w:val="2"/>
                <w:sz w:val="21"/>
                <w:szCs w:val="21"/>
                <w:highlight w:val="none"/>
                <w:lang w:val="en-US" w:eastAsia="zh-CN" w:bidi="ar"/>
              </w:rPr>
              <w:t>分。</w:t>
            </w:r>
          </w:p>
          <w:p w14:paraId="67196965">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0"/>
                <w:sz w:val="21"/>
                <w:szCs w:val="21"/>
                <w:highlight w:val="none"/>
                <w:lang w:val="en-US" w:eastAsia="zh-CN" w:bidi="ar"/>
              </w:rPr>
              <w:t>注：本项最高得</w:t>
            </w:r>
            <w:r>
              <w:rPr>
                <w:rFonts w:hint="default" w:ascii="宋体" w:hAnsi="宋体" w:eastAsia="宋体" w:cs="宋体"/>
                <w:b/>
                <w:bCs w:val="0"/>
                <w:color w:val="auto"/>
                <w:kern w:val="0"/>
                <w:sz w:val="21"/>
                <w:szCs w:val="21"/>
                <w:highlight w:val="none"/>
                <w:lang w:eastAsia="zh-CN" w:bidi="ar"/>
              </w:rPr>
              <w:t>8</w:t>
            </w:r>
            <w:r>
              <w:rPr>
                <w:rFonts w:hint="eastAsia" w:ascii="宋体" w:hAnsi="宋体" w:eastAsia="宋体" w:cs="宋体"/>
                <w:b/>
                <w:bCs w:val="0"/>
                <w:color w:val="auto"/>
                <w:kern w:val="0"/>
                <w:sz w:val="21"/>
                <w:szCs w:val="21"/>
                <w:highlight w:val="none"/>
                <w:lang w:val="en-US" w:eastAsia="zh-CN" w:bidi="ar"/>
              </w:rPr>
              <w:t>分。</w:t>
            </w:r>
          </w:p>
        </w:tc>
      </w:tr>
      <w:tr w14:paraId="261CD0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continue"/>
            <w:tcBorders>
              <w:top w:val="nil"/>
              <w:left w:val="single" w:color="auto" w:sz="4" w:space="0"/>
              <w:bottom w:val="nil"/>
              <w:right w:val="single" w:color="auto" w:sz="4" w:space="0"/>
            </w:tcBorders>
            <w:shd w:val="clear" w:color="auto" w:fill="auto"/>
            <w:vAlign w:val="center"/>
          </w:tcPr>
          <w:p w14:paraId="37F0B1B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8" w:type="dxa"/>
            <w:vMerge w:val="continue"/>
            <w:tcBorders>
              <w:top w:val="nil"/>
              <w:left w:val="nil"/>
              <w:bottom w:val="nil"/>
              <w:right w:val="single" w:color="auto" w:sz="4" w:space="0"/>
            </w:tcBorders>
            <w:shd w:val="clear" w:color="auto" w:fill="auto"/>
            <w:vAlign w:val="center"/>
          </w:tcPr>
          <w:p w14:paraId="357DF79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43" w:type="dxa"/>
            <w:tcBorders>
              <w:top w:val="single" w:color="auto" w:sz="4" w:space="0"/>
              <w:left w:val="nil"/>
              <w:bottom w:val="single" w:color="auto" w:sz="4" w:space="0"/>
              <w:right w:val="nil"/>
            </w:tcBorders>
            <w:shd w:val="clear" w:color="auto" w:fill="auto"/>
            <w:vAlign w:val="center"/>
          </w:tcPr>
          <w:p w14:paraId="7500D8F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合理化建议</w:t>
            </w:r>
          </w:p>
          <w:p w14:paraId="71569AA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eastAsia="zh-CN" w:bidi="ar"/>
              </w:rPr>
              <w:t>8</w:t>
            </w:r>
            <w:r>
              <w:rPr>
                <w:rFonts w:hint="eastAsia" w:ascii="宋体" w:hAnsi="宋体" w:eastAsia="宋体" w:cs="宋体"/>
                <w:color w:val="auto"/>
                <w:kern w:val="2"/>
                <w:sz w:val="21"/>
                <w:szCs w:val="21"/>
                <w:highlight w:val="none"/>
                <w:lang w:val="en-US" w:eastAsia="zh-CN" w:bidi="ar"/>
              </w:rPr>
              <w:t>分）</w:t>
            </w:r>
          </w:p>
        </w:tc>
        <w:tc>
          <w:tcPr>
            <w:tcW w:w="5648" w:type="dxa"/>
            <w:tcBorders>
              <w:top w:val="single" w:color="auto" w:sz="4" w:space="0"/>
              <w:left w:val="single" w:color="auto" w:sz="4" w:space="0"/>
              <w:bottom w:val="single" w:color="auto" w:sz="4" w:space="0"/>
              <w:right w:val="single" w:color="auto" w:sz="4" w:space="0"/>
            </w:tcBorders>
            <w:shd w:val="clear" w:color="auto" w:fill="auto"/>
            <w:vAlign w:val="center"/>
          </w:tcPr>
          <w:p w14:paraId="07FC1973">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b/>
                <w:bCs w:val="0"/>
                <w:color w:val="auto"/>
                <w:kern w:val="0"/>
                <w:sz w:val="21"/>
                <w:szCs w:val="21"/>
                <w:highlight w:val="none"/>
                <w:lang w:val="en-US" w:eastAsia="zh-CN" w:bidi="ar"/>
              </w:rPr>
              <w:t>第十五届全运会广东奥林匹克体育中心升级改造项目</w:t>
            </w:r>
          </w:p>
          <w:p w14:paraId="15A45AEE">
            <w:pPr>
              <w:keepNext w:val="0"/>
              <w:keepLines w:val="0"/>
              <w:widowControl w:val="0"/>
              <w:suppressLineNumbers w:val="0"/>
              <w:adjustRightInd w:val="0"/>
              <w:snapToGrid w:val="0"/>
              <w:spacing w:before="0" w:beforeAutospacing="0" w:after="0" w:afterAutospacing="0"/>
              <w:ind w:left="0" w:right="0"/>
              <w:jc w:val="both"/>
              <w:rPr>
                <w:rFonts w:hint="default" w:ascii="宋体" w:hAnsi="宋体" w:eastAsia="宋体" w:cs="宋体"/>
                <w:b w:val="0"/>
                <w:color w:val="auto"/>
                <w:kern w:val="2"/>
                <w:sz w:val="21"/>
                <w:szCs w:val="21"/>
                <w:highlight w:val="none"/>
                <w:lang w:eastAsia="zh-CN" w:bidi="ar"/>
              </w:rPr>
            </w:pPr>
            <w:r>
              <w:rPr>
                <w:rFonts w:hint="default" w:ascii="宋体" w:hAnsi="宋体" w:eastAsia="宋体" w:cs="宋体"/>
                <w:b w:val="0"/>
                <w:color w:val="auto"/>
                <w:kern w:val="2"/>
                <w:sz w:val="21"/>
                <w:szCs w:val="21"/>
                <w:highlight w:val="none"/>
                <w:lang w:eastAsia="zh-CN" w:bidi="ar"/>
              </w:rPr>
              <w:t>根据投标人提供的对本项目合理化建议进行综合评审，内容包括但不限于项目体育工艺技术方案优化、与施工方案协同措施、总平面布局优化、项目现场资源调配、赛后利用等：</w:t>
            </w:r>
          </w:p>
          <w:p w14:paraId="471BE801">
            <w:pPr>
              <w:keepNext w:val="0"/>
              <w:keepLines w:val="0"/>
              <w:widowControl w:val="0"/>
              <w:suppressLineNumbers w:val="0"/>
              <w:adjustRightInd w:val="0"/>
              <w:snapToGrid w:val="0"/>
              <w:spacing w:before="0" w:beforeAutospacing="0" w:after="0" w:afterAutospacing="0"/>
              <w:ind w:left="0" w:right="0"/>
              <w:jc w:val="both"/>
              <w:rPr>
                <w:rFonts w:hint="default" w:ascii="宋体" w:hAnsi="宋体" w:eastAsia="宋体" w:cs="宋体"/>
                <w:b w:val="0"/>
                <w:color w:val="auto"/>
                <w:kern w:val="2"/>
                <w:sz w:val="21"/>
                <w:szCs w:val="21"/>
                <w:highlight w:val="none"/>
                <w:lang w:eastAsia="zh-CN" w:bidi="ar"/>
              </w:rPr>
            </w:pPr>
            <w:r>
              <w:rPr>
                <w:rFonts w:hint="default" w:ascii="宋体" w:hAnsi="宋体" w:eastAsia="宋体" w:cs="宋体"/>
                <w:b w:val="0"/>
                <w:color w:val="auto"/>
                <w:kern w:val="2"/>
                <w:sz w:val="21"/>
                <w:szCs w:val="21"/>
                <w:highlight w:val="none"/>
                <w:lang w:eastAsia="zh-CN" w:bidi="ar"/>
              </w:rPr>
              <w:t>优：建议全面、科学合理、切实可行的得5分；</w:t>
            </w:r>
          </w:p>
          <w:p w14:paraId="66602EEF">
            <w:pPr>
              <w:keepNext w:val="0"/>
              <w:keepLines w:val="0"/>
              <w:widowControl w:val="0"/>
              <w:suppressLineNumbers w:val="0"/>
              <w:adjustRightInd w:val="0"/>
              <w:snapToGrid w:val="0"/>
              <w:spacing w:before="0" w:beforeAutospacing="0" w:after="0" w:afterAutospacing="0"/>
              <w:ind w:left="0" w:right="0"/>
              <w:jc w:val="both"/>
              <w:rPr>
                <w:rFonts w:hint="default" w:ascii="宋体" w:hAnsi="宋体" w:eastAsia="宋体" w:cs="宋体"/>
                <w:b w:val="0"/>
                <w:color w:val="auto"/>
                <w:kern w:val="2"/>
                <w:sz w:val="21"/>
                <w:szCs w:val="21"/>
                <w:highlight w:val="none"/>
                <w:lang w:eastAsia="zh-CN" w:bidi="ar"/>
              </w:rPr>
            </w:pPr>
            <w:r>
              <w:rPr>
                <w:rFonts w:hint="default" w:ascii="宋体" w:hAnsi="宋体" w:eastAsia="宋体" w:cs="宋体"/>
                <w:b w:val="0"/>
                <w:color w:val="auto"/>
                <w:kern w:val="2"/>
                <w:sz w:val="21"/>
                <w:szCs w:val="21"/>
                <w:highlight w:val="none"/>
                <w:lang w:eastAsia="zh-CN" w:bidi="ar"/>
              </w:rPr>
              <w:t>良：建议较全面、合理、可行的得3分；</w:t>
            </w:r>
          </w:p>
          <w:p w14:paraId="5DD16499">
            <w:pPr>
              <w:keepNext w:val="0"/>
              <w:keepLines w:val="0"/>
              <w:widowControl w:val="0"/>
              <w:suppressLineNumbers w:val="0"/>
              <w:adjustRightInd w:val="0"/>
              <w:snapToGrid w:val="0"/>
              <w:spacing w:before="0" w:beforeAutospacing="0" w:after="0" w:afterAutospacing="0"/>
              <w:ind w:left="0" w:right="0"/>
              <w:jc w:val="both"/>
              <w:rPr>
                <w:rFonts w:hint="default" w:ascii="宋体" w:hAnsi="宋体" w:eastAsia="宋体" w:cs="宋体"/>
                <w:b w:val="0"/>
                <w:color w:val="auto"/>
                <w:kern w:val="2"/>
                <w:sz w:val="21"/>
                <w:szCs w:val="21"/>
                <w:highlight w:val="none"/>
                <w:lang w:eastAsia="zh-CN" w:bidi="ar"/>
              </w:rPr>
            </w:pPr>
            <w:r>
              <w:rPr>
                <w:rFonts w:hint="default" w:ascii="宋体" w:hAnsi="宋体" w:eastAsia="宋体" w:cs="宋体"/>
                <w:b w:val="0"/>
                <w:color w:val="auto"/>
                <w:kern w:val="2"/>
                <w:sz w:val="21"/>
                <w:szCs w:val="21"/>
                <w:highlight w:val="none"/>
                <w:lang w:eastAsia="zh-CN" w:bidi="ar"/>
              </w:rPr>
              <w:t>中：建议一般的得1分；</w:t>
            </w:r>
          </w:p>
          <w:p w14:paraId="4C67BC5F">
            <w:pPr>
              <w:keepNext w:val="0"/>
              <w:keepLines w:val="0"/>
              <w:widowControl w:val="0"/>
              <w:suppressLineNumbers w:val="0"/>
              <w:adjustRightInd w:val="0"/>
              <w:snapToGrid w:val="0"/>
              <w:spacing w:before="0" w:beforeAutospacing="0" w:after="0" w:afterAutospacing="0"/>
              <w:ind w:left="0" w:right="0"/>
              <w:jc w:val="both"/>
              <w:rPr>
                <w:rFonts w:hint="default" w:ascii="宋体" w:hAnsi="宋体" w:eastAsia="宋体" w:cs="宋体"/>
                <w:b w:val="0"/>
                <w:color w:val="auto"/>
                <w:kern w:val="2"/>
                <w:sz w:val="21"/>
                <w:szCs w:val="21"/>
                <w:highlight w:val="none"/>
                <w:lang w:eastAsia="zh-CN" w:bidi="ar"/>
              </w:rPr>
            </w:pPr>
            <w:r>
              <w:rPr>
                <w:rFonts w:hint="default" w:ascii="宋体" w:hAnsi="宋体" w:eastAsia="宋体" w:cs="宋体"/>
                <w:b w:val="0"/>
                <w:color w:val="auto"/>
                <w:kern w:val="2"/>
                <w:sz w:val="21"/>
                <w:szCs w:val="21"/>
                <w:highlight w:val="none"/>
                <w:lang w:eastAsia="zh-CN" w:bidi="ar"/>
              </w:rPr>
              <w:t>差：无提供相应评审内容或差的不得分；</w:t>
            </w:r>
          </w:p>
          <w:p w14:paraId="7BF09742">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本小项最高得</w:t>
            </w:r>
            <w:r>
              <w:rPr>
                <w:rFonts w:hint="default" w:ascii="宋体" w:hAnsi="宋体" w:eastAsia="宋体" w:cs="宋体"/>
                <w:b/>
                <w:bCs w:val="0"/>
                <w:color w:val="auto"/>
                <w:kern w:val="2"/>
                <w:sz w:val="21"/>
                <w:szCs w:val="21"/>
                <w:highlight w:val="none"/>
                <w:lang w:eastAsia="zh-CN" w:bidi="ar"/>
              </w:rPr>
              <w:t>5</w:t>
            </w:r>
            <w:r>
              <w:rPr>
                <w:rFonts w:hint="eastAsia" w:ascii="宋体" w:hAnsi="宋体" w:eastAsia="宋体" w:cs="宋体"/>
                <w:b/>
                <w:bCs w:val="0"/>
                <w:color w:val="auto"/>
                <w:kern w:val="2"/>
                <w:sz w:val="21"/>
                <w:szCs w:val="21"/>
                <w:highlight w:val="none"/>
                <w:lang w:val="en-US" w:eastAsia="zh-CN" w:bidi="ar"/>
              </w:rPr>
              <w:t>分。</w:t>
            </w:r>
          </w:p>
          <w:p w14:paraId="664D2D75">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b/>
                <w:bCs w:val="0"/>
                <w:color w:val="auto"/>
                <w:kern w:val="0"/>
                <w:sz w:val="21"/>
                <w:szCs w:val="21"/>
                <w:highlight w:val="none"/>
                <w:lang w:val="en-US" w:eastAsia="zh-CN" w:bidi="ar"/>
              </w:rPr>
              <w:t>第十五届全运会广东省人民体育场改造项目</w:t>
            </w:r>
          </w:p>
          <w:p w14:paraId="17B74DCE">
            <w:pPr>
              <w:keepNext w:val="0"/>
              <w:keepLines w:val="0"/>
              <w:widowControl w:val="0"/>
              <w:suppressLineNumbers w:val="0"/>
              <w:adjustRightInd w:val="0"/>
              <w:snapToGrid w:val="0"/>
              <w:spacing w:before="0" w:beforeAutospacing="0" w:after="0" w:afterAutospacing="0"/>
              <w:ind w:left="0" w:right="0"/>
              <w:jc w:val="both"/>
              <w:rPr>
                <w:rFonts w:hint="default" w:ascii="宋体" w:hAnsi="宋体" w:eastAsia="宋体" w:cs="宋体"/>
                <w:b w:val="0"/>
                <w:color w:val="auto"/>
                <w:kern w:val="2"/>
                <w:sz w:val="21"/>
                <w:szCs w:val="21"/>
                <w:highlight w:val="none"/>
                <w:lang w:eastAsia="zh-CN" w:bidi="ar"/>
              </w:rPr>
            </w:pPr>
            <w:r>
              <w:rPr>
                <w:rFonts w:hint="default" w:ascii="宋体" w:hAnsi="宋体" w:eastAsia="宋体" w:cs="宋体"/>
                <w:b w:val="0"/>
                <w:color w:val="auto"/>
                <w:kern w:val="2"/>
                <w:sz w:val="21"/>
                <w:szCs w:val="21"/>
                <w:highlight w:val="none"/>
                <w:lang w:eastAsia="zh-CN" w:bidi="ar"/>
              </w:rPr>
              <w:t>根据投标人提供的对本项目合理化建议进行综合评审，内容包括但不限于项目体育工艺技术方案优化、与施工方案协同措施、总平面布局优化、项目现场资源调配、赛后利用等：</w:t>
            </w:r>
          </w:p>
          <w:p w14:paraId="0E13F7FE">
            <w:pPr>
              <w:keepNext w:val="0"/>
              <w:keepLines w:val="0"/>
              <w:widowControl w:val="0"/>
              <w:suppressLineNumbers w:val="0"/>
              <w:adjustRightInd w:val="0"/>
              <w:snapToGrid w:val="0"/>
              <w:spacing w:before="0" w:beforeAutospacing="0" w:after="0" w:afterAutospacing="0"/>
              <w:ind w:left="0" w:right="0"/>
              <w:jc w:val="both"/>
              <w:rPr>
                <w:rFonts w:hint="default" w:ascii="宋体" w:hAnsi="宋体" w:eastAsia="宋体" w:cs="宋体"/>
                <w:b w:val="0"/>
                <w:color w:val="auto"/>
                <w:kern w:val="2"/>
                <w:sz w:val="21"/>
                <w:szCs w:val="21"/>
                <w:highlight w:val="none"/>
                <w:lang w:eastAsia="zh-CN" w:bidi="ar"/>
              </w:rPr>
            </w:pPr>
            <w:r>
              <w:rPr>
                <w:rFonts w:hint="default" w:ascii="宋体" w:hAnsi="宋体" w:eastAsia="宋体" w:cs="宋体"/>
                <w:b w:val="0"/>
                <w:color w:val="auto"/>
                <w:kern w:val="2"/>
                <w:sz w:val="21"/>
                <w:szCs w:val="21"/>
                <w:highlight w:val="none"/>
                <w:lang w:eastAsia="zh-CN" w:bidi="ar"/>
              </w:rPr>
              <w:t>优：建议全面、科学合理、切实可行的得3分；</w:t>
            </w:r>
          </w:p>
          <w:p w14:paraId="0AFB0895">
            <w:pPr>
              <w:keepNext w:val="0"/>
              <w:keepLines w:val="0"/>
              <w:widowControl w:val="0"/>
              <w:suppressLineNumbers w:val="0"/>
              <w:adjustRightInd w:val="0"/>
              <w:snapToGrid w:val="0"/>
              <w:spacing w:before="0" w:beforeAutospacing="0" w:after="0" w:afterAutospacing="0"/>
              <w:ind w:left="0" w:right="0"/>
              <w:jc w:val="both"/>
              <w:rPr>
                <w:rFonts w:hint="default" w:ascii="宋体" w:hAnsi="宋体" w:eastAsia="宋体" w:cs="宋体"/>
                <w:b w:val="0"/>
                <w:color w:val="auto"/>
                <w:kern w:val="2"/>
                <w:sz w:val="21"/>
                <w:szCs w:val="21"/>
                <w:highlight w:val="none"/>
                <w:lang w:eastAsia="zh-CN" w:bidi="ar"/>
              </w:rPr>
            </w:pPr>
            <w:r>
              <w:rPr>
                <w:rFonts w:hint="default" w:ascii="宋体" w:hAnsi="宋体" w:eastAsia="宋体" w:cs="宋体"/>
                <w:b w:val="0"/>
                <w:color w:val="auto"/>
                <w:kern w:val="2"/>
                <w:sz w:val="21"/>
                <w:szCs w:val="21"/>
                <w:highlight w:val="none"/>
                <w:lang w:eastAsia="zh-CN" w:bidi="ar"/>
              </w:rPr>
              <w:t>良：建议较全面、合理、可行的得1.5分；</w:t>
            </w:r>
          </w:p>
          <w:p w14:paraId="657F9B3D">
            <w:pPr>
              <w:keepNext w:val="0"/>
              <w:keepLines w:val="0"/>
              <w:widowControl w:val="0"/>
              <w:suppressLineNumbers w:val="0"/>
              <w:adjustRightInd w:val="0"/>
              <w:snapToGrid w:val="0"/>
              <w:spacing w:before="0" w:beforeAutospacing="0" w:after="0" w:afterAutospacing="0"/>
              <w:ind w:left="0" w:right="0"/>
              <w:jc w:val="both"/>
              <w:rPr>
                <w:rFonts w:hint="default" w:ascii="宋体" w:hAnsi="宋体" w:eastAsia="宋体" w:cs="宋体"/>
                <w:b w:val="0"/>
                <w:color w:val="auto"/>
                <w:kern w:val="2"/>
                <w:sz w:val="21"/>
                <w:szCs w:val="21"/>
                <w:highlight w:val="none"/>
                <w:lang w:eastAsia="zh-CN" w:bidi="ar"/>
              </w:rPr>
            </w:pPr>
            <w:r>
              <w:rPr>
                <w:rFonts w:hint="default" w:ascii="宋体" w:hAnsi="宋体" w:eastAsia="宋体" w:cs="宋体"/>
                <w:b w:val="0"/>
                <w:color w:val="auto"/>
                <w:kern w:val="2"/>
                <w:sz w:val="21"/>
                <w:szCs w:val="21"/>
                <w:highlight w:val="none"/>
                <w:lang w:eastAsia="zh-CN" w:bidi="ar"/>
              </w:rPr>
              <w:t>中：建议一般的得0.5分；</w:t>
            </w:r>
          </w:p>
          <w:p w14:paraId="554DF12C">
            <w:pPr>
              <w:keepNext w:val="0"/>
              <w:keepLines w:val="0"/>
              <w:widowControl w:val="0"/>
              <w:suppressLineNumbers w:val="0"/>
              <w:adjustRightInd w:val="0"/>
              <w:snapToGrid w:val="0"/>
              <w:spacing w:before="0" w:beforeAutospacing="0" w:after="0" w:afterAutospacing="0"/>
              <w:ind w:left="0" w:right="0"/>
              <w:jc w:val="both"/>
              <w:rPr>
                <w:rFonts w:hint="default" w:ascii="宋体" w:hAnsi="宋体" w:eastAsia="宋体" w:cs="宋体"/>
                <w:b w:val="0"/>
                <w:color w:val="auto"/>
                <w:kern w:val="2"/>
                <w:sz w:val="21"/>
                <w:szCs w:val="21"/>
                <w:highlight w:val="none"/>
                <w:lang w:eastAsia="zh-CN" w:bidi="ar"/>
              </w:rPr>
            </w:pPr>
            <w:r>
              <w:rPr>
                <w:rFonts w:hint="default" w:ascii="宋体" w:hAnsi="宋体" w:eastAsia="宋体" w:cs="宋体"/>
                <w:b w:val="0"/>
                <w:color w:val="auto"/>
                <w:kern w:val="2"/>
                <w:sz w:val="21"/>
                <w:szCs w:val="21"/>
                <w:highlight w:val="none"/>
                <w:lang w:eastAsia="zh-CN" w:bidi="ar"/>
              </w:rPr>
              <w:t>差：无提供相应评审内容或差的不得分；</w:t>
            </w:r>
          </w:p>
          <w:p w14:paraId="1B70F27B">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本小项最高得</w:t>
            </w:r>
            <w:r>
              <w:rPr>
                <w:rFonts w:hint="default" w:ascii="宋体" w:hAnsi="宋体" w:eastAsia="宋体" w:cs="宋体"/>
                <w:b/>
                <w:bCs w:val="0"/>
                <w:color w:val="auto"/>
                <w:kern w:val="2"/>
                <w:sz w:val="21"/>
                <w:szCs w:val="21"/>
                <w:highlight w:val="none"/>
                <w:lang w:eastAsia="zh-CN" w:bidi="ar"/>
              </w:rPr>
              <w:t>3</w:t>
            </w:r>
            <w:r>
              <w:rPr>
                <w:rFonts w:hint="eastAsia" w:ascii="宋体" w:hAnsi="宋体" w:eastAsia="宋体" w:cs="宋体"/>
                <w:b/>
                <w:bCs w:val="0"/>
                <w:color w:val="auto"/>
                <w:kern w:val="2"/>
                <w:sz w:val="21"/>
                <w:szCs w:val="21"/>
                <w:highlight w:val="none"/>
                <w:lang w:val="en-US" w:eastAsia="zh-CN" w:bidi="ar"/>
              </w:rPr>
              <w:t>分。</w:t>
            </w:r>
          </w:p>
          <w:p w14:paraId="7E10EA2D">
            <w:pPr>
              <w:keepNext w:val="0"/>
              <w:keepLines w:val="0"/>
              <w:widowControl w:val="0"/>
              <w:suppressLineNumbers w:val="0"/>
              <w:spacing w:before="0" w:beforeAutospacing="0" w:after="0" w:afterAutospacing="0"/>
              <w:ind w:left="0" w:right="0"/>
              <w:jc w:val="left"/>
              <w:rPr>
                <w:rFonts w:hint="eastAsia" w:ascii="Times New Roman" w:hAnsi="Times New Roman" w:eastAsia="宋体" w:cs="Times New Roman"/>
                <w:color w:val="auto"/>
                <w:kern w:val="2"/>
                <w:sz w:val="21"/>
                <w:szCs w:val="21"/>
                <w:highlight w:val="none"/>
              </w:rPr>
            </w:pPr>
            <w:r>
              <w:rPr>
                <w:rFonts w:hint="eastAsia" w:ascii="宋体" w:hAnsi="宋体" w:eastAsia="宋体" w:cs="宋体"/>
                <w:b/>
                <w:bCs w:val="0"/>
                <w:color w:val="auto"/>
                <w:kern w:val="0"/>
                <w:sz w:val="21"/>
                <w:szCs w:val="21"/>
                <w:highlight w:val="none"/>
                <w:lang w:val="en-US" w:eastAsia="zh-CN" w:bidi="ar"/>
              </w:rPr>
              <w:t>注：本项最高得</w:t>
            </w:r>
            <w:r>
              <w:rPr>
                <w:rFonts w:hint="default" w:ascii="宋体" w:hAnsi="宋体" w:eastAsia="宋体" w:cs="宋体"/>
                <w:b/>
                <w:bCs w:val="0"/>
                <w:color w:val="auto"/>
                <w:kern w:val="0"/>
                <w:sz w:val="21"/>
                <w:szCs w:val="21"/>
                <w:highlight w:val="none"/>
                <w:lang w:eastAsia="zh-CN" w:bidi="ar"/>
              </w:rPr>
              <w:t>8</w:t>
            </w:r>
            <w:r>
              <w:rPr>
                <w:rFonts w:hint="eastAsia" w:ascii="宋体" w:hAnsi="宋体" w:eastAsia="宋体" w:cs="宋体"/>
                <w:b/>
                <w:bCs w:val="0"/>
                <w:color w:val="auto"/>
                <w:kern w:val="0"/>
                <w:sz w:val="21"/>
                <w:szCs w:val="21"/>
                <w:highlight w:val="none"/>
                <w:lang w:val="en-US" w:eastAsia="zh-CN" w:bidi="ar"/>
              </w:rPr>
              <w:t>分。</w:t>
            </w:r>
          </w:p>
        </w:tc>
      </w:tr>
      <w:tr w14:paraId="339FFA4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1" w:hRule="atLeast"/>
          <w:jc w:val="center"/>
        </w:trPr>
        <w:tc>
          <w:tcPr>
            <w:tcW w:w="1008" w:type="dxa"/>
            <w:gridSpan w:val="2"/>
            <w:tcBorders>
              <w:top w:val="nil"/>
              <w:left w:val="single" w:color="auto" w:sz="4" w:space="0"/>
              <w:bottom w:val="single" w:color="auto" w:sz="4" w:space="0"/>
              <w:right w:val="single" w:color="auto" w:sz="4" w:space="0"/>
            </w:tcBorders>
            <w:shd w:val="clear" w:color="auto" w:fill="auto"/>
            <w:vAlign w:val="center"/>
          </w:tcPr>
          <w:p w14:paraId="2413EB8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2.2.4</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Times New Roman"/>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w:t>
            </w:r>
          </w:p>
        </w:tc>
        <w:tc>
          <w:tcPr>
            <w:tcW w:w="1008" w:type="dxa"/>
            <w:tcBorders>
              <w:top w:val="nil"/>
              <w:left w:val="nil"/>
              <w:bottom w:val="single" w:color="auto" w:sz="4" w:space="0"/>
              <w:right w:val="single" w:color="auto" w:sz="4" w:space="0"/>
            </w:tcBorders>
            <w:shd w:val="clear" w:color="auto" w:fill="auto"/>
            <w:vAlign w:val="center"/>
          </w:tcPr>
          <w:p w14:paraId="6B9DE64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投标报价评分标准（50分）</w:t>
            </w:r>
          </w:p>
        </w:tc>
        <w:tc>
          <w:tcPr>
            <w:tcW w:w="1843" w:type="dxa"/>
            <w:tcBorders>
              <w:top w:val="single" w:color="auto" w:sz="4" w:space="0"/>
              <w:left w:val="nil"/>
              <w:bottom w:val="single" w:color="auto" w:sz="4" w:space="0"/>
              <w:right w:val="nil"/>
            </w:tcBorders>
            <w:shd w:val="clear" w:color="auto" w:fill="auto"/>
            <w:vAlign w:val="center"/>
          </w:tcPr>
          <w:p w14:paraId="4B3509F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投标报价得分</w:t>
            </w:r>
          </w:p>
          <w:p w14:paraId="5061C3C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（50分）</w:t>
            </w:r>
          </w:p>
        </w:tc>
        <w:tc>
          <w:tcPr>
            <w:tcW w:w="5648" w:type="dxa"/>
            <w:tcBorders>
              <w:top w:val="single" w:color="auto" w:sz="4" w:space="0"/>
              <w:left w:val="single" w:color="auto" w:sz="4" w:space="0"/>
              <w:bottom w:val="single" w:color="auto" w:sz="4" w:space="0"/>
              <w:right w:val="single" w:color="auto" w:sz="4" w:space="0"/>
            </w:tcBorders>
            <w:shd w:val="clear" w:color="auto" w:fill="auto"/>
            <w:vAlign w:val="center"/>
          </w:tcPr>
          <w:p w14:paraId="5731C3EC">
            <w:pPr>
              <w:keepNext w:val="0"/>
              <w:keepLines w:val="0"/>
              <w:widowControl w:val="0"/>
              <w:suppressLineNumbers w:val="0"/>
              <w:snapToGrid w:val="0"/>
              <w:spacing w:before="0" w:beforeAutospacing="0" w:after="0" w:afterAutospacing="0"/>
              <w:ind w:left="0" w:right="0"/>
              <w:contextualSpacing w:val="0"/>
              <w:jc w:val="left"/>
              <w:rPr>
                <w:rFonts w:hint="default"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（1）现金支付部分价格得分（</w:t>
            </w:r>
            <w:r>
              <w:rPr>
                <w:rFonts w:hint="default" w:ascii="宋体" w:hAnsi="宋体" w:eastAsia="宋体" w:cs="宋体"/>
                <w:b/>
                <w:color w:val="auto"/>
                <w:kern w:val="0"/>
                <w:sz w:val="21"/>
                <w:szCs w:val="21"/>
                <w:highlight w:val="none"/>
                <w:lang w:eastAsia="zh-CN" w:bidi="ar"/>
              </w:rPr>
              <w:t>25</w:t>
            </w:r>
            <w:r>
              <w:rPr>
                <w:rFonts w:hint="eastAsia" w:ascii="宋体" w:hAnsi="宋体" w:eastAsia="宋体" w:cs="宋体"/>
                <w:b/>
                <w:color w:val="auto"/>
                <w:kern w:val="0"/>
                <w:sz w:val="21"/>
                <w:szCs w:val="21"/>
                <w:highlight w:val="none"/>
                <w:lang w:val="en-US" w:eastAsia="zh-CN" w:bidi="ar"/>
              </w:rPr>
              <w:t>分）：</w:t>
            </w:r>
          </w:p>
          <w:p w14:paraId="7C7883EF">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通过初步评审的投标人的投标报价中，取投标价格最低的现金支付部分的投标报价为评标基准价；现金支付部分报价得分=(评标基准价／投标报价)×</w:t>
            </w:r>
            <w:r>
              <w:rPr>
                <w:rFonts w:hint="default" w:ascii="宋体" w:hAnsi="宋体" w:eastAsia="宋体" w:cs="宋体"/>
                <w:color w:val="auto"/>
                <w:kern w:val="0"/>
                <w:sz w:val="21"/>
                <w:szCs w:val="21"/>
                <w:highlight w:val="none"/>
                <w:lang w:eastAsia="zh-CN" w:bidi="ar"/>
              </w:rPr>
              <w:t>25</w:t>
            </w:r>
            <w:r>
              <w:rPr>
                <w:rFonts w:hint="eastAsia" w:ascii="宋体" w:hAnsi="宋体" w:eastAsia="宋体" w:cs="宋体"/>
                <w:color w:val="auto"/>
                <w:kern w:val="0"/>
                <w:sz w:val="21"/>
                <w:szCs w:val="21"/>
                <w:highlight w:val="none"/>
                <w:lang w:val="en-US" w:eastAsia="zh-CN" w:bidi="ar"/>
              </w:rPr>
              <w:t>%×100。</w:t>
            </w:r>
          </w:p>
          <w:p w14:paraId="18977BF5">
            <w:pPr>
              <w:keepNext w:val="0"/>
              <w:keepLines w:val="0"/>
              <w:widowControl w:val="0"/>
              <w:suppressLineNumbers w:val="0"/>
              <w:snapToGrid w:val="0"/>
              <w:spacing w:before="0" w:beforeAutospacing="0" w:after="0" w:afterAutospacing="0"/>
              <w:ind w:left="0" w:right="0"/>
              <w:contextualSpacing w:val="0"/>
              <w:jc w:val="left"/>
              <w:rPr>
                <w:rFonts w:hint="default" w:ascii="宋体" w:hAnsi="宋体" w:eastAsia="宋体" w:cs="宋体"/>
                <w:b/>
                <w:color w:val="auto"/>
                <w:kern w:val="0"/>
                <w:sz w:val="21"/>
                <w:szCs w:val="21"/>
                <w:highlight w:val="none"/>
                <w:lang w:eastAsia="zh-CN" w:bidi="ar"/>
              </w:rPr>
            </w:pPr>
            <w:r>
              <w:rPr>
                <w:rFonts w:hint="eastAsia" w:ascii="宋体" w:hAnsi="宋体" w:eastAsia="宋体" w:cs="宋体"/>
                <w:b/>
                <w:color w:val="auto"/>
                <w:kern w:val="0"/>
                <w:sz w:val="21"/>
                <w:szCs w:val="21"/>
                <w:highlight w:val="none"/>
                <w:lang w:eastAsia="zh-CN" w:bidi="ar"/>
              </w:rPr>
              <w:t>注：</w:t>
            </w:r>
            <w:r>
              <w:rPr>
                <w:rFonts w:hint="default" w:ascii="宋体" w:hAnsi="宋体" w:eastAsia="宋体" w:cs="宋体"/>
                <w:b/>
                <w:color w:val="auto"/>
                <w:kern w:val="0"/>
                <w:sz w:val="21"/>
                <w:szCs w:val="21"/>
                <w:highlight w:val="none"/>
                <w:lang w:eastAsia="zh-CN" w:bidi="ar"/>
              </w:rPr>
              <w:t>若出现通过初步评审的投标人的现金支付部分报价为0元的，则在计算现金支付部分的评标基准价及投标报价得分时，评标基准价按0.01取值，该投标人的投标报价按0.01取值进行计算。上述规定仅适用于投标报价得分的计算过程，不影响投标人的最终报价。</w:t>
            </w:r>
          </w:p>
          <w:p w14:paraId="664E6FFD">
            <w:pPr>
              <w:keepNext w:val="0"/>
              <w:keepLines w:val="0"/>
              <w:widowControl w:val="0"/>
              <w:suppressLineNumbers w:val="0"/>
              <w:snapToGrid w:val="0"/>
              <w:spacing w:before="0" w:beforeAutospacing="0" w:after="0" w:afterAutospacing="0"/>
              <w:ind w:left="0" w:right="0"/>
              <w:contextualSpacing w:val="0"/>
              <w:jc w:val="left"/>
              <w:rPr>
                <w:rFonts w:hint="default"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（2）赞助权益回报部分价格得分（</w:t>
            </w:r>
            <w:r>
              <w:rPr>
                <w:rFonts w:hint="default" w:ascii="宋体" w:hAnsi="宋体" w:eastAsia="宋体" w:cs="宋体"/>
                <w:b/>
                <w:color w:val="auto"/>
                <w:kern w:val="0"/>
                <w:sz w:val="21"/>
                <w:szCs w:val="21"/>
                <w:highlight w:val="none"/>
                <w:lang w:eastAsia="zh-CN" w:bidi="ar"/>
              </w:rPr>
              <w:t>25</w:t>
            </w:r>
            <w:r>
              <w:rPr>
                <w:rFonts w:hint="eastAsia" w:ascii="宋体" w:hAnsi="宋体" w:eastAsia="宋体" w:cs="宋体"/>
                <w:b/>
                <w:color w:val="auto"/>
                <w:kern w:val="0"/>
                <w:sz w:val="21"/>
                <w:szCs w:val="21"/>
                <w:highlight w:val="none"/>
                <w:lang w:val="en-US" w:eastAsia="zh-CN" w:bidi="ar"/>
              </w:rPr>
              <w:t>分）：</w:t>
            </w:r>
          </w:p>
          <w:p w14:paraId="6D963AE5">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通过初步评审的投标人的投标报价中，取投标价格最高的赞助权益回报部分的投标报价为评标基准价；赞助权益回报部分报价得分=(投标报价／评标基准价)×</w:t>
            </w:r>
            <w:r>
              <w:rPr>
                <w:rFonts w:hint="default" w:ascii="宋体" w:hAnsi="宋体" w:eastAsia="宋体" w:cs="宋体"/>
                <w:color w:val="auto"/>
                <w:kern w:val="0"/>
                <w:sz w:val="21"/>
                <w:szCs w:val="21"/>
                <w:highlight w:val="none"/>
                <w:lang w:eastAsia="zh-CN" w:bidi="ar"/>
              </w:rPr>
              <w:t>25%</w:t>
            </w:r>
            <w:r>
              <w:rPr>
                <w:rFonts w:hint="eastAsia" w:ascii="宋体" w:hAnsi="宋体" w:eastAsia="宋体" w:cs="宋体"/>
                <w:color w:val="auto"/>
                <w:kern w:val="0"/>
                <w:sz w:val="21"/>
                <w:szCs w:val="21"/>
                <w:highlight w:val="none"/>
                <w:lang w:val="en-US" w:eastAsia="zh-CN" w:bidi="ar"/>
              </w:rPr>
              <w:t>×100。</w:t>
            </w:r>
          </w:p>
          <w:p w14:paraId="6F73516B">
            <w:pPr>
              <w:keepNext w:val="0"/>
              <w:keepLines w:val="0"/>
              <w:widowControl w:val="0"/>
              <w:suppressLineNumbers w:val="0"/>
              <w:snapToGrid w:val="0"/>
              <w:spacing w:before="0" w:beforeAutospacing="0" w:after="0" w:afterAutospacing="0"/>
              <w:ind w:left="0" w:right="0"/>
              <w:contextualSpacing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注：报价得分四舍五入保留2位小数。</w:t>
            </w:r>
          </w:p>
        </w:tc>
      </w:tr>
    </w:tbl>
    <w:p w14:paraId="77D8E94B">
      <w:pPr>
        <w:keepNext w:val="0"/>
        <w:keepLines w:val="0"/>
        <w:widowControl w:val="0"/>
        <w:suppressLineNumbers w:val="0"/>
        <w:snapToGrid w:val="0"/>
        <w:spacing w:before="0" w:beforeAutospacing="0" w:after="0" w:afterAutospacing="0" w:line="360" w:lineRule="auto"/>
        <w:ind w:left="0" w:right="0"/>
        <w:jc w:val="both"/>
        <w:outlineLvl w:val="2"/>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u w:val="single"/>
          <w:lang w:val="en-US" w:eastAsia="zh-CN" w:bidi="ar"/>
        </w:rPr>
        <w:t>注：</w:t>
      </w:r>
    </w:p>
    <w:p w14:paraId="60F4B57A">
      <w:pPr>
        <w:keepNext w:val="0"/>
        <w:keepLines w:val="0"/>
        <w:widowControl w:val="0"/>
        <w:suppressLineNumbers w:val="0"/>
        <w:snapToGrid w:val="0"/>
        <w:spacing w:before="0" w:beforeAutospacing="0" w:after="0" w:afterAutospacing="0" w:line="360" w:lineRule="auto"/>
        <w:ind w:left="0" w:right="0"/>
        <w:jc w:val="both"/>
        <w:outlineLvl w:val="2"/>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u w:val="single"/>
          <w:lang w:val="en-US" w:eastAsia="zh-CN" w:bidi="ar"/>
        </w:rPr>
        <w:t>1.如对形式评审、资格评审、响应性评审中某种情形的评审意见不一致时，以评标委员会过半数成员的意见作为评标委员会对该情形的认定结论。有一项不符合评审标准的，评标委员会应当否决其投标。</w:t>
      </w:r>
    </w:p>
    <w:p w14:paraId="736A28D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highlight w:val="none"/>
        </w:rPr>
      </w:pPr>
      <w:r>
        <w:rPr>
          <w:rFonts w:hint="eastAsia" w:ascii="宋体" w:hAnsi="宋体" w:eastAsia="宋体" w:cs="宋体"/>
          <w:b/>
          <w:color w:val="auto"/>
          <w:kern w:val="2"/>
          <w:sz w:val="21"/>
          <w:szCs w:val="21"/>
          <w:highlight w:val="none"/>
          <w:u w:val="single"/>
          <w:lang w:val="en-US" w:eastAsia="zh-CN" w:bidi="ar"/>
        </w:rPr>
        <w:t>2. 不得将文件顺序、明显的文字错误等列为否决投标的情形。评委发现投标文件中含义不明确、对同类问题表述不一致、有明显文字和计算错误的，应当要求投标人作必要的澄清、说明后再判定投标人是否通过有效评审，不得直接认定其不通过有效评审。</w:t>
      </w:r>
    </w:p>
    <w:p w14:paraId="275DED57">
      <w:pPr>
        <w:keepNext w:val="0"/>
        <w:keepLines w:val="0"/>
        <w:widowControl w:val="0"/>
        <w:suppressLineNumbers w:val="0"/>
        <w:snapToGrid w:val="0"/>
        <w:spacing w:before="0" w:beforeAutospacing="0" w:after="0" w:afterAutospacing="0" w:line="360" w:lineRule="auto"/>
        <w:ind w:left="0" w:right="0"/>
        <w:jc w:val="both"/>
        <w:outlineLvl w:val="2"/>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21"/>
          <w:szCs w:val="21"/>
          <w:highlight w:val="none"/>
          <w:lang w:val="en-US" w:eastAsia="zh-CN" w:bidi="ar"/>
        </w:rPr>
        <w:br w:type="page"/>
      </w:r>
      <w:bookmarkStart w:id="85" w:name="_Toc7454659"/>
      <w:bookmarkEnd w:id="85"/>
      <w:bookmarkStart w:id="86" w:name="_Toc508382165"/>
      <w:bookmarkEnd w:id="86"/>
      <w:bookmarkStart w:id="87" w:name="_Toc508788682"/>
      <w:r>
        <w:rPr>
          <w:rFonts w:hint="eastAsia" w:ascii="宋体" w:hAnsi="宋体" w:eastAsia="宋体" w:cs="宋体"/>
          <w:b/>
          <w:color w:val="auto"/>
          <w:kern w:val="2"/>
          <w:sz w:val="30"/>
          <w:szCs w:val="30"/>
          <w:highlight w:val="none"/>
          <w:lang w:val="en-US" w:eastAsia="zh-CN" w:bidi="ar"/>
        </w:rPr>
        <w:t xml:space="preserve">1.评标方法 </w:t>
      </w:r>
      <w:bookmarkEnd w:id="87"/>
    </w:p>
    <w:p w14:paraId="2FC0D49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r>
        <w:rPr>
          <w:rFonts w:hint="eastAsia" w:ascii="宋体" w:hAnsi="宋体" w:eastAsia="宋体" w:cs="宋体"/>
          <w:color w:val="auto"/>
          <w:kern w:val="2"/>
          <w:sz w:val="24"/>
          <w:szCs w:val="24"/>
          <w:highlight w:val="none"/>
          <w:u w:val="single"/>
          <w:lang w:eastAsia="zh-CN" w:bidi="ar"/>
        </w:rPr>
        <w:t>综合评分相等时，以现金支付部分投标报价低的优先；现金支付部分投标报价也相等的，以赞助权益回报部分投标报价高的优先；赞助权益回报部分投标报价也相等的，以技术得分高的优先；如果技术得分也相等，以商务得分高的优先；如仍存在相同情况，则对具有相同情况的投标人，按中标候选人数量规定，由评标委员会采用记名投票的方式，确定中标候选人的排序。</w:t>
      </w:r>
    </w:p>
    <w:p w14:paraId="78891C7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2. 评审标准</w:t>
      </w:r>
    </w:p>
    <w:p w14:paraId="33DF3BA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2.1 初步评审标准</w:t>
      </w:r>
    </w:p>
    <w:p w14:paraId="6E3B6EC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2.1.1形式评审标准：见评标办法前附表。</w:t>
      </w:r>
    </w:p>
    <w:p w14:paraId="033B4C2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2.1.2资格评审标准：见评标办法前附表。</w:t>
      </w:r>
    </w:p>
    <w:p w14:paraId="5B92037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2.1.3响应性评审标准：见评标办法前附表。</w:t>
      </w:r>
    </w:p>
    <w:p w14:paraId="562C805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2.2 分值构成与评分标准</w:t>
      </w:r>
    </w:p>
    <w:p w14:paraId="1392897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2.2.1分值构成</w:t>
      </w:r>
    </w:p>
    <w:p w14:paraId="53A59E1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（1）商务部分：见评标办法前附表；</w:t>
      </w:r>
    </w:p>
    <w:p w14:paraId="267A991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（2）技术部分：见评标办法前附表；</w:t>
      </w:r>
    </w:p>
    <w:p w14:paraId="07E4B12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（3）投标报价：见评标办法前附表；</w:t>
      </w:r>
    </w:p>
    <w:p w14:paraId="10D8FEB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u w:val="single"/>
          <w:lang w:val="en-US" w:eastAsia="zh-CN" w:bidi="ar"/>
        </w:rPr>
        <w:t>投标人总得分为各评委评分的算术平均分（分数出现小数点时，保留小数点后二位，第三位小数四舍五入）。</w:t>
      </w:r>
    </w:p>
    <w:p w14:paraId="10E4263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2.2.2评标基准价计算</w:t>
      </w:r>
    </w:p>
    <w:p w14:paraId="4426D49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评标基准价计算方法：见评标办法前附表。</w:t>
      </w:r>
    </w:p>
    <w:p w14:paraId="234D0DF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2.2.3投标报价的偏差率计算</w:t>
      </w:r>
    </w:p>
    <w:p w14:paraId="2C113A4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投标报价的偏差率计算公式：见评标办法前附表。</w:t>
      </w:r>
    </w:p>
    <w:p w14:paraId="5355368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2.2.4评分标准</w:t>
      </w:r>
    </w:p>
    <w:p w14:paraId="762781A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（1）商务评分标准：见评标办法前附表；</w:t>
      </w:r>
    </w:p>
    <w:p w14:paraId="41B2ACB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（2）技术评分标准：见评标办法前附表；</w:t>
      </w:r>
    </w:p>
    <w:p w14:paraId="3BC911E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（3）投标报价评分标准：见评标办法前附表；</w:t>
      </w:r>
    </w:p>
    <w:p w14:paraId="3CD54E67">
      <w:pPr>
        <w:keepNext w:val="0"/>
        <w:keepLines w:val="0"/>
        <w:widowControl w:val="0"/>
        <w:suppressLineNumbers w:val="0"/>
        <w:snapToGrid w:val="0"/>
        <w:spacing w:before="0" w:beforeAutospacing="0" w:after="0" w:afterAutospacing="0" w:line="360" w:lineRule="auto"/>
        <w:ind w:left="0" w:right="0"/>
        <w:jc w:val="both"/>
        <w:outlineLvl w:val="2"/>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3. 评标程序</w:t>
      </w:r>
    </w:p>
    <w:p w14:paraId="6AEE84E8">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3.1 初步评审</w:t>
      </w:r>
    </w:p>
    <w:p w14:paraId="047C3B6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2BC78F4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3.1.2投标人有以下情形之一的，评标委员会应当否决其投标：</w:t>
      </w:r>
    </w:p>
    <w:p w14:paraId="32AF360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（1）投标文件没有对招标文件的实质性要求和条件作出响应，或者对招标文件的偏差超出招标文件规定的偏差范围或最高项数；</w:t>
      </w:r>
    </w:p>
    <w:p w14:paraId="6497942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（2）有串通投标、弄虚作假、行贿等违法行为。</w:t>
      </w:r>
    </w:p>
    <w:p w14:paraId="096A1922">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u w:val="single"/>
          <w:lang w:val="en-US" w:eastAsia="zh-CN" w:bidi="ar"/>
        </w:rPr>
        <w:t>注：不得将文件顺序、明显的文字错误等列为否决投标的情形。评委发现投标文件中含义不明确、对同类问题表述不一致、有明显文字和计算错误的，应当要求投标人作必要的澄清、说明后再判定投标人是否通过有效评审，不得直接认定其不通过有效评审。</w:t>
      </w:r>
    </w:p>
    <w:p w14:paraId="431D961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3.1.3投标报价有算术错误及其他错误的，评标委员会按以下原则要求投标人对投标报价进行修正，并要求投标人书面澄清确认。投标人拒不澄清确认的，评标委员会应当否决其投标：</w:t>
      </w:r>
    </w:p>
    <w:p w14:paraId="1BF0C50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（1）投标文件中的大写金额与小写金额不一致的，以大写金额为准；</w:t>
      </w:r>
    </w:p>
    <w:p w14:paraId="653B4B2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（2）总价金额与单价金额不一致的，以单价金额为准，但单价金额小数点有明显错误的除外；</w:t>
      </w:r>
    </w:p>
    <w:p w14:paraId="2D0E89B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（3）投标报价为各分项报价金额之和，投标报价与分项报价的合价不一致的，应以各分项合价累计数为准，修正投标报价；</w:t>
      </w:r>
    </w:p>
    <w:p w14:paraId="6FA015E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（4）如果分项报价中存在缺漏项，则视为缺漏项价格已包含在其他分项报价之中。</w:t>
      </w:r>
    </w:p>
    <w:p w14:paraId="16E792A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trike w:val="0"/>
          <w:dstrike w:val="0"/>
          <w:color w:val="auto"/>
          <w:kern w:val="2"/>
          <w:sz w:val="24"/>
          <w:szCs w:val="24"/>
          <w:highlight w:val="none"/>
          <w:u w:val="single"/>
        </w:rPr>
      </w:pPr>
      <w:r>
        <w:rPr>
          <w:rFonts w:hint="eastAsia" w:ascii="宋体" w:hAnsi="宋体" w:eastAsia="宋体" w:cs="宋体"/>
          <w:strike w:val="0"/>
          <w:dstrike w:val="0"/>
          <w:color w:val="auto"/>
          <w:kern w:val="2"/>
          <w:sz w:val="24"/>
          <w:szCs w:val="24"/>
          <w:highlight w:val="none"/>
          <w:u w:val="single"/>
          <w:lang w:val="en-US" w:eastAsia="zh-CN" w:bidi="ar"/>
        </w:rPr>
        <w:t>3.1.4如果投标人的有关暂列金额等</w:t>
      </w:r>
      <w:r>
        <w:rPr>
          <w:rFonts w:hint="default" w:ascii="宋体" w:hAnsi="宋体" w:eastAsia="宋体" w:cs="宋体"/>
          <w:strike w:val="0"/>
          <w:dstrike w:val="0"/>
          <w:color w:val="auto"/>
          <w:kern w:val="2"/>
          <w:sz w:val="24"/>
          <w:szCs w:val="24"/>
          <w:highlight w:val="none"/>
          <w:u w:val="single"/>
          <w:lang w:eastAsia="zh-CN" w:bidi="ar"/>
        </w:rPr>
        <w:t>非竞争</w:t>
      </w:r>
      <w:r>
        <w:rPr>
          <w:rFonts w:hint="eastAsia" w:ascii="宋体" w:hAnsi="宋体" w:eastAsia="宋体" w:cs="宋体"/>
          <w:strike w:val="0"/>
          <w:dstrike w:val="0"/>
          <w:color w:val="auto"/>
          <w:kern w:val="2"/>
          <w:sz w:val="24"/>
          <w:szCs w:val="24"/>
          <w:highlight w:val="none"/>
          <w:u w:val="single"/>
          <w:lang w:val="en-US" w:eastAsia="zh-CN" w:bidi="ar"/>
        </w:rPr>
        <w:t>未按</w:t>
      </w:r>
      <w:r>
        <w:rPr>
          <w:rFonts w:hint="default" w:ascii="宋体" w:hAnsi="宋体" w:eastAsia="宋体" w:cs="宋体"/>
          <w:strike w:val="0"/>
          <w:dstrike w:val="0"/>
          <w:color w:val="auto"/>
          <w:kern w:val="2"/>
          <w:sz w:val="24"/>
          <w:szCs w:val="24"/>
          <w:highlight w:val="none"/>
          <w:u w:val="single"/>
          <w:lang w:eastAsia="zh-CN" w:bidi="ar"/>
        </w:rPr>
        <w:t>最高投标限价</w:t>
      </w:r>
      <w:r>
        <w:rPr>
          <w:rFonts w:hint="eastAsia" w:ascii="宋体" w:hAnsi="宋体" w:eastAsia="宋体" w:cs="宋体"/>
          <w:strike w:val="0"/>
          <w:dstrike w:val="0"/>
          <w:color w:val="auto"/>
          <w:kern w:val="2"/>
          <w:sz w:val="24"/>
          <w:szCs w:val="24"/>
          <w:highlight w:val="none"/>
          <w:u w:val="single"/>
          <w:lang w:val="en-US" w:eastAsia="zh-CN" w:bidi="ar"/>
        </w:rPr>
        <w:t>公布函规定的金额填写的，由评标委员会按照招标控制价公布函规定的金额进行修正。</w:t>
      </w:r>
    </w:p>
    <w:p w14:paraId="6060A35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u w:val="single"/>
          <w:lang w:val="en-US" w:eastAsia="zh-CN" w:bidi="ar"/>
        </w:rPr>
      </w:pPr>
      <w:r>
        <w:rPr>
          <w:rFonts w:hint="eastAsia" w:ascii="宋体" w:hAnsi="宋体" w:eastAsia="宋体" w:cs="宋体"/>
          <w:color w:val="auto"/>
          <w:kern w:val="2"/>
          <w:sz w:val="24"/>
          <w:szCs w:val="24"/>
          <w:highlight w:val="none"/>
          <w:u w:val="single"/>
          <w:lang w:val="en-US" w:eastAsia="zh-CN" w:bidi="ar"/>
        </w:rPr>
        <w:t>3.1.5现金支付部分：按就低不就高原则，当修正后报价小于原报价，总价按修正后报价；当修正后报价大于原报价，总价按原报价，并在签订合同时载明在过程支付和结算价中扣除修正报价与原报价的差额。</w:t>
      </w:r>
    </w:p>
    <w:p w14:paraId="5A2C079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u w:val="single"/>
          <w:lang w:bidi="ar"/>
        </w:rPr>
      </w:pPr>
      <w:r>
        <w:rPr>
          <w:rFonts w:hint="eastAsia" w:ascii="宋体" w:hAnsi="宋体" w:eastAsia="宋体" w:cs="宋体"/>
          <w:color w:val="auto"/>
          <w:kern w:val="2"/>
          <w:sz w:val="24"/>
          <w:szCs w:val="24"/>
          <w:highlight w:val="none"/>
          <w:u w:val="single"/>
          <w:lang w:eastAsia="zh-CN" w:bidi="ar"/>
        </w:rPr>
        <w:t>3.1.6</w:t>
      </w:r>
      <w:r>
        <w:rPr>
          <w:rFonts w:hint="eastAsia" w:ascii="宋体" w:hAnsi="宋体" w:eastAsia="宋体" w:cs="宋体"/>
          <w:color w:val="auto"/>
          <w:kern w:val="2"/>
          <w:sz w:val="24"/>
          <w:szCs w:val="24"/>
          <w:highlight w:val="none"/>
          <w:u w:val="single"/>
          <w:lang w:val="en-US" w:eastAsia="zh-CN" w:bidi="ar"/>
        </w:rPr>
        <w:t>赞助权益回报部分：按就高不就低原则，当修正后报价小于原报价，总价按原报价；当修正后报价大于原报价，总价按修正后报价，并在签订合同时载明在过程支付和结算价中扣除修正报价与原报价的差额。</w:t>
      </w:r>
    </w:p>
    <w:p w14:paraId="5F4454C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u w:val="single"/>
          <w:lang w:val="en-US" w:eastAsia="zh-CN" w:bidi="ar"/>
        </w:rPr>
      </w:pPr>
    </w:p>
    <w:p w14:paraId="16053C7C">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3.2 详细评审</w:t>
      </w:r>
    </w:p>
    <w:p w14:paraId="0F14019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3.2.1评标委员会按本章第2.2款规定的量化因素和分值进行打分，并计算出综合评估得分。</w:t>
      </w:r>
    </w:p>
    <w:p w14:paraId="758B5E7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（1）按本章第2.2.4（1）目规定的评审因素和分值对商务部分计算出得分A；</w:t>
      </w:r>
    </w:p>
    <w:p w14:paraId="5834A80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（2）按本章第2.2.4（2）目规定的评审因素和分值对技术部分计算出得分B；</w:t>
      </w:r>
    </w:p>
    <w:p w14:paraId="0EC3AC6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（3）按本章第2.2.4（3）目规定的评审因素和分值对投标报价计算出得分C。</w:t>
      </w:r>
    </w:p>
    <w:p w14:paraId="00A2345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3.2.2评分分值计算保留小数点后两位，小数点后第三位“四舍五入”。</w:t>
      </w:r>
    </w:p>
    <w:p w14:paraId="4549495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val="en-US" w:eastAsia="zh-CN" w:bidi="ar"/>
        </w:rPr>
        <w:t>3.2.3</w:t>
      </w:r>
      <w:r>
        <w:rPr>
          <w:rFonts w:hint="eastAsia" w:ascii="宋体" w:hAnsi="宋体" w:eastAsia="宋体" w:cs="宋体"/>
          <w:color w:val="auto"/>
          <w:kern w:val="2"/>
          <w:sz w:val="24"/>
          <w:szCs w:val="24"/>
          <w:highlight w:val="none"/>
          <w:u w:val="single"/>
          <w:lang w:val="en-US" w:eastAsia="zh-CN" w:bidi="ar"/>
        </w:rPr>
        <w:t>投标人得分=商务部分（满分10分）+技术部分（满分</w:t>
      </w:r>
      <w:r>
        <w:rPr>
          <w:rFonts w:hint="default" w:ascii="宋体" w:hAnsi="宋体" w:eastAsia="宋体" w:cs="宋体"/>
          <w:color w:val="auto"/>
          <w:kern w:val="2"/>
          <w:sz w:val="24"/>
          <w:szCs w:val="24"/>
          <w:highlight w:val="none"/>
          <w:u w:val="single"/>
          <w:lang w:eastAsia="zh-CN" w:bidi="ar"/>
        </w:rPr>
        <w:t>4</w:t>
      </w:r>
      <w:r>
        <w:rPr>
          <w:rFonts w:hint="eastAsia" w:ascii="宋体" w:hAnsi="宋体" w:eastAsia="宋体" w:cs="宋体"/>
          <w:color w:val="auto"/>
          <w:kern w:val="2"/>
          <w:sz w:val="24"/>
          <w:szCs w:val="24"/>
          <w:highlight w:val="none"/>
          <w:u w:val="single"/>
          <w:lang w:val="en-US" w:eastAsia="zh-CN" w:bidi="ar"/>
        </w:rPr>
        <w:t>0分）+投标报价（满分</w:t>
      </w:r>
      <w:r>
        <w:rPr>
          <w:rFonts w:hint="default" w:ascii="宋体" w:hAnsi="宋体" w:eastAsia="宋体" w:cs="宋体"/>
          <w:color w:val="auto"/>
          <w:kern w:val="2"/>
          <w:sz w:val="24"/>
          <w:szCs w:val="24"/>
          <w:highlight w:val="none"/>
          <w:u w:val="single"/>
          <w:lang w:eastAsia="zh-CN" w:bidi="ar"/>
        </w:rPr>
        <w:t>5</w:t>
      </w:r>
      <w:r>
        <w:rPr>
          <w:rFonts w:hint="eastAsia" w:ascii="宋体" w:hAnsi="宋体" w:eastAsia="宋体" w:cs="宋体"/>
          <w:color w:val="auto"/>
          <w:kern w:val="2"/>
          <w:sz w:val="24"/>
          <w:szCs w:val="24"/>
          <w:highlight w:val="none"/>
          <w:u w:val="single"/>
          <w:lang w:val="en-US" w:eastAsia="zh-CN" w:bidi="ar"/>
        </w:rPr>
        <w:t>0分）。投标人总得分为各评委评分的算术平均分（分数出现小数点</w:t>
      </w:r>
      <w:r>
        <w:rPr>
          <w:rFonts w:hint="eastAsia" w:ascii="宋体" w:hAnsi="宋体" w:eastAsia="宋体" w:cs="宋体"/>
          <w:color w:val="auto"/>
          <w:kern w:val="2"/>
          <w:sz w:val="24"/>
          <w:szCs w:val="24"/>
          <w:highlight w:val="none"/>
          <w:u w:val="none"/>
          <w:lang w:val="en-US" w:eastAsia="zh-CN" w:bidi="ar"/>
        </w:rPr>
        <w:t>时，保留小数点后二位，第三位小数四舍五入）。</w:t>
      </w:r>
    </w:p>
    <w:p w14:paraId="317BDBC9">
      <w:pPr>
        <w:keepNext w:val="0"/>
        <w:keepLines w:val="0"/>
        <w:widowControl w:val="0"/>
        <w:suppressLineNumbers w:val="0"/>
        <w:snapToGrid/>
        <w:spacing w:before="0" w:beforeAutospacing="0" w:after="0" w:afterAutospacing="0" w:line="360" w:lineRule="auto"/>
        <w:ind w:left="0" w:right="0" w:firstLine="480" w:firstLineChars="200"/>
        <w:jc w:val="both"/>
        <w:rPr>
          <w:rFonts w:hint="eastAsia" w:ascii="宋体" w:hAnsi="宋体" w:eastAsia="宋体" w:cs="宋体"/>
          <w:b w:val="0"/>
          <w:color w:val="auto"/>
          <w:kern w:val="2"/>
          <w:sz w:val="24"/>
          <w:szCs w:val="24"/>
          <w:highlight w:val="none"/>
          <w:lang w:bidi="ar"/>
        </w:rPr>
      </w:pPr>
      <w:r>
        <w:rPr>
          <w:rFonts w:hint="eastAsia" w:ascii="宋体" w:hAnsi="宋体" w:eastAsia="宋体" w:cs="宋体"/>
          <w:color w:val="auto"/>
          <w:kern w:val="2"/>
          <w:sz w:val="24"/>
          <w:szCs w:val="24"/>
          <w:highlight w:val="none"/>
          <w:lang w:val="en-US" w:eastAsia="zh-CN" w:bidi="ar"/>
        </w:rPr>
        <w:t>3.2.4 评标委员会发现投标人的报现金支付部分价明显低于其他现金支付部分投标报价，使得其现金支付部分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5CD58E1E">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 xml:space="preserve"> </w:t>
      </w:r>
    </w:p>
    <w:p w14:paraId="4C7F18E1">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3.3 投标文件的澄清</w:t>
      </w:r>
    </w:p>
    <w:p w14:paraId="0970132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20F7F7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3.3.2 澄清、说明或补正不得超出投标文件的范围且不得改变投标文件的实质性内容，并构成投标文件的组成部分。</w:t>
      </w:r>
    </w:p>
    <w:p w14:paraId="223F378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3.3.3评标委员会对投标人提交的澄清、说明或补正有疑问的，可以要求投标人进一步澄清、说明或补正，直至满足评标委员会的要求。</w:t>
      </w:r>
    </w:p>
    <w:p w14:paraId="2D6B6344">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3.4 评标结果</w:t>
      </w:r>
    </w:p>
    <w:p w14:paraId="3ABAE90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3.4.1除第二章“投标人须知”前附表授权直接确定中标人外，评标委员会按照得分由高到低的顺序推荐中标候选人，并标明排序。</w:t>
      </w:r>
    </w:p>
    <w:p w14:paraId="2E64FA1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3.4.2评标委员会完成评标后，应当向招标人提交书面评标报告和中标候选人名单。</w:t>
      </w:r>
    </w:p>
    <w:p w14:paraId="4BE74923">
      <w:pPr>
        <w:pStyle w:val="4"/>
        <w:widowControl/>
        <w:spacing w:line="360" w:lineRule="auto"/>
        <w:rPr>
          <w:rFonts w:hint="eastAsia" w:ascii="宋体" w:hAnsi="宋体" w:eastAsia="宋体" w:cs="宋体"/>
          <w:color w:val="auto"/>
          <w:kern w:val="0"/>
          <w:sz w:val="24"/>
          <w:szCs w:val="24"/>
          <w:highlight w:val="none"/>
        </w:rPr>
      </w:pPr>
      <w:bookmarkStart w:id="88" w:name="OLE_LINK1"/>
      <w:bookmarkEnd w:id="88"/>
      <w:r>
        <w:rPr>
          <w:rFonts w:hint="eastAsia" w:ascii="宋体" w:hAnsi="宋体" w:eastAsia="宋体" w:cs="宋体"/>
          <w:color w:val="auto"/>
          <w:kern w:val="0"/>
          <w:sz w:val="24"/>
          <w:szCs w:val="24"/>
          <w:highlight w:val="none"/>
        </w:rPr>
        <w:t xml:space="preserve"> </w:t>
      </w:r>
    </w:p>
    <w:p w14:paraId="4ECE0CBD">
      <w:pPr>
        <w:spacing w:line="360" w:lineRule="auto"/>
        <w:rPr>
          <w:rFonts w:hint="eastAsia" w:ascii="宋体" w:hAnsi="宋体" w:eastAsia="宋体" w:cs="宋体"/>
          <w:color w:val="auto"/>
          <w:kern w:val="2"/>
          <w:sz w:val="21"/>
          <w:szCs w:val="21"/>
          <w:highlight w:val="none"/>
        </w:rPr>
        <w:sectPr>
          <w:pgSz w:w="11905" w:h="16838"/>
          <w:pgMar w:top="1440" w:right="1797" w:bottom="1440" w:left="1797" w:header="567" w:footer="850" w:gutter="0"/>
          <w:cols w:space="425" w:num="1"/>
          <w:docGrid w:type="lines" w:linePitch="312" w:charSpace="0"/>
        </w:sectPr>
      </w:pPr>
    </w:p>
    <w:p w14:paraId="63F0650E">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b/>
          <w:bCs w:val="0"/>
          <w:color w:val="auto"/>
          <w:kern w:val="2"/>
          <w:sz w:val="44"/>
          <w:szCs w:val="44"/>
          <w:highlight w:val="none"/>
        </w:rPr>
      </w:pPr>
      <w:bookmarkStart w:id="89" w:name="_Toc140071428"/>
      <w:bookmarkEnd w:id="89"/>
      <w:r>
        <w:rPr>
          <w:rFonts w:hint="eastAsia" w:ascii="宋体" w:hAnsi="宋体" w:eastAsia="宋体" w:cs="宋体"/>
          <w:b/>
          <w:bCs w:val="0"/>
          <w:color w:val="auto"/>
          <w:kern w:val="2"/>
          <w:sz w:val="44"/>
          <w:szCs w:val="44"/>
          <w:highlight w:val="none"/>
          <w:lang w:val="en-US" w:eastAsia="zh-CN" w:bidi="ar"/>
        </w:rPr>
        <w:t>第四章合同条款及格式</w:t>
      </w:r>
    </w:p>
    <w:p w14:paraId="6805A15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bookmarkStart w:id="90" w:name="_Toc16292"/>
      <w:bookmarkEnd w:id="90"/>
      <w:bookmarkStart w:id="91" w:name="_Toc7454660"/>
      <w:r>
        <w:rPr>
          <w:rFonts w:hint="eastAsia" w:ascii="宋体" w:hAnsi="宋体" w:eastAsia="宋体" w:cs="宋体"/>
          <w:color w:val="auto"/>
          <w:kern w:val="2"/>
          <w:sz w:val="24"/>
          <w:szCs w:val="24"/>
          <w:highlight w:val="none"/>
          <w:lang w:val="en-US" w:eastAsia="zh-CN" w:bidi="ar"/>
        </w:rPr>
        <w:t xml:space="preserve"> </w:t>
      </w:r>
      <w:bookmarkEnd w:id="91"/>
    </w:p>
    <w:p w14:paraId="132B91D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注：中标后将根据立项分别签订合同。</w:t>
      </w:r>
    </w:p>
    <w:p w14:paraId="244F2E02">
      <w:pPr>
        <w:keepNext w:val="0"/>
        <w:keepLines w:val="0"/>
        <w:widowControl/>
        <w:suppressLineNumbers w:val="0"/>
        <w:spacing w:before="0" w:beforeAutospacing="0" w:after="0" w:afterAutospacing="0" w:line="360" w:lineRule="auto"/>
        <w:ind w:left="0" w:right="0"/>
        <w:jc w:val="center"/>
        <w:rPr>
          <w:color w:val="auto"/>
          <w:highlight w:val="none"/>
        </w:rPr>
      </w:pPr>
      <w:r>
        <w:rPr>
          <w:rFonts w:hint="eastAsia" w:ascii="宋体" w:hAnsi="宋体" w:eastAsia="宋体" w:cs="宋体"/>
          <w:color w:val="auto"/>
          <w:kern w:val="2"/>
          <w:sz w:val="24"/>
          <w:szCs w:val="24"/>
          <w:highlight w:val="none"/>
          <w:lang w:val="en-US" w:eastAsia="zh-CN" w:bidi="ar"/>
        </w:rPr>
        <w:t>（另册）</w:t>
      </w:r>
    </w:p>
    <w:p w14:paraId="7468BB80">
      <w:pPr>
        <w:spacing w:line="360" w:lineRule="auto"/>
        <w:rPr>
          <w:rFonts w:hint="eastAsia" w:ascii="宋体" w:hAnsi="宋体" w:eastAsia="宋体" w:cs="宋体"/>
          <w:color w:val="auto"/>
          <w:kern w:val="2"/>
          <w:sz w:val="24"/>
          <w:szCs w:val="24"/>
          <w:highlight w:val="none"/>
        </w:rPr>
        <w:sectPr>
          <w:pgSz w:w="11906" w:h="16838"/>
          <w:pgMar w:top="1440" w:right="1440" w:bottom="1440" w:left="1440" w:header="851" w:footer="992" w:gutter="0"/>
          <w:cols w:space="425" w:num="1"/>
          <w:titlePg/>
          <w:docGrid w:type="lines" w:linePitch="312" w:charSpace="0"/>
        </w:sectPr>
      </w:pPr>
    </w:p>
    <w:p w14:paraId="1A43C89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p w14:paraId="4BD20978">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b/>
          <w:bCs w:val="0"/>
          <w:color w:val="auto"/>
          <w:kern w:val="44"/>
          <w:sz w:val="44"/>
          <w:szCs w:val="44"/>
          <w:highlight w:val="none"/>
        </w:rPr>
      </w:pPr>
      <w:bookmarkStart w:id="92" w:name="_Toc140071429"/>
      <w:bookmarkEnd w:id="92"/>
      <w:bookmarkStart w:id="93" w:name="_Toc508788683"/>
      <w:bookmarkEnd w:id="93"/>
      <w:bookmarkStart w:id="94" w:name="_Toc7454661"/>
      <w:bookmarkEnd w:id="94"/>
      <w:bookmarkStart w:id="95" w:name="_Toc25173"/>
      <w:r>
        <w:rPr>
          <w:rFonts w:hint="eastAsia" w:ascii="宋体" w:hAnsi="宋体" w:eastAsia="宋体" w:cs="宋体"/>
          <w:b/>
          <w:bCs w:val="0"/>
          <w:color w:val="auto"/>
          <w:kern w:val="44"/>
          <w:sz w:val="44"/>
          <w:szCs w:val="44"/>
          <w:highlight w:val="none"/>
          <w:lang w:val="en-US" w:eastAsia="zh-CN" w:bidi="ar"/>
        </w:rPr>
        <w:t>第二卷</w:t>
      </w:r>
      <w:bookmarkEnd w:id="95"/>
    </w:p>
    <w:p w14:paraId="33963274">
      <w:pPr>
        <w:keepNext w:val="0"/>
        <w:keepLines w:val="0"/>
        <w:widowControl/>
        <w:suppressLineNumbers w:val="0"/>
        <w:spacing w:before="0" w:beforeAutospacing="0" w:after="0" w:afterAutospacing="0" w:line="256" w:lineRule="auto"/>
        <w:ind w:left="0" w:right="1604"/>
        <w:jc w:val="right"/>
        <w:rPr>
          <w:rFonts w:hint="eastAsia" w:ascii="宋体" w:hAnsi="宋体" w:eastAsia="宋体" w:cs="宋体"/>
          <w:color w:val="auto"/>
          <w:kern w:val="2"/>
          <w:sz w:val="22"/>
          <w:szCs w:val="22"/>
          <w:highlight w:val="none"/>
        </w:rPr>
      </w:pPr>
      <w:r>
        <w:rPr>
          <w:rFonts w:hint="eastAsia" w:ascii="宋体" w:hAnsi="宋体" w:eastAsia="宋体" w:cs="宋体"/>
          <w:b/>
          <w:bCs w:val="0"/>
          <w:color w:val="auto"/>
          <w:kern w:val="2"/>
          <w:sz w:val="44"/>
          <w:szCs w:val="44"/>
          <w:highlight w:val="none"/>
          <w:lang w:val="en-US" w:eastAsia="zh-CN" w:bidi="ar"/>
        </w:rPr>
        <w:br w:type="page"/>
      </w:r>
    </w:p>
    <w:p w14:paraId="2512E9C9">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b/>
          <w:bCs w:val="0"/>
          <w:color w:val="auto"/>
          <w:kern w:val="2"/>
          <w:sz w:val="44"/>
          <w:szCs w:val="44"/>
          <w:highlight w:val="none"/>
        </w:rPr>
      </w:pPr>
      <w:bookmarkStart w:id="96" w:name="_Toc7454662"/>
      <w:bookmarkEnd w:id="96"/>
      <w:bookmarkStart w:id="97" w:name="_Toc508788684"/>
      <w:bookmarkEnd w:id="97"/>
      <w:bookmarkStart w:id="98" w:name="_Toc140071430"/>
      <w:r>
        <w:rPr>
          <w:rFonts w:hint="eastAsia" w:ascii="宋体" w:hAnsi="宋体" w:eastAsia="宋体" w:cs="宋体"/>
          <w:b/>
          <w:bCs w:val="0"/>
          <w:color w:val="auto"/>
          <w:kern w:val="2"/>
          <w:sz w:val="44"/>
          <w:szCs w:val="44"/>
          <w:highlight w:val="none"/>
          <w:lang w:val="en-US" w:eastAsia="zh-CN" w:bidi="ar"/>
        </w:rPr>
        <w:t>第五章</w:t>
      </w:r>
      <w:bookmarkEnd w:id="98"/>
      <w:r>
        <w:rPr>
          <w:rFonts w:hint="eastAsia" w:ascii="宋体" w:hAnsi="宋体" w:eastAsia="宋体" w:cs="宋体"/>
          <w:b/>
          <w:bCs w:val="0"/>
          <w:color w:val="auto"/>
          <w:kern w:val="2"/>
          <w:sz w:val="44"/>
          <w:szCs w:val="44"/>
          <w:highlight w:val="none"/>
          <w:lang w:val="en-US" w:eastAsia="zh-CN" w:bidi="ar"/>
        </w:rPr>
        <w:t xml:space="preserve"> 供货要求</w:t>
      </w:r>
    </w:p>
    <w:p w14:paraId="04BEDF8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bookmarkStart w:id="99" w:name="_Toc7454663"/>
      <w:bookmarkEnd w:id="99"/>
      <w:r>
        <w:rPr>
          <w:rFonts w:hint="eastAsia" w:ascii="宋体" w:hAnsi="宋体" w:eastAsia="宋体" w:cs="宋体"/>
          <w:color w:val="auto"/>
          <w:kern w:val="2"/>
          <w:sz w:val="24"/>
          <w:szCs w:val="24"/>
          <w:highlight w:val="none"/>
          <w:lang w:val="en-US" w:eastAsia="zh-CN" w:bidi="ar"/>
        </w:rPr>
        <w:t xml:space="preserve"> </w:t>
      </w:r>
    </w:p>
    <w:p w14:paraId="28F54F71">
      <w:pPr>
        <w:keepNext w:val="0"/>
        <w:keepLines w:val="0"/>
        <w:widowControl w:val="0"/>
        <w:suppressLineNumbers w:val="0"/>
        <w:snapToGrid w:val="0"/>
        <w:spacing w:before="156" w:beforeLines="50" w:beforeAutospacing="0" w:after="0" w:afterAutospacing="0" w:line="360" w:lineRule="auto"/>
        <w:ind w:left="0" w:right="0"/>
        <w:jc w:val="center"/>
        <w:rPr>
          <w:rFonts w:hint="default" w:ascii="宋体" w:hAnsi="宋体" w:eastAsia="宋体" w:cs="宋体"/>
          <w:color w:val="auto"/>
          <w:kern w:val="2"/>
          <w:sz w:val="32"/>
          <w:szCs w:val="32"/>
          <w:highlight w:val="none"/>
          <w:lang w:eastAsia="zh-CN" w:bidi="ar"/>
        </w:rPr>
      </w:pPr>
      <w:r>
        <w:rPr>
          <w:rFonts w:hint="default" w:ascii="宋体" w:hAnsi="宋体" w:eastAsia="宋体" w:cs="宋体"/>
          <w:color w:val="auto"/>
          <w:kern w:val="2"/>
          <w:sz w:val="32"/>
          <w:szCs w:val="32"/>
          <w:highlight w:val="none"/>
          <w:lang w:eastAsia="zh-CN" w:bidi="ar"/>
        </w:rPr>
        <w:t>品牌厂家推荐表</w:t>
      </w:r>
    </w:p>
    <w:tbl>
      <w:tblPr>
        <w:tblStyle w:val="10"/>
        <w:tblW w:w="91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0"/>
        <w:gridCol w:w="3121"/>
        <w:gridCol w:w="5519"/>
      </w:tblGrid>
      <w:tr w14:paraId="2C7B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F0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序号</w:t>
            </w:r>
          </w:p>
        </w:tc>
        <w:tc>
          <w:tcPr>
            <w:tcW w:w="3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CE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体育工艺名称</w:t>
            </w:r>
          </w:p>
        </w:tc>
        <w:tc>
          <w:tcPr>
            <w:tcW w:w="5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E8F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品牌及厂家</w:t>
            </w:r>
            <w:r>
              <w:rPr>
                <w:rFonts w:hint="default" w:ascii="宋体" w:hAnsi="宋体" w:eastAsia="宋体" w:cs="宋体"/>
                <w:b/>
                <w:i w:val="0"/>
                <w:color w:val="auto"/>
                <w:kern w:val="0"/>
                <w:sz w:val="20"/>
                <w:szCs w:val="20"/>
                <w:highlight w:val="none"/>
                <w:u w:val="none"/>
                <w:lang w:eastAsia="zh-CN" w:bidi="ar"/>
              </w:rPr>
              <w:t>（推荐或相当于）</w:t>
            </w:r>
          </w:p>
        </w:tc>
      </w:tr>
      <w:tr w14:paraId="4A449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C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一</w:t>
            </w:r>
          </w:p>
        </w:tc>
        <w:tc>
          <w:tcPr>
            <w:tcW w:w="86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FF6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广东奥林匹克体育中心升级改造项目</w:t>
            </w:r>
          </w:p>
        </w:tc>
      </w:tr>
      <w:tr w14:paraId="58378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B6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857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场地照明系统</w:t>
            </w:r>
          </w:p>
        </w:tc>
        <w:tc>
          <w:tcPr>
            <w:tcW w:w="5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FF9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广东奥林匹克体育中心主体育场：飞利浦、玛斯柯、赛倍明。</w:t>
            </w:r>
          </w:p>
          <w:p w14:paraId="711360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广东奥林匹克体育中心体育场副场、游泳馆：飞利浦、玛斯柯、赛倍明、华夏北斗星、七大洲。</w:t>
            </w:r>
          </w:p>
        </w:tc>
      </w:tr>
      <w:tr w14:paraId="3174C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1E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93C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场地扩声系统</w:t>
            </w:r>
          </w:p>
        </w:tc>
        <w:tc>
          <w:tcPr>
            <w:tcW w:w="5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74B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广州市锐丰建声灯光音响器材工程安装有限公司，深圳易科声光科技股份有限公司(易科国际)，广州鼓良科技有限公司</w:t>
            </w:r>
          </w:p>
        </w:tc>
      </w:tr>
      <w:tr w14:paraId="67F3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D26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3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4B8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LED屏幕</w:t>
            </w:r>
          </w:p>
        </w:tc>
        <w:tc>
          <w:tcPr>
            <w:tcW w:w="5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501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深圳市洲明科技股份有限公司，深圳市艾比森光电股份有限公司，深圳雷曼光电科技股份有限公司，深圳利亚德光电有限公司</w:t>
            </w:r>
          </w:p>
        </w:tc>
      </w:tr>
      <w:tr w14:paraId="637C9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6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二</w:t>
            </w:r>
          </w:p>
        </w:tc>
        <w:tc>
          <w:tcPr>
            <w:tcW w:w="86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EBE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广东省人民体育场改造项目</w:t>
            </w:r>
          </w:p>
        </w:tc>
      </w:tr>
      <w:tr w14:paraId="6580E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4A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8B1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场地照明系统</w:t>
            </w:r>
          </w:p>
        </w:tc>
        <w:tc>
          <w:tcPr>
            <w:tcW w:w="5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B89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飞利浦、玛斯柯、赛倍明</w:t>
            </w:r>
          </w:p>
        </w:tc>
      </w:tr>
      <w:tr w14:paraId="1057E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04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951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场地扩声系统</w:t>
            </w:r>
          </w:p>
        </w:tc>
        <w:tc>
          <w:tcPr>
            <w:tcW w:w="5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902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广州市锐丰建声灯光音响器材工程安装有限公司，深圳易科声光科技股份有限公司(易科国际)，广州鼓良科技有限公司</w:t>
            </w:r>
          </w:p>
        </w:tc>
      </w:tr>
      <w:tr w14:paraId="652C8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81A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3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7E8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LED屏幕</w:t>
            </w:r>
          </w:p>
        </w:tc>
        <w:tc>
          <w:tcPr>
            <w:tcW w:w="5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367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深圳市洲明科技股份有限公司，深圳市艾比森光电股份有限公司，深圳雷曼光电科技股份有限公司，深圳利亚德光电有限公司</w:t>
            </w:r>
          </w:p>
        </w:tc>
      </w:tr>
      <w:tr w14:paraId="55855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C7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3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216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自动升旗系统</w:t>
            </w:r>
          </w:p>
        </w:tc>
        <w:tc>
          <w:tcPr>
            <w:tcW w:w="5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A66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广东耀龙科技有限公司，广州梦源信息科技有限公司，北京华亿创新信息技术股份有限公司</w:t>
            </w:r>
          </w:p>
        </w:tc>
      </w:tr>
      <w:tr w14:paraId="6C818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D8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3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8EB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标准时钟系统</w:t>
            </w:r>
          </w:p>
        </w:tc>
        <w:tc>
          <w:tcPr>
            <w:tcW w:w="5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91B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广东耀龙科技有限公司，广州梦源信息科技有限公司，烟台持久钟表集团有限公司</w:t>
            </w:r>
          </w:p>
        </w:tc>
      </w:tr>
      <w:tr w14:paraId="6F3A0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987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3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294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信息显示系统</w:t>
            </w:r>
          </w:p>
        </w:tc>
        <w:tc>
          <w:tcPr>
            <w:tcW w:w="5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33F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广东耀龙科技有限公司，广州梦源信息科技有限公司，北京华亿创新信息技术股份有限公司</w:t>
            </w:r>
          </w:p>
        </w:tc>
      </w:tr>
      <w:tr w14:paraId="07CC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74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3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DA3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比赛集成系统</w:t>
            </w:r>
          </w:p>
        </w:tc>
        <w:tc>
          <w:tcPr>
            <w:tcW w:w="5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9B3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广东耀龙科技有限公司，广州梦源信息科技有限公司，北京华亿创新信息技术股份有限公司</w:t>
            </w:r>
          </w:p>
        </w:tc>
      </w:tr>
      <w:tr w14:paraId="0A951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13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3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BDC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电视转播及评论系统</w:t>
            </w:r>
          </w:p>
        </w:tc>
        <w:tc>
          <w:tcPr>
            <w:tcW w:w="5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9CD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广东耀龙科技有限公司，广州梦源信息科技有限公司，北京华亿创新信息技术股份有限公司</w:t>
            </w:r>
          </w:p>
        </w:tc>
      </w:tr>
    </w:tbl>
    <w:p w14:paraId="02F7C621">
      <w:pPr>
        <w:keepNext w:val="0"/>
        <w:keepLines w:val="0"/>
        <w:widowControl w:val="0"/>
        <w:suppressLineNumbers w:val="0"/>
        <w:snapToGrid w:val="0"/>
        <w:spacing w:before="156" w:beforeLines="50" w:beforeAutospacing="0" w:after="0" w:afterAutospacing="0" w:line="360" w:lineRule="auto"/>
        <w:ind w:left="0" w:right="0"/>
        <w:jc w:val="center"/>
        <w:rPr>
          <w:rFonts w:hint="default" w:ascii="宋体" w:hAnsi="宋体" w:eastAsia="宋体" w:cs="宋体"/>
          <w:color w:val="auto"/>
          <w:kern w:val="2"/>
          <w:sz w:val="32"/>
          <w:szCs w:val="32"/>
          <w:highlight w:val="none"/>
          <w:lang w:eastAsia="zh-CN" w:bidi="ar"/>
        </w:rPr>
      </w:pPr>
    </w:p>
    <w:p w14:paraId="71203405">
      <w:pPr>
        <w:keepNext w:val="0"/>
        <w:keepLines w:val="0"/>
        <w:widowControl w:val="0"/>
        <w:suppressLineNumbers w:val="0"/>
        <w:snapToGrid w:val="0"/>
        <w:spacing w:before="156" w:beforeLines="50" w:beforeAutospacing="0" w:after="0" w:afterAutospacing="0" w:line="360" w:lineRule="auto"/>
        <w:ind w:left="0" w:right="0"/>
        <w:jc w:val="center"/>
        <w:rPr>
          <w:rFonts w:hint="eastAsia" w:ascii="宋体" w:hAnsi="宋体" w:eastAsia="宋体" w:cs="宋体"/>
          <w:color w:val="auto"/>
          <w:kern w:val="2"/>
          <w:sz w:val="32"/>
          <w:szCs w:val="32"/>
          <w:highlight w:val="none"/>
        </w:rPr>
      </w:pPr>
      <w:r>
        <w:rPr>
          <w:rFonts w:hint="default" w:ascii="宋体" w:hAnsi="宋体" w:eastAsia="宋体" w:cs="宋体"/>
          <w:color w:val="auto"/>
          <w:kern w:val="2"/>
          <w:sz w:val="32"/>
          <w:szCs w:val="32"/>
          <w:highlight w:val="none"/>
          <w:lang w:eastAsia="zh-CN" w:bidi="ar"/>
        </w:rPr>
        <w:t>其他要求详见项目管理要求（另册）、图纸及技术需求书（另册）等。</w:t>
      </w:r>
    </w:p>
    <w:p w14:paraId="14D60CE9">
      <w:pPr>
        <w:pStyle w:val="2"/>
        <w:widowControl/>
        <w:spacing w:before="0" w:beforeAutospacing="0" w:after="0" w:afterAutospacing="0"/>
        <w:jc w:val="center"/>
        <w:rPr>
          <w:rFonts w:hint="eastAsia" w:ascii="宋体" w:hAnsi="宋体" w:eastAsia="宋体" w:cs="宋体"/>
          <w:b/>
          <w:bCs w:val="0"/>
          <w:color w:val="auto"/>
          <w:kern w:val="44"/>
          <w:sz w:val="22"/>
          <w:szCs w:val="22"/>
          <w:highlight w:val="none"/>
        </w:rPr>
      </w:pPr>
      <w:r>
        <w:rPr>
          <w:rFonts w:hint="eastAsia" w:ascii="宋体" w:hAnsi="宋体" w:eastAsia="宋体" w:cs="宋体"/>
          <w:b/>
          <w:bCs w:val="0"/>
          <w:color w:val="auto"/>
          <w:kern w:val="44"/>
          <w:sz w:val="24"/>
          <w:szCs w:val="24"/>
          <w:highlight w:val="none"/>
        </w:rPr>
        <w:br w:type="page"/>
      </w:r>
      <w:bookmarkStart w:id="100" w:name="_Toc8315"/>
      <w:bookmarkEnd w:id="100"/>
      <w:bookmarkStart w:id="101" w:name="_Toc508788695"/>
      <w:bookmarkEnd w:id="101"/>
      <w:bookmarkStart w:id="102" w:name="_Toc140071431"/>
      <w:bookmarkEnd w:id="102"/>
      <w:bookmarkStart w:id="103" w:name="_Toc7454664"/>
      <w:r>
        <w:rPr>
          <w:rFonts w:hint="eastAsia" w:ascii="宋体" w:hAnsi="宋体" w:eastAsia="宋体" w:cs="宋体"/>
          <w:b w:val="0"/>
          <w:color w:val="auto"/>
          <w:kern w:val="44"/>
          <w:sz w:val="44"/>
          <w:szCs w:val="44"/>
          <w:highlight w:val="none"/>
        </w:rPr>
        <w:t>第三卷</w:t>
      </w:r>
      <w:bookmarkEnd w:id="103"/>
      <w:r>
        <w:rPr>
          <w:rFonts w:hint="eastAsia" w:ascii="宋体" w:hAnsi="宋体" w:eastAsia="宋体" w:cs="宋体"/>
          <w:b w:val="0"/>
          <w:color w:val="auto"/>
          <w:kern w:val="44"/>
          <w:sz w:val="44"/>
          <w:szCs w:val="44"/>
          <w:highlight w:val="none"/>
        </w:rPr>
        <w:br w:type="page"/>
      </w:r>
    </w:p>
    <w:p w14:paraId="514A7C50">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b/>
          <w:bCs w:val="0"/>
          <w:color w:val="auto"/>
          <w:kern w:val="2"/>
          <w:sz w:val="44"/>
          <w:szCs w:val="44"/>
          <w:highlight w:val="none"/>
        </w:rPr>
      </w:pPr>
      <w:bookmarkStart w:id="104" w:name="_Toc508788696"/>
      <w:bookmarkEnd w:id="104"/>
      <w:bookmarkStart w:id="105" w:name="_Toc7454665"/>
      <w:bookmarkEnd w:id="105"/>
      <w:bookmarkStart w:id="106" w:name="_Toc140071432"/>
      <w:r>
        <w:rPr>
          <w:rFonts w:hint="eastAsia" w:ascii="宋体" w:hAnsi="宋体" w:eastAsia="宋体" w:cs="宋体"/>
          <w:b/>
          <w:bCs w:val="0"/>
          <w:color w:val="auto"/>
          <w:kern w:val="2"/>
          <w:sz w:val="44"/>
          <w:szCs w:val="44"/>
          <w:highlight w:val="none"/>
          <w:lang w:val="en-US" w:eastAsia="zh-CN" w:bidi="ar"/>
        </w:rPr>
        <w:t>第六章 投标文件格式</w:t>
      </w:r>
      <w:bookmarkEnd w:id="106"/>
    </w:p>
    <w:p w14:paraId="7C53C3F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1D19CFF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color w:val="auto"/>
          <w:kern w:val="2"/>
          <w:sz w:val="28"/>
          <w:szCs w:val="28"/>
          <w:highlight w:val="none"/>
        </w:rPr>
      </w:pPr>
      <w:bookmarkStart w:id="107" w:name="_Toc7720"/>
      <w:bookmarkEnd w:id="107"/>
      <w:bookmarkStart w:id="108" w:name="_Toc18750"/>
      <w:bookmarkEnd w:id="108"/>
      <w:bookmarkStart w:id="109" w:name="_Toc15127"/>
      <w:r>
        <w:rPr>
          <w:rFonts w:hint="eastAsia" w:ascii="宋体" w:hAnsi="宋体" w:eastAsia="宋体" w:cs="宋体"/>
          <w:b/>
          <w:color w:val="auto"/>
          <w:kern w:val="2"/>
          <w:sz w:val="22"/>
          <w:szCs w:val="22"/>
          <w:highlight w:val="none"/>
          <w:lang w:val="en-US" w:eastAsia="zh-CN" w:bidi="ar"/>
        </w:rPr>
        <w:br w:type="page"/>
      </w:r>
      <w:bookmarkEnd w:id="109"/>
      <w:r>
        <w:rPr>
          <w:rFonts w:hint="eastAsia" w:ascii="宋体" w:hAnsi="宋体" w:eastAsia="宋体" w:cs="宋体"/>
          <w:b/>
          <w:color w:val="auto"/>
          <w:kern w:val="2"/>
          <w:sz w:val="28"/>
          <w:szCs w:val="28"/>
          <w:highlight w:val="none"/>
          <w:lang w:val="en-US" w:eastAsia="zh-CN" w:bidi="ar"/>
        </w:rPr>
        <w:t>1、投标文件格式</w:t>
      </w:r>
    </w:p>
    <w:p w14:paraId="3989D6F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u w:val="single"/>
        </w:rPr>
      </w:pPr>
      <w:r>
        <w:rPr>
          <w:rFonts w:hint="eastAsia" w:ascii="宋体" w:hAnsi="宋体" w:eastAsia="宋体" w:cs="宋体"/>
          <w:color w:val="auto"/>
          <w:kern w:val="2"/>
          <w:sz w:val="20"/>
          <w:szCs w:val="20"/>
          <w:highlight w:val="none"/>
          <w:u w:val="single"/>
          <w:lang w:val="en-US" w:eastAsia="zh-CN" w:bidi="ar"/>
        </w:rPr>
        <w:t xml:space="preserve"> </w:t>
      </w:r>
    </w:p>
    <w:p w14:paraId="710971B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黑体"/>
          <w:b/>
          <w:color w:val="auto"/>
          <w:kern w:val="2"/>
          <w:sz w:val="36"/>
          <w:szCs w:val="36"/>
          <w:highlight w:val="none"/>
          <w:u w:val="single"/>
        </w:rPr>
      </w:pPr>
      <w:r>
        <w:rPr>
          <w:rFonts w:hint="eastAsia" w:ascii="宋体" w:hAnsi="宋体" w:eastAsia="宋体" w:cs="宋体"/>
          <w:b/>
          <w:color w:val="auto"/>
          <w:kern w:val="2"/>
          <w:sz w:val="21"/>
          <w:szCs w:val="21"/>
          <w:highlight w:val="none"/>
          <w:lang w:val="en-US" w:eastAsia="zh-CN" w:bidi="ar"/>
        </w:rPr>
        <w:t>投标文件封面：</w:t>
      </w:r>
    </w:p>
    <w:p w14:paraId="68F3552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黑体"/>
          <w:color w:val="auto"/>
          <w:kern w:val="2"/>
          <w:sz w:val="36"/>
          <w:szCs w:val="36"/>
          <w:highlight w:val="none"/>
          <w:u w:val="single"/>
        </w:rPr>
      </w:pPr>
      <w:r>
        <w:rPr>
          <w:rFonts w:hint="eastAsia" w:ascii="宋体" w:hAnsi="宋体" w:eastAsia="宋体" w:cs="黑体"/>
          <w:color w:val="auto"/>
          <w:kern w:val="2"/>
          <w:sz w:val="36"/>
          <w:szCs w:val="36"/>
          <w:highlight w:val="none"/>
          <w:u w:val="single"/>
          <w:lang w:val="en-US" w:eastAsia="zh-CN" w:bidi="ar"/>
        </w:rPr>
        <w:t xml:space="preserve"> </w:t>
      </w:r>
    </w:p>
    <w:p w14:paraId="0A9C225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黑体"/>
          <w:color w:val="auto"/>
          <w:kern w:val="2"/>
          <w:sz w:val="36"/>
          <w:szCs w:val="36"/>
          <w:highlight w:val="none"/>
          <w:u w:val="single"/>
        </w:rPr>
      </w:pPr>
      <w:r>
        <w:rPr>
          <w:rFonts w:hint="eastAsia" w:ascii="宋体" w:hAnsi="宋体" w:eastAsia="宋体" w:cs="黑体"/>
          <w:color w:val="auto"/>
          <w:kern w:val="2"/>
          <w:sz w:val="36"/>
          <w:szCs w:val="36"/>
          <w:highlight w:val="none"/>
          <w:u w:val="single"/>
          <w:lang w:val="en-US" w:eastAsia="zh-CN" w:bidi="ar"/>
        </w:rPr>
        <w:t xml:space="preserve"> </w:t>
      </w:r>
    </w:p>
    <w:p w14:paraId="4A6C178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黑体"/>
          <w:color w:val="auto"/>
          <w:kern w:val="2"/>
          <w:sz w:val="36"/>
          <w:szCs w:val="36"/>
          <w:highlight w:val="none"/>
          <w:u w:val="single"/>
        </w:rPr>
      </w:pPr>
      <w:r>
        <w:rPr>
          <w:rFonts w:hint="eastAsia" w:ascii="宋体" w:hAnsi="宋体" w:eastAsia="宋体" w:cs="黑体"/>
          <w:color w:val="auto"/>
          <w:kern w:val="2"/>
          <w:sz w:val="36"/>
          <w:szCs w:val="36"/>
          <w:highlight w:val="none"/>
          <w:u w:val="single"/>
          <w:lang w:val="en-US" w:eastAsia="zh-CN" w:bidi="ar"/>
        </w:rPr>
        <w:t xml:space="preserve"> </w:t>
      </w:r>
    </w:p>
    <w:p w14:paraId="629EE9E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u w:val="single"/>
        </w:rPr>
      </w:pPr>
      <w:r>
        <w:rPr>
          <w:rFonts w:hint="eastAsia" w:ascii="宋体" w:hAnsi="宋体" w:eastAsia="宋体" w:cs="宋体"/>
          <w:color w:val="auto"/>
          <w:kern w:val="2"/>
          <w:sz w:val="36"/>
          <w:szCs w:val="36"/>
          <w:highlight w:val="none"/>
          <w:u w:val="single"/>
          <w:lang w:val="en-US" w:eastAsia="zh-CN" w:bidi="ar"/>
        </w:rPr>
        <w:t>（招标项目名称）</w:t>
      </w:r>
    </w:p>
    <w:p w14:paraId="2E8E264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 xml:space="preserve"> </w:t>
      </w:r>
    </w:p>
    <w:p w14:paraId="0760054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44"/>
          <w:szCs w:val="44"/>
          <w:highlight w:val="none"/>
        </w:rPr>
      </w:pPr>
      <w:r>
        <w:rPr>
          <w:rFonts w:hint="eastAsia" w:ascii="宋体" w:hAnsi="宋体" w:eastAsia="宋体" w:cs="宋体"/>
          <w:color w:val="auto"/>
          <w:kern w:val="2"/>
          <w:sz w:val="44"/>
          <w:szCs w:val="44"/>
          <w:highlight w:val="none"/>
          <w:lang w:val="en-US" w:eastAsia="zh-CN" w:bidi="ar"/>
        </w:rPr>
        <w:t>投标文件</w:t>
      </w:r>
    </w:p>
    <w:p w14:paraId="7C6F364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44"/>
          <w:szCs w:val="44"/>
          <w:highlight w:val="none"/>
        </w:rPr>
      </w:pPr>
      <w:r>
        <w:rPr>
          <w:rFonts w:hint="eastAsia" w:ascii="宋体" w:hAnsi="宋体" w:eastAsia="宋体" w:cs="宋体"/>
          <w:color w:val="auto"/>
          <w:kern w:val="2"/>
          <w:sz w:val="44"/>
          <w:szCs w:val="44"/>
          <w:highlight w:val="none"/>
          <w:lang w:val="en-US" w:eastAsia="zh-CN" w:bidi="ar"/>
        </w:rPr>
        <w:t xml:space="preserve"> </w:t>
      </w:r>
    </w:p>
    <w:p w14:paraId="337A83F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44"/>
          <w:szCs w:val="44"/>
          <w:highlight w:val="none"/>
        </w:rPr>
      </w:pPr>
      <w:r>
        <w:rPr>
          <w:rFonts w:hint="eastAsia" w:ascii="宋体" w:hAnsi="宋体" w:eastAsia="宋体" w:cs="宋体"/>
          <w:color w:val="auto"/>
          <w:kern w:val="2"/>
          <w:sz w:val="44"/>
          <w:szCs w:val="44"/>
          <w:highlight w:val="none"/>
          <w:lang w:val="en-US" w:eastAsia="zh-CN" w:bidi="ar"/>
        </w:rPr>
        <w:t xml:space="preserve"> </w:t>
      </w:r>
    </w:p>
    <w:p w14:paraId="736D772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44"/>
          <w:szCs w:val="44"/>
          <w:highlight w:val="none"/>
        </w:rPr>
      </w:pPr>
      <w:r>
        <w:rPr>
          <w:rFonts w:hint="eastAsia" w:ascii="宋体" w:hAnsi="宋体" w:eastAsia="宋体" w:cs="宋体"/>
          <w:color w:val="auto"/>
          <w:kern w:val="2"/>
          <w:sz w:val="44"/>
          <w:szCs w:val="44"/>
          <w:highlight w:val="none"/>
          <w:lang w:val="en-US" w:eastAsia="zh-CN" w:bidi="ar"/>
        </w:rPr>
        <w:t xml:space="preserve"> </w:t>
      </w:r>
    </w:p>
    <w:p w14:paraId="3D2C637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44"/>
          <w:szCs w:val="44"/>
          <w:highlight w:val="none"/>
        </w:rPr>
      </w:pPr>
      <w:r>
        <w:rPr>
          <w:rFonts w:hint="eastAsia" w:ascii="宋体" w:hAnsi="宋体" w:eastAsia="宋体" w:cs="宋体"/>
          <w:color w:val="auto"/>
          <w:kern w:val="2"/>
          <w:sz w:val="44"/>
          <w:szCs w:val="44"/>
          <w:highlight w:val="none"/>
          <w:lang w:val="en-US" w:eastAsia="zh-CN" w:bidi="ar"/>
        </w:rPr>
        <w:t xml:space="preserve"> </w:t>
      </w:r>
    </w:p>
    <w:p w14:paraId="07567AA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44"/>
          <w:szCs w:val="44"/>
          <w:highlight w:val="none"/>
        </w:rPr>
      </w:pPr>
      <w:r>
        <w:rPr>
          <w:rFonts w:hint="eastAsia" w:ascii="宋体" w:hAnsi="宋体" w:eastAsia="宋体" w:cs="宋体"/>
          <w:color w:val="auto"/>
          <w:kern w:val="2"/>
          <w:sz w:val="44"/>
          <w:szCs w:val="44"/>
          <w:highlight w:val="none"/>
          <w:lang w:val="en-US" w:eastAsia="zh-CN" w:bidi="ar"/>
        </w:rPr>
        <w:t xml:space="preserve"> </w:t>
      </w:r>
    </w:p>
    <w:p w14:paraId="76926D2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44"/>
          <w:szCs w:val="44"/>
          <w:highlight w:val="none"/>
        </w:rPr>
      </w:pPr>
      <w:r>
        <w:rPr>
          <w:rFonts w:hint="eastAsia" w:ascii="宋体" w:hAnsi="宋体" w:eastAsia="宋体" w:cs="宋体"/>
          <w:color w:val="auto"/>
          <w:kern w:val="2"/>
          <w:sz w:val="44"/>
          <w:szCs w:val="44"/>
          <w:highlight w:val="none"/>
          <w:lang w:val="en-US" w:eastAsia="zh-CN" w:bidi="ar"/>
        </w:rPr>
        <w:t xml:space="preserve"> </w:t>
      </w:r>
    </w:p>
    <w:p w14:paraId="7ACA276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44"/>
          <w:szCs w:val="44"/>
          <w:highlight w:val="none"/>
        </w:rPr>
      </w:pPr>
      <w:r>
        <w:rPr>
          <w:rFonts w:hint="eastAsia" w:ascii="宋体" w:hAnsi="宋体" w:eastAsia="宋体" w:cs="宋体"/>
          <w:color w:val="auto"/>
          <w:kern w:val="2"/>
          <w:sz w:val="44"/>
          <w:szCs w:val="44"/>
          <w:highlight w:val="none"/>
          <w:lang w:val="en-US" w:eastAsia="zh-CN" w:bidi="ar"/>
        </w:rPr>
        <w:t xml:space="preserve"> </w:t>
      </w:r>
    </w:p>
    <w:p w14:paraId="3C062E4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 xml:space="preserve"> </w:t>
      </w:r>
    </w:p>
    <w:p w14:paraId="33082478">
      <w:pPr>
        <w:keepNext w:val="0"/>
        <w:keepLines w:val="0"/>
        <w:widowControl/>
        <w:suppressLineNumbers w:val="0"/>
        <w:spacing w:before="0" w:beforeAutospacing="0" w:after="0" w:afterAutospacing="0" w:line="360" w:lineRule="auto"/>
        <w:ind w:left="10" w:right="0" w:hanging="10"/>
        <w:jc w:val="left"/>
        <w:rPr>
          <w:rFonts w:hint="eastAsia" w:ascii="宋体" w:hAnsi="宋体" w:eastAsia="宋体" w:cs="黑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投标人：（盖单位章）</w:t>
      </w:r>
    </w:p>
    <w:p w14:paraId="465AE0C5">
      <w:pPr>
        <w:keepNext w:val="0"/>
        <w:keepLines w:val="0"/>
        <w:widowControl/>
        <w:suppressLineNumbers w:val="0"/>
        <w:spacing w:before="0" w:beforeAutospacing="0" w:after="0" w:afterAutospacing="0" w:line="360" w:lineRule="auto"/>
        <w:ind w:left="10" w:right="0" w:hanging="10"/>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8"/>
          <w:szCs w:val="28"/>
          <w:highlight w:val="none"/>
          <w:lang w:val="en-US" w:eastAsia="zh-CN" w:bidi="ar"/>
        </w:rPr>
        <w:t>法定代表人或其委托代理人：（签字或盖章）</w:t>
      </w:r>
    </w:p>
    <w:p w14:paraId="06680DD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黑体"/>
          <w:color w:val="auto"/>
          <w:kern w:val="2"/>
          <w:sz w:val="28"/>
          <w:szCs w:val="28"/>
          <w:highlight w:val="none"/>
          <w:lang w:val="en-US" w:eastAsia="zh-CN" w:bidi="ar"/>
        </w:rPr>
        <w:t xml:space="preserve">    </w:t>
      </w:r>
      <w:r>
        <w:rPr>
          <w:rFonts w:hint="eastAsia" w:ascii="宋体" w:hAnsi="宋体" w:eastAsia="宋体" w:cs="宋体"/>
          <w:color w:val="auto"/>
          <w:kern w:val="2"/>
          <w:sz w:val="28"/>
          <w:szCs w:val="28"/>
          <w:highlight w:val="none"/>
          <w:lang w:val="en-US" w:eastAsia="zh-CN" w:bidi="ar"/>
        </w:rPr>
        <w:t>月</w:t>
      </w:r>
      <w:r>
        <w:rPr>
          <w:rFonts w:hint="eastAsia" w:ascii="宋体" w:hAnsi="宋体" w:eastAsia="宋体" w:cs="黑体"/>
          <w:color w:val="auto"/>
          <w:kern w:val="2"/>
          <w:sz w:val="28"/>
          <w:szCs w:val="28"/>
          <w:highlight w:val="none"/>
          <w:lang w:val="en-US" w:eastAsia="zh-CN" w:bidi="ar"/>
        </w:rPr>
        <w:t xml:space="preserve">    </w:t>
      </w:r>
      <w:r>
        <w:rPr>
          <w:rFonts w:hint="eastAsia" w:ascii="宋体" w:hAnsi="宋体" w:eastAsia="宋体" w:cs="宋体"/>
          <w:color w:val="auto"/>
          <w:kern w:val="2"/>
          <w:sz w:val="28"/>
          <w:szCs w:val="28"/>
          <w:highlight w:val="none"/>
          <w:lang w:val="en-US" w:eastAsia="zh-CN" w:bidi="ar"/>
        </w:rPr>
        <w:t>日</w:t>
      </w:r>
    </w:p>
    <w:p w14:paraId="045FEE0F">
      <w:pPr>
        <w:keepNext w:val="0"/>
        <w:keepLines w:val="0"/>
        <w:widowControl/>
        <w:suppressLineNumbers w:val="0"/>
        <w:spacing w:before="0" w:beforeAutospacing="0" w:after="0" w:afterAutospacing="0"/>
        <w:ind w:left="0" w:right="0"/>
        <w:jc w:val="center"/>
        <w:rPr>
          <w:rFonts w:hint="eastAsia" w:ascii="宋体" w:hAnsi="宋体" w:eastAsia="宋体" w:cs="MT Extra"/>
          <w:b/>
          <w:bCs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br w:type="page"/>
      </w:r>
      <w:r>
        <w:rPr>
          <w:rFonts w:hint="eastAsia" w:ascii="宋体" w:hAnsi="宋体" w:eastAsia="宋体" w:cs="宋体"/>
          <w:b/>
          <w:bCs w:val="0"/>
          <w:color w:val="auto"/>
          <w:kern w:val="2"/>
          <w:sz w:val="27"/>
          <w:szCs w:val="27"/>
          <w:highlight w:val="none"/>
          <w:lang w:val="en-US" w:eastAsia="zh-CN" w:bidi="ar"/>
        </w:rPr>
        <w:t>投标文件评审索引表</w:t>
      </w:r>
    </w:p>
    <w:p w14:paraId="3E5D3B0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请投标人按评标办法各评审表格的格式填写下述表格，注明对各评审项目响应情况所在的投标文件页码：</w:t>
      </w:r>
    </w:p>
    <w:p w14:paraId="42C6F39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附表一：形式评审表索引</w:t>
      </w:r>
    </w:p>
    <w:tbl>
      <w:tblPr>
        <w:tblStyle w:val="10"/>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4"/>
        <w:gridCol w:w="3328"/>
        <w:gridCol w:w="2811"/>
        <w:gridCol w:w="2328"/>
      </w:tblGrid>
      <w:tr w14:paraId="296E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4" w:hRule="atLeast"/>
          <w:jc w:val="center"/>
        </w:trPr>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002750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center"/>
          </w:tcPr>
          <w:p w14:paraId="3CC6CC3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评审项目</w:t>
            </w: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1541C91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证明材料</w:t>
            </w:r>
          </w:p>
          <w:p w14:paraId="2FC40C5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（所在投标文件页码）</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05494CC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响应情况简述</w:t>
            </w:r>
          </w:p>
        </w:tc>
      </w:tr>
      <w:tr w14:paraId="6140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57A7579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center"/>
          </w:tcPr>
          <w:p w14:paraId="1BC4831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231FE75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20E15D2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0083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186ADE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center"/>
          </w:tcPr>
          <w:p w14:paraId="55FA2E2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74C3798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630C3E3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79D1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6EFF44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center"/>
          </w:tcPr>
          <w:p w14:paraId="47B14D0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1548E53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4BEEB54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7BE3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4D6F7A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center"/>
          </w:tcPr>
          <w:p w14:paraId="2AB008E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51E1F72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2FED13F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bl>
    <w:p w14:paraId="47AC125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24D0A4C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附表二：资格评审表索引</w:t>
      </w:r>
    </w:p>
    <w:tbl>
      <w:tblPr>
        <w:tblStyle w:val="10"/>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4"/>
        <w:gridCol w:w="3328"/>
        <w:gridCol w:w="2811"/>
        <w:gridCol w:w="2328"/>
      </w:tblGrid>
      <w:tr w14:paraId="0B29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4" w:hRule="atLeast"/>
          <w:jc w:val="center"/>
        </w:trPr>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043E057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center"/>
          </w:tcPr>
          <w:p w14:paraId="022066F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评审项目</w:t>
            </w: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18ECD73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证明材料</w:t>
            </w:r>
          </w:p>
          <w:p w14:paraId="4FD04DA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（所在投标文件页码）</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08DEDE0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响应情况简述</w:t>
            </w:r>
          </w:p>
        </w:tc>
      </w:tr>
      <w:tr w14:paraId="7D1E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873A20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center"/>
          </w:tcPr>
          <w:p w14:paraId="4103875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3A22E02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79AE82B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3391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C7D63A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center"/>
          </w:tcPr>
          <w:p w14:paraId="445BCF9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455E9F2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125F28D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7197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67832B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center"/>
          </w:tcPr>
          <w:p w14:paraId="5A2FB7A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07BA4E7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20A8374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25A6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2A7544C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center"/>
          </w:tcPr>
          <w:p w14:paraId="6C29262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70A0EB4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70D5BAF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bl>
    <w:p w14:paraId="2FB65AA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1E7B7F6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附表三：响应性评审表索引</w:t>
      </w:r>
    </w:p>
    <w:tbl>
      <w:tblPr>
        <w:tblStyle w:val="10"/>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4"/>
        <w:gridCol w:w="3328"/>
        <w:gridCol w:w="2811"/>
        <w:gridCol w:w="2236"/>
      </w:tblGrid>
      <w:tr w14:paraId="20A7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1" w:hRule="atLeast"/>
          <w:jc w:val="center"/>
        </w:trPr>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C22C50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center"/>
          </w:tcPr>
          <w:p w14:paraId="72D47DE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评审项目</w:t>
            </w: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153DA61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证明材料</w:t>
            </w:r>
          </w:p>
          <w:p w14:paraId="6FBC0A5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（所在投标文件页码）</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14:paraId="3D35499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响应情况简述</w:t>
            </w:r>
          </w:p>
        </w:tc>
      </w:tr>
      <w:tr w14:paraId="7D67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1B847D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center"/>
          </w:tcPr>
          <w:p w14:paraId="646399D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735AB33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14:paraId="0268284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3032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233C6C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center"/>
          </w:tcPr>
          <w:p w14:paraId="4465047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62D25E6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14:paraId="6734110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0947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83557F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center"/>
          </w:tcPr>
          <w:p w14:paraId="4F90AEA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15D26C9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14:paraId="04B05AE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6718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67D8F92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center"/>
          </w:tcPr>
          <w:p w14:paraId="634C121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5AF8AEC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14:paraId="41633CE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bl>
    <w:p w14:paraId="3E7F8E6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附表四：商务评分表索引</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3217"/>
        <w:gridCol w:w="2683"/>
        <w:gridCol w:w="2180"/>
      </w:tblGrid>
      <w:tr w14:paraId="3B64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1" w:hRule="atLeast"/>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2060E4F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3217" w:type="dxa"/>
            <w:tcBorders>
              <w:top w:val="single" w:color="auto" w:sz="4" w:space="0"/>
              <w:left w:val="single" w:color="auto" w:sz="4" w:space="0"/>
              <w:bottom w:val="single" w:color="auto" w:sz="4" w:space="0"/>
              <w:right w:val="single" w:color="auto" w:sz="4" w:space="0"/>
            </w:tcBorders>
            <w:shd w:val="clear" w:color="auto" w:fill="auto"/>
            <w:vAlign w:val="center"/>
          </w:tcPr>
          <w:p w14:paraId="4AD3402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评审项目</w:t>
            </w:r>
          </w:p>
        </w:tc>
        <w:tc>
          <w:tcPr>
            <w:tcW w:w="2683" w:type="dxa"/>
            <w:tcBorders>
              <w:top w:val="single" w:color="auto" w:sz="4" w:space="0"/>
              <w:left w:val="single" w:color="auto" w:sz="4" w:space="0"/>
              <w:bottom w:val="single" w:color="auto" w:sz="4" w:space="0"/>
              <w:right w:val="single" w:color="auto" w:sz="4" w:space="0"/>
            </w:tcBorders>
            <w:shd w:val="clear" w:color="auto" w:fill="auto"/>
            <w:vAlign w:val="center"/>
          </w:tcPr>
          <w:p w14:paraId="028E579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证明材料</w:t>
            </w:r>
          </w:p>
          <w:p w14:paraId="2FA9533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（所在投标文件页码）</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2356385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情况简述</w:t>
            </w:r>
          </w:p>
        </w:tc>
      </w:tr>
      <w:tr w14:paraId="3A9D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6" w:hRule="atLeast"/>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7AF791B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3217" w:type="dxa"/>
            <w:tcBorders>
              <w:top w:val="single" w:color="auto" w:sz="4" w:space="0"/>
              <w:left w:val="single" w:color="auto" w:sz="4" w:space="0"/>
              <w:bottom w:val="single" w:color="auto" w:sz="4" w:space="0"/>
              <w:right w:val="single" w:color="auto" w:sz="4" w:space="0"/>
            </w:tcBorders>
            <w:shd w:val="clear" w:color="auto" w:fill="auto"/>
            <w:vAlign w:val="center"/>
          </w:tcPr>
          <w:p w14:paraId="534EBD4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2683" w:type="dxa"/>
            <w:tcBorders>
              <w:top w:val="single" w:color="auto" w:sz="4" w:space="0"/>
              <w:left w:val="single" w:color="auto" w:sz="4" w:space="0"/>
              <w:bottom w:val="single" w:color="auto" w:sz="4" w:space="0"/>
              <w:right w:val="single" w:color="auto" w:sz="4" w:space="0"/>
            </w:tcBorders>
            <w:shd w:val="clear" w:color="auto" w:fill="auto"/>
            <w:vAlign w:val="center"/>
          </w:tcPr>
          <w:p w14:paraId="41F6309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见投标文件第（ ）页</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494BD54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2D3B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6" w:hRule="atLeast"/>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538F78B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3217" w:type="dxa"/>
            <w:tcBorders>
              <w:top w:val="single" w:color="auto" w:sz="4" w:space="0"/>
              <w:left w:val="single" w:color="auto" w:sz="4" w:space="0"/>
              <w:bottom w:val="single" w:color="auto" w:sz="4" w:space="0"/>
              <w:right w:val="single" w:color="auto" w:sz="4" w:space="0"/>
            </w:tcBorders>
            <w:shd w:val="clear" w:color="auto" w:fill="auto"/>
            <w:vAlign w:val="center"/>
          </w:tcPr>
          <w:p w14:paraId="4493D59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2683" w:type="dxa"/>
            <w:tcBorders>
              <w:top w:val="single" w:color="auto" w:sz="4" w:space="0"/>
              <w:left w:val="single" w:color="auto" w:sz="4" w:space="0"/>
              <w:bottom w:val="single" w:color="auto" w:sz="4" w:space="0"/>
              <w:right w:val="single" w:color="auto" w:sz="4" w:space="0"/>
            </w:tcBorders>
            <w:shd w:val="clear" w:color="auto" w:fill="auto"/>
            <w:vAlign w:val="center"/>
          </w:tcPr>
          <w:p w14:paraId="2F379DD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见投标文件第（ ）页</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2531492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7977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6" w:hRule="atLeast"/>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6FD6D0B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3217" w:type="dxa"/>
            <w:tcBorders>
              <w:top w:val="single" w:color="auto" w:sz="4" w:space="0"/>
              <w:left w:val="single" w:color="auto" w:sz="4" w:space="0"/>
              <w:bottom w:val="single" w:color="auto" w:sz="4" w:space="0"/>
              <w:right w:val="single" w:color="auto" w:sz="4" w:space="0"/>
            </w:tcBorders>
            <w:shd w:val="clear" w:color="auto" w:fill="auto"/>
            <w:vAlign w:val="center"/>
          </w:tcPr>
          <w:p w14:paraId="4D5A0A3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2683" w:type="dxa"/>
            <w:tcBorders>
              <w:top w:val="single" w:color="auto" w:sz="4" w:space="0"/>
              <w:left w:val="single" w:color="auto" w:sz="4" w:space="0"/>
              <w:bottom w:val="single" w:color="auto" w:sz="4" w:space="0"/>
              <w:right w:val="single" w:color="auto" w:sz="4" w:space="0"/>
            </w:tcBorders>
            <w:shd w:val="clear" w:color="auto" w:fill="auto"/>
            <w:vAlign w:val="center"/>
          </w:tcPr>
          <w:p w14:paraId="6746CB6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见投标文件第（ ）页</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0E337D5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33C6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6" w:hRule="atLeast"/>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3E9D3C4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3217" w:type="dxa"/>
            <w:tcBorders>
              <w:top w:val="single" w:color="auto" w:sz="4" w:space="0"/>
              <w:left w:val="single" w:color="auto" w:sz="4" w:space="0"/>
              <w:bottom w:val="single" w:color="auto" w:sz="4" w:space="0"/>
              <w:right w:val="single" w:color="auto" w:sz="4" w:space="0"/>
            </w:tcBorders>
            <w:shd w:val="clear" w:color="auto" w:fill="auto"/>
            <w:vAlign w:val="center"/>
          </w:tcPr>
          <w:p w14:paraId="6E4A515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2683" w:type="dxa"/>
            <w:tcBorders>
              <w:top w:val="single" w:color="auto" w:sz="4" w:space="0"/>
              <w:left w:val="single" w:color="auto" w:sz="4" w:space="0"/>
              <w:bottom w:val="single" w:color="auto" w:sz="4" w:space="0"/>
              <w:right w:val="single" w:color="auto" w:sz="4" w:space="0"/>
            </w:tcBorders>
            <w:shd w:val="clear" w:color="auto" w:fill="auto"/>
            <w:vAlign w:val="center"/>
          </w:tcPr>
          <w:p w14:paraId="3C4F659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见投标文件第（ ）页</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14:paraId="265997D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bl>
    <w:p w14:paraId="453B644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29C880F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附表五：技术评分表索引</w:t>
      </w:r>
    </w:p>
    <w:tbl>
      <w:tblPr>
        <w:tblStyle w:val="10"/>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4"/>
        <w:gridCol w:w="3328"/>
        <w:gridCol w:w="2811"/>
        <w:gridCol w:w="2236"/>
      </w:tblGrid>
      <w:tr w14:paraId="1836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1" w:hRule="atLeast"/>
          <w:jc w:val="center"/>
        </w:trPr>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5099406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center"/>
          </w:tcPr>
          <w:p w14:paraId="5FAAADE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评审项目</w:t>
            </w: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0C2D41D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证明材料</w:t>
            </w:r>
          </w:p>
          <w:p w14:paraId="4F9E443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（所在投标文件页码）</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14:paraId="1BE6C82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情况简述</w:t>
            </w:r>
          </w:p>
        </w:tc>
      </w:tr>
      <w:tr w14:paraId="278D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3D7A44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center"/>
          </w:tcPr>
          <w:p w14:paraId="6656A89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50302CD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14:paraId="036BB8C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0D7A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534FCAD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center"/>
          </w:tcPr>
          <w:p w14:paraId="3F5D339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35D88CD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14:paraId="1C84940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3864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455FF4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center"/>
          </w:tcPr>
          <w:p w14:paraId="24B17B4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4455AD5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14:paraId="6DA3F82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3B06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3DEBFC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center"/>
          </w:tcPr>
          <w:p w14:paraId="112265A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shd w:val="clear" w:color="auto" w:fill="auto"/>
            <w:vAlign w:val="center"/>
          </w:tcPr>
          <w:p w14:paraId="1767043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14:paraId="2345F2F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bl>
    <w:p w14:paraId="662D5AA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806DED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注：1.为便于评审，需编制本索引表。本索引表不作为有效性审查的内容。</w:t>
      </w:r>
    </w:p>
    <w:p w14:paraId="062C320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2.索引列于</w:t>
      </w:r>
      <w:r>
        <w:rPr>
          <w:rFonts w:hint="eastAsia" w:ascii="宋体" w:hAnsi="宋体" w:eastAsia="宋体" w:cs="宋体"/>
          <w:b/>
          <w:bCs w:val="0"/>
          <w:color w:val="auto"/>
          <w:kern w:val="2"/>
          <w:sz w:val="21"/>
          <w:szCs w:val="21"/>
          <w:highlight w:val="none"/>
          <w:lang w:val="en-US" w:eastAsia="zh-CN" w:bidi="ar"/>
        </w:rPr>
        <w:t>投标文件</w:t>
      </w:r>
      <w:r>
        <w:rPr>
          <w:rFonts w:hint="eastAsia" w:ascii="宋体" w:hAnsi="宋体" w:eastAsia="宋体" w:cs="宋体"/>
          <w:color w:val="auto"/>
          <w:kern w:val="2"/>
          <w:sz w:val="21"/>
          <w:szCs w:val="21"/>
          <w:highlight w:val="none"/>
          <w:lang w:val="en-US" w:eastAsia="zh-CN" w:bidi="ar"/>
        </w:rPr>
        <w:t>封面页之后，随后再放置目录。</w:t>
      </w:r>
    </w:p>
    <w:p w14:paraId="45BA421C">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3.根据评标办法评审内容要求，需要提交相应证明材料的，若投标文件格式未能尽列，请投标人自拟格式在对应投标文件中提交。</w:t>
      </w:r>
    </w:p>
    <w:p w14:paraId="24733857">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4.上表仅供投标人参考，具体评审内容，请以招标文件（含招标公告）为准。</w:t>
      </w:r>
    </w:p>
    <w:p w14:paraId="6533DA02">
      <w:pPr>
        <w:keepNext w:val="0"/>
        <w:keepLines w:val="0"/>
        <w:widowControl/>
        <w:suppressLineNumbers w:val="0"/>
        <w:spacing w:before="0" w:beforeAutospacing="0" w:after="127" w:afterAutospacing="0" w:line="256" w:lineRule="auto"/>
        <w:ind w:left="0" w:right="0"/>
        <w:jc w:val="center"/>
        <w:rPr>
          <w:rFonts w:hint="eastAsia" w:ascii="宋体" w:hAnsi="宋体" w:eastAsia="宋体" w:cs="宋体"/>
          <w:b/>
          <w:color w:val="auto"/>
          <w:kern w:val="0"/>
          <w:sz w:val="32"/>
          <w:szCs w:val="32"/>
          <w:highlight w:val="none"/>
        </w:rPr>
      </w:pPr>
      <w:r>
        <w:rPr>
          <w:rFonts w:hint="eastAsia" w:ascii="宋体" w:hAnsi="宋体" w:eastAsia="宋体" w:cs="宋体"/>
          <w:b/>
          <w:bCs w:val="0"/>
          <w:color w:val="auto"/>
          <w:kern w:val="2"/>
          <w:sz w:val="21"/>
          <w:szCs w:val="21"/>
          <w:highlight w:val="none"/>
          <w:lang w:val="en-US" w:eastAsia="zh-CN" w:bidi="ar"/>
        </w:rPr>
        <w:br w:type="page"/>
      </w:r>
      <w:bookmarkStart w:id="110" w:name="_Toc19186"/>
      <w:bookmarkEnd w:id="110"/>
      <w:bookmarkStart w:id="111" w:name="_Toc7454666"/>
      <w:bookmarkEnd w:id="111"/>
      <w:bookmarkStart w:id="112" w:name="_Toc508788697"/>
      <w:r>
        <w:rPr>
          <w:rFonts w:hint="eastAsia" w:ascii="宋体" w:hAnsi="宋体" w:eastAsia="宋体" w:cs="宋体"/>
          <w:b/>
          <w:color w:val="auto"/>
          <w:kern w:val="0"/>
          <w:sz w:val="32"/>
          <w:szCs w:val="32"/>
          <w:highlight w:val="none"/>
          <w:lang w:val="en-US" w:eastAsia="zh-CN" w:bidi="ar"/>
        </w:rPr>
        <w:t>目录</w:t>
      </w:r>
      <w:bookmarkEnd w:id="112"/>
    </w:p>
    <w:p w14:paraId="45484EE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一、投标函及投标函附录</w:t>
      </w:r>
    </w:p>
    <w:p w14:paraId="0BD9ECB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二、法定代表人身份证明（适用于无委托代理人的情况）、授权委托书（适用于有委托代理人的情况）</w:t>
      </w:r>
    </w:p>
    <w:p w14:paraId="09F2E9D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color w:val="auto"/>
          <w:kern w:val="2"/>
          <w:sz w:val="24"/>
          <w:szCs w:val="24"/>
          <w:highlight w:val="none"/>
          <w:lang w:val="en-US" w:eastAsia="zh-CN" w:bidi="ar"/>
        </w:rPr>
      </w:pPr>
      <w:r>
        <w:rPr>
          <w:rFonts w:hint="default" w:ascii="宋体" w:hAnsi="宋体" w:eastAsia="宋体" w:cs="宋体"/>
          <w:b/>
          <w:bCs/>
          <w:color w:val="auto"/>
          <w:kern w:val="2"/>
          <w:sz w:val="24"/>
          <w:szCs w:val="24"/>
          <w:highlight w:val="none"/>
          <w:lang w:eastAsia="zh-CN" w:bidi="ar"/>
        </w:rPr>
        <w:t>三</w:t>
      </w:r>
      <w:r>
        <w:rPr>
          <w:rFonts w:hint="eastAsia" w:ascii="宋体" w:hAnsi="宋体" w:eastAsia="宋体" w:cs="宋体"/>
          <w:b/>
          <w:bCs/>
          <w:color w:val="auto"/>
          <w:kern w:val="2"/>
          <w:sz w:val="24"/>
          <w:szCs w:val="24"/>
          <w:highlight w:val="none"/>
          <w:lang w:val="en-US" w:eastAsia="zh-CN" w:bidi="ar"/>
        </w:rPr>
        <w:t>、报价表</w:t>
      </w:r>
    </w:p>
    <w:p w14:paraId="03052EF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color w:val="auto"/>
          <w:kern w:val="2"/>
          <w:sz w:val="24"/>
          <w:szCs w:val="24"/>
          <w:highlight w:val="none"/>
          <w:lang w:bidi="ar"/>
        </w:rPr>
      </w:pPr>
      <w:r>
        <w:rPr>
          <w:rFonts w:hint="default" w:ascii="宋体" w:hAnsi="宋体" w:eastAsia="宋体" w:cs="宋体"/>
          <w:b/>
          <w:bCs/>
          <w:color w:val="auto"/>
          <w:kern w:val="2"/>
          <w:sz w:val="24"/>
          <w:szCs w:val="24"/>
          <w:highlight w:val="none"/>
          <w:lang w:eastAsia="zh-CN" w:bidi="ar"/>
        </w:rPr>
        <w:t>四</w:t>
      </w:r>
      <w:r>
        <w:rPr>
          <w:rFonts w:hint="eastAsia" w:ascii="宋体" w:hAnsi="宋体" w:eastAsia="宋体" w:cs="宋体"/>
          <w:b/>
          <w:bCs/>
          <w:color w:val="auto"/>
          <w:kern w:val="2"/>
          <w:sz w:val="24"/>
          <w:szCs w:val="24"/>
          <w:highlight w:val="none"/>
          <w:lang w:eastAsia="zh-CN" w:bidi="ar"/>
        </w:rPr>
        <w:t>、</w:t>
      </w:r>
      <w:r>
        <w:rPr>
          <w:rFonts w:hint="eastAsia" w:ascii="宋体" w:hAnsi="宋体" w:eastAsia="宋体" w:cs="宋体"/>
          <w:b/>
          <w:bCs/>
          <w:color w:val="auto"/>
          <w:kern w:val="2"/>
          <w:sz w:val="24"/>
          <w:szCs w:val="24"/>
          <w:highlight w:val="none"/>
          <w:lang w:val="en-US" w:eastAsia="zh-CN" w:bidi="ar"/>
        </w:rPr>
        <w:t>商务和技术偏差表</w:t>
      </w:r>
    </w:p>
    <w:p w14:paraId="6C82961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color w:val="auto"/>
          <w:kern w:val="2"/>
          <w:sz w:val="24"/>
          <w:szCs w:val="24"/>
          <w:highlight w:val="none"/>
        </w:rPr>
      </w:pPr>
      <w:r>
        <w:rPr>
          <w:rFonts w:hint="default" w:ascii="宋体" w:hAnsi="宋体" w:eastAsia="宋体" w:cs="宋体"/>
          <w:b/>
          <w:bCs/>
          <w:color w:val="auto"/>
          <w:kern w:val="2"/>
          <w:sz w:val="24"/>
          <w:szCs w:val="24"/>
          <w:highlight w:val="none"/>
          <w:lang w:eastAsia="zh-CN" w:bidi="ar"/>
        </w:rPr>
        <w:t>五</w:t>
      </w:r>
      <w:r>
        <w:rPr>
          <w:rFonts w:hint="eastAsia" w:ascii="宋体" w:hAnsi="宋体" w:eastAsia="宋体" w:cs="宋体"/>
          <w:b/>
          <w:bCs/>
          <w:color w:val="auto"/>
          <w:kern w:val="2"/>
          <w:sz w:val="24"/>
          <w:szCs w:val="24"/>
          <w:highlight w:val="none"/>
          <w:lang w:val="en-US" w:eastAsia="zh-CN" w:bidi="ar"/>
        </w:rPr>
        <w:t>、</w:t>
      </w:r>
      <w:r>
        <w:rPr>
          <w:rFonts w:hint="eastAsia" w:ascii="宋体" w:hAnsi="宋体" w:eastAsia="宋体" w:cs="宋体"/>
          <w:b/>
          <w:bCs/>
          <w:color w:val="auto"/>
          <w:spacing w:val="-8"/>
          <w:kern w:val="2"/>
          <w:sz w:val="24"/>
          <w:szCs w:val="24"/>
          <w:highlight w:val="none"/>
          <w:lang w:val="en-US" w:eastAsia="zh-CN" w:bidi="ar"/>
        </w:rPr>
        <w:t>商务部分（含资格审查部分</w:t>
      </w:r>
      <w:r>
        <w:rPr>
          <w:rFonts w:hint="eastAsia" w:ascii="宋体" w:hAnsi="宋体" w:eastAsia="宋体" w:cs="宋体"/>
          <w:b/>
          <w:bCs/>
          <w:color w:val="auto"/>
          <w:kern w:val="2"/>
          <w:sz w:val="24"/>
          <w:szCs w:val="24"/>
          <w:highlight w:val="none"/>
          <w:lang w:val="en-US" w:eastAsia="zh-CN" w:bidi="ar"/>
        </w:rPr>
        <w:t>）</w:t>
      </w:r>
    </w:p>
    <w:p w14:paraId="24653F35">
      <w:pPr>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b w:val="0"/>
          <w:bCs w:val="0"/>
          <w:color w:val="auto"/>
          <w:kern w:val="2"/>
          <w:sz w:val="24"/>
          <w:szCs w:val="24"/>
          <w:highlight w:val="none"/>
          <w:lang w:bidi="ar"/>
        </w:rPr>
      </w:pPr>
      <w:r>
        <w:rPr>
          <w:rFonts w:hint="default" w:ascii="宋体" w:hAnsi="宋体" w:eastAsia="宋体" w:cs="宋体"/>
          <w:b w:val="0"/>
          <w:bCs w:val="0"/>
          <w:color w:val="auto"/>
          <w:kern w:val="2"/>
          <w:sz w:val="24"/>
          <w:szCs w:val="24"/>
          <w:highlight w:val="none"/>
          <w:lang w:eastAsia="zh-CN" w:bidi="ar"/>
        </w:rPr>
        <w:t xml:space="preserve">    （一）</w:t>
      </w:r>
      <w:r>
        <w:rPr>
          <w:rFonts w:hint="eastAsia" w:ascii="宋体" w:hAnsi="宋体" w:eastAsia="宋体" w:cs="宋体"/>
          <w:b w:val="0"/>
          <w:bCs w:val="0"/>
          <w:color w:val="auto"/>
          <w:kern w:val="2"/>
          <w:sz w:val="24"/>
          <w:szCs w:val="24"/>
          <w:highlight w:val="none"/>
          <w:lang w:val="en-US" w:eastAsia="zh-CN" w:bidi="ar"/>
        </w:rPr>
        <w:t>资格审查资料</w:t>
      </w:r>
    </w:p>
    <w:p w14:paraId="7CD13B0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color w:val="auto"/>
          <w:kern w:val="2"/>
          <w:sz w:val="24"/>
          <w:szCs w:val="24"/>
          <w:highlight w:val="none"/>
          <w:lang w:eastAsia="zh-CN" w:bidi="ar"/>
        </w:rPr>
      </w:pPr>
      <w:r>
        <w:rPr>
          <w:rFonts w:hint="default" w:ascii="宋体" w:hAnsi="宋体" w:eastAsia="宋体" w:cs="宋体"/>
          <w:b w:val="0"/>
          <w:bCs w:val="0"/>
          <w:color w:val="auto"/>
          <w:kern w:val="2"/>
          <w:sz w:val="24"/>
          <w:szCs w:val="24"/>
          <w:highlight w:val="none"/>
          <w:lang w:eastAsia="zh-CN" w:bidi="ar"/>
        </w:rPr>
        <w:t>（二）</w:t>
      </w:r>
      <w:r>
        <w:rPr>
          <w:rFonts w:hint="eastAsia" w:ascii="宋体" w:hAnsi="宋体" w:eastAsia="宋体" w:cs="宋体"/>
          <w:b w:val="0"/>
          <w:bCs w:val="0"/>
          <w:color w:val="auto"/>
          <w:kern w:val="2"/>
          <w:sz w:val="24"/>
          <w:szCs w:val="24"/>
          <w:highlight w:val="none"/>
          <w:lang w:eastAsia="zh-CN" w:bidi="ar"/>
        </w:rPr>
        <w:t>近年完成的类似项目情况表</w:t>
      </w:r>
    </w:p>
    <w:p w14:paraId="79C3A55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color w:val="auto"/>
          <w:kern w:val="2"/>
          <w:sz w:val="24"/>
          <w:szCs w:val="24"/>
          <w:highlight w:val="none"/>
          <w:lang w:val="en-US" w:eastAsia="zh-CN" w:bidi="ar"/>
        </w:rPr>
      </w:pPr>
      <w:r>
        <w:rPr>
          <w:rFonts w:hint="default" w:ascii="宋体" w:hAnsi="宋体" w:eastAsia="宋体" w:cs="宋体"/>
          <w:b w:val="0"/>
          <w:bCs w:val="0"/>
          <w:color w:val="auto"/>
          <w:kern w:val="2"/>
          <w:sz w:val="24"/>
          <w:szCs w:val="24"/>
          <w:highlight w:val="none"/>
          <w:lang w:eastAsia="zh-CN" w:bidi="ar"/>
        </w:rPr>
        <w:t>（三）</w:t>
      </w:r>
      <w:r>
        <w:rPr>
          <w:rFonts w:hint="eastAsia" w:ascii="宋体" w:hAnsi="宋体" w:eastAsia="宋体" w:cs="宋体"/>
          <w:b w:val="0"/>
          <w:bCs w:val="0"/>
          <w:color w:val="auto"/>
          <w:kern w:val="2"/>
          <w:sz w:val="24"/>
          <w:szCs w:val="24"/>
          <w:highlight w:val="none"/>
          <w:lang w:val="en-US" w:eastAsia="zh-CN" w:bidi="ar"/>
        </w:rPr>
        <w:t>投标人资信证明材料</w:t>
      </w:r>
    </w:p>
    <w:p w14:paraId="145E11DD">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b w:val="0"/>
          <w:bCs w:val="0"/>
          <w:color w:val="auto"/>
          <w:kern w:val="2"/>
          <w:sz w:val="24"/>
          <w:szCs w:val="24"/>
          <w:highlight w:val="none"/>
          <w:lang w:bidi="ar"/>
        </w:rPr>
      </w:pPr>
      <w:r>
        <w:rPr>
          <w:rFonts w:hint="default" w:ascii="宋体" w:hAnsi="宋体" w:eastAsia="宋体" w:cs="宋体"/>
          <w:b w:val="0"/>
          <w:bCs w:val="0"/>
          <w:color w:val="auto"/>
          <w:spacing w:val="0"/>
          <w:kern w:val="2"/>
          <w:sz w:val="24"/>
          <w:szCs w:val="24"/>
          <w:highlight w:val="none"/>
          <w:lang w:eastAsia="zh-CN" w:bidi="ar"/>
        </w:rPr>
        <w:t>（四）</w:t>
      </w:r>
      <w:r>
        <w:rPr>
          <w:rFonts w:hint="eastAsia" w:ascii="宋体" w:hAnsi="宋体" w:eastAsia="宋体" w:cs="宋体"/>
          <w:b w:val="0"/>
          <w:bCs w:val="0"/>
          <w:color w:val="auto"/>
          <w:spacing w:val="0"/>
          <w:kern w:val="2"/>
          <w:sz w:val="24"/>
          <w:szCs w:val="24"/>
          <w:highlight w:val="none"/>
          <w:lang w:val="en-US" w:eastAsia="zh-CN" w:bidi="ar"/>
        </w:rPr>
        <w:t>投入主要人员汇总表</w:t>
      </w:r>
    </w:p>
    <w:p w14:paraId="6E385F32">
      <w:pPr>
        <w:widowControl w:val="0"/>
        <w:spacing w:before="0" w:beforeAutospacing="0" w:after="0" w:line="360" w:lineRule="auto"/>
        <w:ind w:left="0" w:right="0" w:firstLine="480" w:firstLineChars="200"/>
        <w:jc w:val="both"/>
        <w:rPr>
          <w:rFonts w:hint="eastAsia" w:ascii="宋体" w:hAnsi="宋体" w:eastAsia="宋体" w:cs="宋体"/>
          <w:b w:val="0"/>
          <w:bCs w:val="0"/>
          <w:color w:val="auto"/>
          <w:kern w:val="2"/>
          <w:sz w:val="24"/>
          <w:szCs w:val="24"/>
          <w:highlight w:val="none"/>
          <w:lang w:bidi="ar"/>
        </w:rPr>
      </w:pPr>
      <w:r>
        <w:rPr>
          <w:rFonts w:hint="default" w:ascii="宋体" w:hAnsi="宋体" w:eastAsia="宋体" w:cs="宋体"/>
          <w:b w:val="0"/>
          <w:bCs w:val="0"/>
          <w:color w:val="auto"/>
          <w:spacing w:val="0"/>
          <w:kern w:val="2"/>
          <w:sz w:val="24"/>
          <w:szCs w:val="24"/>
          <w:highlight w:val="none"/>
          <w:lang w:bidi="ar"/>
        </w:rPr>
        <w:t>（五）</w:t>
      </w:r>
      <w:r>
        <w:rPr>
          <w:rFonts w:hint="eastAsia" w:ascii="宋体" w:hAnsi="宋体" w:eastAsia="宋体" w:cs="宋体"/>
          <w:b w:val="0"/>
          <w:bCs w:val="0"/>
          <w:color w:val="auto"/>
          <w:spacing w:val="0"/>
          <w:kern w:val="2"/>
          <w:sz w:val="24"/>
          <w:szCs w:val="24"/>
          <w:highlight w:val="none"/>
          <w:lang w:bidi="ar"/>
        </w:rPr>
        <w:t>其他资料</w:t>
      </w:r>
    </w:p>
    <w:p w14:paraId="2C5D6A2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color w:val="auto"/>
          <w:kern w:val="2"/>
          <w:sz w:val="24"/>
          <w:szCs w:val="24"/>
          <w:highlight w:val="none"/>
        </w:rPr>
      </w:pPr>
      <w:r>
        <w:rPr>
          <w:rFonts w:hint="default" w:ascii="宋体" w:hAnsi="宋体" w:eastAsia="宋体" w:cs="宋体"/>
          <w:b/>
          <w:bCs/>
          <w:color w:val="auto"/>
          <w:kern w:val="2"/>
          <w:sz w:val="24"/>
          <w:szCs w:val="24"/>
          <w:highlight w:val="none"/>
          <w:lang w:eastAsia="zh-CN" w:bidi="ar"/>
        </w:rPr>
        <w:t>六</w:t>
      </w:r>
      <w:r>
        <w:rPr>
          <w:rFonts w:hint="eastAsia" w:ascii="宋体" w:hAnsi="宋体" w:eastAsia="宋体" w:cs="宋体"/>
          <w:b/>
          <w:bCs/>
          <w:color w:val="auto"/>
          <w:kern w:val="2"/>
          <w:sz w:val="24"/>
          <w:szCs w:val="24"/>
          <w:highlight w:val="none"/>
          <w:lang w:val="en-US" w:eastAsia="zh-CN" w:bidi="ar"/>
        </w:rPr>
        <w:t>、技术部分</w:t>
      </w:r>
    </w:p>
    <w:p w14:paraId="3879EF83">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auto"/>
          <w:kern w:val="2"/>
          <w:sz w:val="24"/>
          <w:szCs w:val="24"/>
          <w:highlight w:val="none"/>
          <w:lang w:bidi="ar"/>
        </w:rPr>
      </w:pPr>
      <w:r>
        <w:rPr>
          <w:rFonts w:hint="default" w:ascii="宋体" w:hAnsi="宋体" w:eastAsia="宋体" w:cs="宋体"/>
          <w:color w:val="auto"/>
          <w:kern w:val="2"/>
          <w:sz w:val="24"/>
          <w:szCs w:val="24"/>
          <w:highlight w:val="none"/>
          <w:lang w:eastAsia="zh-CN" w:bidi="ar"/>
        </w:rPr>
        <w:t>（一）实施进度计划</w:t>
      </w:r>
    </w:p>
    <w:p w14:paraId="72AB0679">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auto"/>
          <w:kern w:val="2"/>
          <w:sz w:val="24"/>
          <w:szCs w:val="24"/>
          <w:highlight w:val="none"/>
          <w:lang w:eastAsia="zh-CN" w:bidi="ar"/>
        </w:rPr>
      </w:pPr>
      <w:r>
        <w:rPr>
          <w:rFonts w:hint="default" w:ascii="宋体" w:hAnsi="宋体" w:eastAsia="宋体" w:cs="宋体"/>
          <w:color w:val="auto"/>
          <w:kern w:val="2"/>
          <w:sz w:val="24"/>
          <w:szCs w:val="24"/>
          <w:highlight w:val="none"/>
          <w:lang w:eastAsia="zh-CN" w:bidi="ar"/>
        </w:rPr>
        <w:t>（二）实施工艺科学先进程度</w:t>
      </w:r>
    </w:p>
    <w:p w14:paraId="375A03F1">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auto"/>
          <w:kern w:val="2"/>
          <w:sz w:val="24"/>
          <w:szCs w:val="24"/>
          <w:highlight w:val="none"/>
          <w:lang w:eastAsia="zh-CN" w:bidi="ar"/>
        </w:rPr>
      </w:pPr>
      <w:r>
        <w:rPr>
          <w:rFonts w:hint="default" w:ascii="宋体" w:hAnsi="宋体" w:eastAsia="宋体" w:cs="宋体"/>
          <w:color w:val="auto"/>
          <w:kern w:val="2"/>
          <w:sz w:val="24"/>
          <w:szCs w:val="24"/>
          <w:highlight w:val="none"/>
          <w:lang w:eastAsia="zh-CN" w:bidi="ar"/>
        </w:rPr>
        <w:t>（三）赛事保障能力</w:t>
      </w:r>
    </w:p>
    <w:p w14:paraId="689E2323">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auto"/>
          <w:kern w:val="2"/>
          <w:sz w:val="24"/>
          <w:szCs w:val="24"/>
          <w:highlight w:val="none"/>
          <w:lang w:eastAsia="zh-CN" w:bidi="ar"/>
        </w:rPr>
      </w:pPr>
      <w:r>
        <w:rPr>
          <w:rFonts w:hint="default" w:ascii="宋体" w:hAnsi="宋体" w:eastAsia="宋体" w:cs="宋体"/>
          <w:color w:val="auto"/>
          <w:kern w:val="2"/>
          <w:sz w:val="24"/>
          <w:szCs w:val="24"/>
          <w:highlight w:val="none"/>
          <w:lang w:eastAsia="zh-CN" w:bidi="ar"/>
        </w:rPr>
        <w:t>（四）售后保障能力</w:t>
      </w:r>
    </w:p>
    <w:p w14:paraId="3D1150B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default" w:ascii="宋体" w:hAnsi="宋体" w:eastAsia="宋体" w:cs="宋体"/>
          <w:color w:val="auto"/>
          <w:kern w:val="2"/>
          <w:sz w:val="24"/>
          <w:szCs w:val="24"/>
          <w:highlight w:val="none"/>
          <w:lang w:eastAsia="zh-CN" w:bidi="ar"/>
        </w:rPr>
        <w:t>（五）</w:t>
      </w:r>
      <w:r>
        <w:rPr>
          <w:rFonts w:hint="eastAsia" w:ascii="宋体" w:hAnsi="宋体" w:eastAsia="宋体" w:cs="宋体"/>
          <w:color w:val="auto"/>
          <w:kern w:val="2"/>
          <w:sz w:val="24"/>
          <w:szCs w:val="24"/>
          <w:highlight w:val="none"/>
          <w:lang w:val="en-US" w:eastAsia="zh-CN" w:bidi="ar"/>
        </w:rPr>
        <w:t>合理化建议</w:t>
      </w:r>
    </w:p>
    <w:p w14:paraId="58D50B50">
      <w:pPr>
        <w:keepNext w:val="0"/>
        <w:keepLines w:val="0"/>
        <w:widowControl/>
        <w:suppressLineNumbers w:val="0"/>
        <w:spacing w:before="0" w:beforeAutospacing="0" w:after="0" w:afterAutospacing="0" w:line="360" w:lineRule="auto"/>
        <w:ind w:left="0" w:right="0" w:firstLine="0" w:firstLineChars="0"/>
        <w:jc w:val="left"/>
        <w:rPr>
          <w:rFonts w:hint="eastAsia" w:ascii="宋体" w:hAnsi="宋体" w:eastAsia="宋体" w:cs="宋体"/>
          <w:b/>
          <w:bCs/>
          <w:color w:val="auto"/>
          <w:kern w:val="2"/>
          <w:sz w:val="24"/>
          <w:szCs w:val="24"/>
          <w:highlight w:val="none"/>
          <w:lang w:eastAsia="zh-CN" w:bidi="ar"/>
        </w:rPr>
      </w:pPr>
      <w:r>
        <w:rPr>
          <w:rFonts w:hint="eastAsia" w:ascii="宋体" w:hAnsi="宋体" w:eastAsia="宋体" w:cs="宋体"/>
          <w:b/>
          <w:bCs/>
          <w:color w:val="auto"/>
          <w:kern w:val="2"/>
          <w:sz w:val="24"/>
          <w:szCs w:val="24"/>
          <w:highlight w:val="none"/>
          <w:lang w:eastAsia="zh-CN" w:bidi="ar"/>
        </w:rPr>
        <w:t>七、</w:t>
      </w:r>
      <w:r>
        <w:rPr>
          <w:rFonts w:hint="eastAsia" w:ascii="宋体" w:hAnsi="宋体" w:eastAsia="宋体" w:cs="宋体"/>
          <w:b/>
          <w:bCs/>
          <w:color w:val="auto"/>
          <w:kern w:val="2"/>
          <w:sz w:val="24"/>
          <w:szCs w:val="24"/>
          <w:highlight w:val="none"/>
          <w:lang w:val="en-US" w:eastAsia="zh-CN" w:bidi="ar"/>
        </w:rPr>
        <w:t>赞助承诺函</w:t>
      </w:r>
    </w:p>
    <w:p w14:paraId="28EF6C4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color w:val="auto"/>
          <w:kern w:val="2"/>
          <w:sz w:val="24"/>
          <w:szCs w:val="24"/>
          <w:highlight w:val="none"/>
          <w:lang w:bidi="ar"/>
        </w:rPr>
      </w:pPr>
      <w:r>
        <w:rPr>
          <w:rFonts w:hint="default" w:ascii="宋体" w:hAnsi="宋体" w:eastAsia="宋体" w:cs="宋体"/>
          <w:b/>
          <w:bCs/>
          <w:color w:val="auto"/>
          <w:kern w:val="2"/>
          <w:sz w:val="24"/>
          <w:szCs w:val="24"/>
          <w:highlight w:val="none"/>
          <w:lang w:eastAsia="zh-CN" w:bidi="ar"/>
        </w:rPr>
        <w:t>八</w:t>
      </w:r>
      <w:r>
        <w:rPr>
          <w:rFonts w:hint="eastAsia" w:ascii="宋体" w:hAnsi="宋体" w:eastAsia="宋体" w:cs="宋体"/>
          <w:b/>
          <w:bCs/>
          <w:color w:val="auto"/>
          <w:kern w:val="2"/>
          <w:sz w:val="24"/>
          <w:szCs w:val="24"/>
          <w:highlight w:val="none"/>
          <w:lang w:val="en-US" w:eastAsia="zh-CN" w:bidi="ar"/>
        </w:rPr>
        <w:t>、投标人</w:t>
      </w:r>
      <w:r>
        <w:rPr>
          <w:rFonts w:hint="default" w:ascii="宋体" w:hAnsi="宋体" w:eastAsia="宋体" w:cs="宋体"/>
          <w:b/>
          <w:bCs/>
          <w:color w:val="auto"/>
          <w:kern w:val="2"/>
          <w:sz w:val="24"/>
          <w:szCs w:val="24"/>
          <w:highlight w:val="none"/>
          <w:lang w:eastAsia="zh-CN" w:bidi="ar"/>
        </w:rPr>
        <w:t>认为需要提供的</w:t>
      </w:r>
      <w:r>
        <w:rPr>
          <w:rFonts w:hint="eastAsia" w:ascii="宋体" w:hAnsi="宋体" w:eastAsia="宋体" w:cs="宋体"/>
          <w:b/>
          <w:bCs/>
          <w:color w:val="auto"/>
          <w:kern w:val="2"/>
          <w:sz w:val="24"/>
          <w:szCs w:val="24"/>
          <w:highlight w:val="none"/>
          <w:lang w:val="en-US" w:eastAsia="zh-CN" w:bidi="ar"/>
        </w:rPr>
        <w:t>其他资料</w:t>
      </w:r>
    </w:p>
    <w:p w14:paraId="41D02A85">
      <w:pPr>
        <w:keepNext/>
        <w:keepLines/>
        <w:widowControl/>
        <w:suppressLineNumbers w:val="0"/>
        <w:spacing w:before="0" w:beforeAutospacing="0" w:after="0" w:afterAutospacing="0" w:line="360" w:lineRule="auto"/>
        <w:ind w:left="0" w:right="0"/>
        <w:jc w:val="left"/>
        <w:rPr>
          <w:rFonts w:hint="eastAsia" w:ascii="宋体" w:hAnsi="宋体" w:eastAsia="宋体" w:cs="宋体"/>
          <w:color w:val="auto"/>
          <w:kern w:val="0"/>
          <w:sz w:val="22"/>
          <w:szCs w:val="22"/>
          <w:highlight w:val="none"/>
        </w:rPr>
      </w:pPr>
      <w:bookmarkStart w:id="113" w:name="_Toc508788698"/>
      <w:bookmarkEnd w:id="113"/>
      <w:r>
        <w:rPr>
          <w:rFonts w:hint="eastAsia" w:ascii="宋体" w:hAnsi="宋体" w:eastAsia="宋体" w:cs="宋体"/>
          <w:color w:val="auto"/>
          <w:kern w:val="0"/>
          <w:sz w:val="32"/>
          <w:szCs w:val="32"/>
          <w:highlight w:val="none"/>
          <w:lang w:val="en-US" w:eastAsia="zh-CN" w:bidi="ar"/>
        </w:rPr>
        <w:br w:type="page"/>
      </w:r>
      <w:bookmarkStart w:id="114" w:name="_Toc7454667"/>
      <w:bookmarkEnd w:id="114"/>
      <w:bookmarkStart w:id="115" w:name="_Toc132"/>
      <w:r>
        <w:rPr>
          <w:rFonts w:hint="eastAsia" w:ascii="宋体" w:hAnsi="宋体" w:eastAsia="宋体" w:cs="宋体"/>
          <w:color w:val="auto"/>
          <w:kern w:val="0"/>
          <w:sz w:val="32"/>
          <w:szCs w:val="32"/>
          <w:highlight w:val="none"/>
          <w:lang w:val="en-US" w:eastAsia="zh-CN" w:bidi="ar"/>
        </w:rPr>
        <w:t>一、投标函及投标函附录</w:t>
      </w:r>
      <w:bookmarkEnd w:id="115"/>
    </w:p>
    <w:p w14:paraId="583745D8">
      <w:pPr>
        <w:keepNext/>
        <w:keepLines/>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bookmarkStart w:id="116" w:name="_Toc385943065"/>
      <w:bookmarkEnd w:id="116"/>
      <w:bookmarkStart w:id="117" w:name="_Toc7454668"/>
      <w:bookmarkEnd w:id="117"/>
      <w:bookmarkStart w:id="118" w:name="_Toc391394111"/>
      <w:bookmarkEnd w:id="118"/>
      <w:bookmarkStart w:id="119" w:name="_Toc25543"/>
      <w:bookmarkEnd w:id="119"/>
      <w:bookmarkStart w:id="120" w:name="_Toc359594235"/>
      <w:bookmarkEnd w:id="120"/>
      <w:bookmarkStart w:id="121" w:name="_Toc492300721"/>
      <w:bookmarkEnd w:id="121"/>
      <w:bookmarkStart w:id="122" w:name="_Toc370676426"/>
      <w:bookmarkEnd w:id="122"/>
      <w:bookmarkStart w:id="123" w:name="_Toc482188651"/>
      <w:bookmarkEnd w:id="123"/>
      <w:bookmarkStart w:id="124" w:name="_Toc508788699"/>
      <w:r>
        <w:rPr>
          <w:rFonts w:hint="eastAsia" w:ascii="宋体" w:hAnsi="宋体" w:eastAsia="宋体" w:cs="宋体"/>
          <w:color w:val="auto"/>
          <w:kern w:val="0"/>
          <w:sz w:val="24"/>
          <w:szCs w:val="24"/>
          <w:highlight w:val="none"/>
          <w:lang w:val="en-US" w:eastAsia="zh-CN" w:bidi="ar"/>
        </w:rPr>
        <w:t>（一）投标函</w:t>
      </w:r>
      <w:bookmarkEnd w:id="124"/>
    </w:p>
    <w:p w14:paraId="7574A67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（招标人名称）：</w:t>
      </w:r>
    </w:p>
    <w:p w14:paraId="757E37C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val="en-US" w:eastAsia="zh-CN" w:bidi="ar"/>
        </w:rPr>
        <w:t>1．我方已仔细研究了</w:t>
      </w:r>
      <w:r>
        <w:rPr>
          <w:rFonts w:hint="eastAsia" w:ascii="宋体" w:hAnsi="宋体" w:eastAsia="宋体" w:cs="宋体"/>
          <w:color w:val="auto"/>
          <w:kern w:val="2"/>
          <w:sz w:val="24"/>
          <w:szCs w:val="24"/>
          <w:highlight w:val="none"/>
          <w:u w:val="single"/>
          <w:lang w:val="en-US" w:eastAsia="zh-CN" w:bidi="ar"/>
        </w:rPr>
        <w:t>（项目名称）</w:t>
      </w:r>
      <w:r>
        <w:rPr>
          <w:rFonts w:hint="eastAsia" w:ascii="宋体" w:hAnsi="宋体" w:eastAsia="宋体" w:cs="宋体"/>
          <w:color w:val="auto"/>
          <w:kern w:val="2"/>
          <w:sz w:val="24"/>
          <w:szCs w:val="24"/>
          <w:highlight w:val="none"/>
          <w:lang w:val="en-US" w:eastAsia="zh-CN" w:bidi="ar"/>
        </w:rPr>
        <w:t>招标文件的全部内容，愿意以人民币¥</w:t>
      </w:r>
      <w:r>
        <w:rPr>
          <w:rFonts w:hint="eastAsia" w:ascii="宋体" w:hAnsi="宋体" w:eastAsia="宋体" w:cs="宋体"/>
          <w:color w:val="auto"/>
          <w:kern w:val="2"/>
          <w:sz w:val="24"/>
          <w:szCs w:val="24"/>
          <w:highlight w:val="none"/>
          <w:u w:val="single"/>
          <w:lang w:val="en-US" w:eastAsia="zh-CN" w:bidi="ar"/>
        </w:rPr>
        <w:t xml:space="preserve">       元</w:t>
      </w:r>
      <w:r>
        <w:rPr>
          <w:rFonts w:hint="eastAsia" w:ascii="宋体" w:hAnsi="宋体" w:eastAsia="宋体" w:cs="宋体"/>
          <w:color w:val="auto"/>
          <w:kern w:val="2"/>
          <w:sz w:val="24"/>
          <w:szCs w:val="24"/>
          <w:highlight w:val="none"/>
          <w:lang w:val="en-US" w:eastAsia="zh-CN" w:bidi="ar"/>
        </w:rPr>
        <w:t>（大写：</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）的投标总报价（其中：现金支付部分：¥</w:t>
      </w:r>
      <w:r>
        <w:rPr>
          <w:rFonts w:hint="eastAsia" w:ascii="宋体" w:hAnsi="宋体" w:eastAsia="宋体" w:cs="宋体"/>
          <w:color w:val="auto"/>
          <w:kern w:val="2"/>
          <w:sz w:val="24"/>
          <w:szCs w:val="24"/>
          <w:highlight w:val="none"/>
          <w:u w:val="single"/>
          <w:lang w:val="en-US" w:eastAsia="zh-CN" w:bidi="ar"/>
        </w:rPr>
        <w:t xml:space="preserve">       元</w:t>
      </w:r>
      <w:r>
        <w:rPr>
          <w:rFonts w:hint="eastAsia" w:ascii="宋体" w:hAnsi="宋体" w:eastAsia="宋体" w:cs="宋体"/>
          <w:color w:val="auto"/>
          <w:kern w:val="2"/>
          <w:sz w:val="24"/>
          <w:szCs w:val="24"/>
          <w:highlight w:val="none"/>
          <w:lang w:val="en-US" w:eastAsia="zh-CN" w:bidi="ar"/>
        </w:rPr>
        <w:t>（大写：</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）；赞助权益回报部分：¥</w:t>
      </w:r>
      <w:r>
        <w:rPr>
          <w:rFonts w:hint="eastAsia" w:ascii="宋体" w:hAnsi="宋体" w:eastAsia="宋体" w:cs="宋体"/>
          <w:color w:val="auto"/>
          <w:kern w:val="2"/>
          <w:sz w:val="24"/>
          <w:szCs w:val="24"/>
          <w:highlight w:val="none"/>
          <w:u w:val="single"/>
          <w:lang w:val="en-US" w:eastAsia="zh-CN" w:bidi="ar"/>
        </w:rPr>
        <w:t xml:space="preserve">       元</w:t>
      </w:r>
      <w:r>
        <w:rPr>
          <w:rFonts w:hint="eastAsia" w:ascii="宋体" w:hAnsi="宋体" w:eastAsia="宋体" w:cs="宋体"/>
          <w:color w:val="auto"/>
          <w:kern w:val="2"/>
          <w:sz w:val="24"/>
          <w:szCs w:val="24"/>
          <w:highlight w:val="none"/>
          <w:lang w:val="en-US" w:eastAsia="zh-CN" w:bidi="ar"/>
        </w:rPr>
        <w:t>（大写：</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）），提供本招标项目所有设备及技术服务和质保期服务，并按合同约定履行义务。</w:t>
      </w:r>
    </w:p>
    <w:p w14:paraId="43C452F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default" w:ascii="宋体" w:hAnsi="宋体" w:eastAsia="宋体" w:cs="宋体"/>
          <w:color w:val="auto"/>
          <w:kern w:val="2"/>
          <w:sz w:val="24"/>
          <w:szCs w:val="24"/>
          <w:highlight w:val="none"/>
          <w:lang w:eastAsia="zh-CN" w:bidi="ar"/>
        </w:rPr>
        <w:t>2</w:t>
      </w:r>
      <w:r>
        <w:rPr>
          <w:rFonts w:hint="eastAsia" w:ascii="宋体" w:hAnsi="宋体" w:eastAsia="宋体" w:cs="宋体"/>
          <w:color w:val="auto"/>
          <w:kern w:val="2"/>
          <w:sz w:val="24"/>
          <w:szCs w:val="24"/>
          <w:highlight w:val="none"/>
          <w:lang w:val="en-US" w:eastAsia="zh-CN" w:bidi="ar"/>
        </w:rPr>
        <w:t xml:space="preserve">．我方承诺除商务和技术偏差表列出的偏差外，我方响应招标文件的全部要求；我方承诺本次所投的设施、设备、器材等符合相关的技术标准和规则要求。 </w:t>
      </w:r>
    </w:p>
    <w:p w14:paraId="7C65F924">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default" w:ascii="宋体" w:hAnsi="宋体" w:eastAsia="宋体" w:cs="宋体"/>
          <w:color w:val="auto"/>
          <w:kern w:val="2"/>
          <w:sz w:val="24"/>
          <w:szCs w:val="24"/>
          <w:highlight w:val="none"/>
          <w:lang w:eastAsia="zh-CN" w:bidi="ar"/>
        </w:rPr>
        <w:t>3</w:t>
      </w:r>
      <w:r>
        <w:rPr>
          <w:rFonts w:hint="eastAsia" w:ascii="宋体" w:hAnsi="宋体" w:eastAsia="宋体" w:cs="宋体"/>
          <w:color w:val="auto"/>
          <w:kern w:val="2"/>
          <w:sz w:val="24"/>
          <w:szCs w:val="24"/>
          <w:highlight w:val="none"/>
          <w:lang w:val="en-US" w:eastAsia="zh-CN" w:bidi="ar"/>
        </w:rPr>
        <w:t xml:space="preserve">．我方承诺在招标文件规定的投标有效期内不撤销投标文件。 </w:t>
      </w:r>
    </w:p>
    <w:p w14:paraId="4904EC34">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default" w:ascii="宋体" w:hAnsi="宋体" w:eastAsia="宋体" w:cs="宋体"/>
          <w:color w:val="auto"/>
          <w:kern w:val="2"/>
          <w:sz w:val="24"/>
          <w:szCs w:val="24"/>
          <w:highlight w:val="none"/>
          <w:lang w:eastAsia="zh-CN" w:bidi="ar"/>
        </w:rPr>
        <w:t>4</w:t>
      </w:r>
      <w:r>
        <w:rPr>
          <w:rFonts w:hint="eastAsia" w:ascii="宋体" w:hAnsi="宋体" w:eastAsia="宋体" w:cs="宋体"/>
          <w:color w:val="auto"/>
          <w:kern w:val="2"/>
          <w:sz w:val="24"/>
          <w:szCs w:val="24"/>
          <w:highlight w:val="none"/>
          <w:lang w:val="en-US" w:eastAsia="zh-CN" w:bidi="ar"/>
        </w:rPr>
        <w:t xml:space="preserve">．如我方中标，我方承诺： </w:t>
      </w:r>
    </w:p>
    <w:p w14:paraId="11B3AC48">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（1）在收到中标通知书后，在中标通知书规定的期限内与你方签订合同； </w:t>
      </w:r>
    </w:p>
    <w:p w14:paraId="2E08CC2F">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（2）在签订合同时不向你方提出附加条件； </w:t>
      </w:r>
    </w:p>
    <w:p w14:paraId="461A8EC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（3）按照招标文件要求提交履约</w:t>
      </w:r>
      <w:r>
        <w:rPr>
          <w:rFonts w:hint="default" w:ascii="宋体" w:hAnsi="宋体" w:eastAsia="宋体" w:cs="宋体"/>
          <w:color w:val="auto"/>
          <w:kern w:val="2"/>
          <w:sz w:val="24"/>
          <w:szCs w:val="24"/>
          <w:highlight w:val="none"/>
          <w:lang w:eastAsia="zh-CN" w:bidi="ar"/>
        </w:rPr>
        <w:t>担保</w:t>
      </w:r>
      <w:r>
        <w:rPr>
          <w:rFonts w:hint="eastAsia" w:ascii="宋体" w:hAnsi="宋体" w:eastAsia="宋体" w:cs="宋体"/>
          <w:color w:val="auto"/>
          <w:kern w:val="2"/>
          <w:sz w:val="24"/>
          <w:szCs w:val="24"/>
          <w:highlight w:val="none"/>
          <w:lang w:val="en-US" w:eastAsia="zh-CN" w:bidi="ar"/>
        </w:rPr>
        <w:t xml:space="preserve">； </w:t>
      </w:r>
    </w:p>
    <w:p w14:paraId="7AAE12FF">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（4）在合同约定的期限内完成合同规定的全部义务。 </w:t>
      </w:r>
    </w:p>
    <w:p w14:paraId="6048A4EC">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default" w:ascii="宋体" w:hAnsi="宋体" w:eastAsia="宋体" w:cs="宋体"/>
          <w:color w:val="auto"/>
          <w:kern w:val="2"/>
          <w:sz w:val="24"/>
          <w:szCs w:val="24"/>
          <w:highlight w:val="none"/>
          <w:lang w:eastAsia="zh-CN" w:bidi="ar"/>
        </w:rPr>
        <w:t>5</w:t>
      </w:r>
      <w:r>
        <w:rPr>
          <w:rFonts w:hint="eastAsia" w:ascii="宋体" w:hAnsi="宋体" w:eastAsia="宋体" w:cs="宋体"/>
          <w:color w:val="auto"/>
          <w:kern w:val="2"/>
          <w:sz w:val="24"/>
          <w:szCs w:val="24"/>
          <w:highlight w:val="none"/>
          <w:lang w:val="en-US" w:eastAsia="zh-CN" w:bidi="ar"/>
        </w:rPr>
        <w:t>．我方在此声明，所递交的投标文件及有关资料内容完整、真实和准确，且不存在第二章“投标人须知”第 1.4.3 项规定的任何一种情形。</w:t>
      </w:r>
    </w:p>
    <w:p w14:paraId="11D8303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u w:val="single"/>
        </w:rPr>
      </w:pPr>
      <w:r>
        <w:rPr>
          <w:rFonts w:hint="default" w:ascii="宋体" w:hAnsi="宋体" w:eastAsia="宋体" w:cs="宋体"/>
          <w:color w:val="auto"/>
          <w:kern w:val="2"/>
          <w:sz w:val="24"/>
          <w:szCs w:val="24"/>
          <w:highlight w:val="none"/>
          <w:lang w:eastAsia="zh-CN" w:bidi="ar"/>
        </w:rPr>
        <w:t>6</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ab/>
      </w:r>
      <w:r>
        <w:rPr>
          <w:rFonts w:hint="eastAsia" w:ascii="宋体" w:hAnsi="宋体" w:eastAsia="宋体" w:cs="宋体"/>
          <w:color w:val="auto"/>
          <w:kern w:val="2"/>
          <w:sz w:val="24"/>
          <w:szCs w:val="24"/>
          <w:highlight w:val="none"/>
          <w:u w:val="single"/>
          <w:lang w:val="en-US" w:eastAsia="zh-CN" w:bidi="ar"/>
        </w:rPr>
        <w:t>（其他补充说明）</w:t>
      </w:r>
    </w:p>
    <w:p w14:paraId="0B83CEC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bookmarkStart w:id="125" w:name="_Toc16824"/>
      <w:bookmarkEnd w:id="125"/>
      <w:bookmarkStart w:id="126" w:name="_Toc369531696"/>
      <w:bookmarkEnd w:id="126"/>
      <w:bookmarkStart w:id="127" w:name="_Toc352691659"/>
      <w:bookmarkEnd w:id="127"/>
      <w:bookmarkStart w:id="128" w:name="_Toc369531695"/>
      <w:bookmarkEnd w:id="128"/>
      <w:bookmarkStart w:id="129" w:name="_Toc352691660"/>
      <w:bookmarkEnd w:id="129"/>
      <w:bookmarkStart w:id="130" w:name="_Toc16568"/>
      <w:bookmarkEnd w:id="130"/>
      <w:r>
        <w:rPr>
          <w:rFonts w:hint="eastAsia" w:ascii="宋体" w:hAnsi="宋体" w:eastAsia="宋体" w:cs="宋体"/>
          <w:color w:val="auto"/>
          <w:kern w:val="2"/>
          <w:sz w:val="24"/>
          <w:szCs w:val="24"/>
          <w:highlight w:val="none"/>
          <w:lang w:val="en-US" w:eastAsia="zh-CN" w:bidi="ar"/>
        </w:rPr>
        <w:t xml:space="preserve"> </w:t>
      </w:r>
    </w:p>
    <w:p w14:paraId="3C10ED86">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7BBED6ED">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（盖单位章）</w:t>
      </w:r>
    </w:p>
    <w:p w14:paraId="2E4902B8">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法定代表人或其委托代理人：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（签字或盖章）</w:t>
      </w:r>
    </w:p>
    <w:p w14:paraId="7B2EC620">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r>
        <w:rPr>
          <w:rFonts w:hint="eastAsia" w:ascii="宋体" w:hAnsi="宋体" w:eastAsia="宋体" w:cs="宋体"/>
          <w:color w:val="auto"/>
          <w:kern w:val="2"/>
          <w:sz w:val="24"/>
          <w:szCs w:val="24"/>
          <w:highlight w:val="none"/>
          <w:u w:val="single"/>
          <w:lang w:val="en-US" w:eastAsia="zh-CN" w:bidi="ar"/>
        </w:rPr>
        <w:t xml:space="preserve">     </w:t>
      </w:r>
    </w:p>
    <w:p w14:paraId="4D9E53E1">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网址：</w:t>
      </w:r>
      <w:r>
        <w:rPr>
          <w:rFonts w:hint="eastAsia" w:ascii="宋体" w:hAnsi="宋体" w:eastAsia="宋体" w:cs="宋体"/>
          <w:color w:val="auto"/>
          <w:kern w:val="2"/>
          <w:sz w:val="24"/>
          <w:szCs w:val="24"/>
          <w:highlight w:val="none"/>
          <w:u w:val="single"/>
          <w:lang w:val="en-US" w:eastAsia="zh-CN" w:bidi="ar"/>
        </w:rPr>
        <w:t xml:space="preserve">     </w:t>
      </w:r>
    </w:p>
    <w:p w14:paraId="62717759">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电话：</w:t>
      </w:r>
      <w:r>
        <w:rPr>
          <w:rFonts w:hint="eastAsia" w:ascii="宋体" w:hAnsi="宋体" w:eastAsia="宋体" w:cs="宋体"/>
          <w:color w:val="auto"/>
          <w:kern w:val="2"/>
          <w:sz w:val="24"/>
          <w:szCs w:val="24"/>
          <w:highlight w:val="none"/>
          <w:u w:val="single"/>
          <w:lang w:val="en-US" w:eastAsia="zh-CN" w:bidi="ar"/>
        </w:rPr>
        <w:t xml:space="preserve">     </w:t>
      </w:r>
    </w:p>
    <w:p w14:paraId="240E5EA5">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传真：</w:t>
      </w:r>
      <w:r>
        <w:rPr>
          <w:rFonts w:hint="eastAsia" w:ascii="宋体" w:hAnsi="宋体" w:eastAsia="宋体" w:cs="宋体"/>
          <w:color w:val="auto"/>
          <w:kern w:val="2"/>
          <w:sz w:val="24"/>
          <w:szCs w:val="24"/>
          <w:highlight w:val="none"/>
          <w:u w:val="single"/>
          <w:lang w:val="en-US" w:eastAsia="zh-CN" w:bidi="ar"/>
        </w:rPr>
        <w:t xml:space="preserve">     </w:t>
      </w:r>
    </w:p>
    <w:p w14:paraId="15BC5269">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邮政编码：</w:t>
      </w:r>
      <w:r>
        <w:rPr>
          <w:rFonts w:hint="eastAsia" w:ascii="宋体" w:hAnsi="宋体" w:eastAsia="宋体" w:cs="宋体"/>
          <w:color w:val="auto"/>
          <w:kern w:val="2"/>
          <w:sz w:val="24"/>
          <w:szCs w:val="24"/>
          <w:highlight w:val="none"/>
          <w:u w:val="single"/>
          <w:lang w:val="en-US" w:eastAsia="zh-CN" w:bidi="ar"/>
        </w:rPr>
        <w:t xml:space="preserve">     </w:t>
      </w:r>
    </w:p>
    <w:p w14:paraId="0848CBBC">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67972C90">
      <w:pPr>
        <w:keepNext/>
        <w:keepLines/>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bookmarkStart w:id="131" w:name="_Toc508788700"/>
      <w:bookmarkEnd w:id="131"/>
      <w:r>
        <w:rPr>
          <w:rFonts w:hint="eastAsia" w:ascii="宋体" w:hAnsi="宋体" w:eastAsia="宋体" w:cs="宋体"/>
          <w:color w:val="auto"/>
          <w:kern w:val="0"/>
          <w:sz w:val="24"/>
          <w:szCs w:val="24"/>
          <w:highlight w:val="none"/>
          <w:lang w:val="en-US" w:eastAsia="zh-CN" w:bidi="ar"/>
        </w:rPr>
        <w:br w:type="page"/>
      </w:r>
      <w:bookmarkStart w:id="132" w:name="_Toc28358"/>
      <w:bookmarkEnd w:id="132"/>
      <w:bookmarkStart w:id="133" w:name="_Toc7454669"/>
      <w:r>
        <w:rPr>
          <w:rFonts w:hint="eastAsia" w:ascii="宋体" w:hAnsi="宋体" w:eastAsia="宋体" w:cs="宋体"/>
          <w:color w:val="auto"/>
          <w:kern w:val="0"/>
          <w:sz w:val="24"/>
          <w:szCs w:val="24"/>
          <w:highlight w:val="none"/>
          <w:lang w:val="en-US" w:eastAsia="zh-CN" w:bidi="ar"/>
        </w:rPr>
        <w:t>（二）投标函附录</w:t>
      </w:r>
      <w:bookmarkEnd w:id="133"/>
    </w:p>
    <w:tbl>
      <w:tblPr>
        <w:tblStyle w:val="10"/>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6"/>
        <w:gridCol w:w="2409"/>
        <w:gridCol w:w="4257"/>
        <w:gridCol w:w="1117"/>
      </w:tblGrid>
      <w:tr w14:paraId="200B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6D6E707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序号</w:t>
            </w:r>
          </w:p>
        </w:tc>
        <w:tc>
          <w:tcPr>
            <w:tcW w:w="2409" w:type="dxa"/>
            <w:tcBorders>
              <w:top w:val="single" w:color="auto" w:sz="4" w:space="0"/>
              <w:left w:val="nil"/>
              <w:bottom w:val="single" w:color="auto" w:sz="4" w:space="0"/>
              <w:right w:val="single" w:color="auto" w:sz="4" w:space="0"/>
            </w:tcBorders>
            <w:shd w:val="clear" w:color="auto" w:fill="auto"/>
            <w:vAlign w:val="center"/>
          </w:tcPr>
          <w:p w14:paraId="5C802F5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条款名称</w:t>
            </w:r>
          </w:p>
        </w:tc>
        <w:tc>
          <w:tcPr>
            <w:tcW w:w="4257" w:type="dxa"/>
            <w:tcBorders>
              <w:top w:val="single" w:color="auto" w:sz="4" w:space="0"/>
              <w:left w:val="nil"/>
              <w:bottom w:val="single" w:color="auto" w:sz="4" w:space="0"/>
              <w:right w:val="single" w:color="auto" w:sz="4" w:space="0"/>
            </w:tcBorders>
            <w:shd w:val="clear" w:color="auto" w:fill="auto"/>
            <w:vAlign w:val="center"/>
          </w:tcPr>
          <w:p w14:paraId="6F30F69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约定内容</w:t>
            </w:r>
          </w:p>
        </w:tc>
        <w:tc>
          <w:tcPr>
            <w:tcW w:w="1117" w:type="dxa"/>
            <w:tcBorders>
              <w:top w:val="single" w:color="auto" w:sz="4" w:space="0"/>
              <w:left w:val="nil"/>
              <w:bottom w:val="single" w:color="auto" w:sz="4" w:space="0"/>
              <w:right w:val="single" w:color="auto" w:sz="4" w:space="0"/>
            </w:tcBorders>
            <w:shd w:val="clear" w:color="auto" w:fill="auto"/>
            <w:vAlign w:val="center"/>
          </w:tcPr>
          <w:p w14:paraId="5F6D2D54">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备注</w:t>
            </w:r>
          </w:p>
        </w:tc>
      </w:tr>
      <w:tr w14:paraId="12DB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4B0717A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1</w:t>
            </w:r>
          </w:p>
        </w:tc>
        <w:tc>
          <w:tcPr>
            <w:tcW w:w="2409" w:type="dxa"/>
            <w:tcBorders>
              <w:top w:val="single" w:color="auto" w:sz="4" w:space="0"/>
              <w:left w:val="nil"/>
              <w:bottom w:val="single" w:color="auto" w:sz="4" w:space="0"/>
              <w:right w:val="single" w:color="auto" w:sz="4" w:space="0"/>
            </w:tcBorders>
            <w:shd w:val="clear" w:color="auto" w:fill="auto"/>
            <w:vAlign w:val="center"/>
          </w:tcPr>
          <w:p w14:paraId="2FC1A4D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交货期</w:t>
            </w:r>
          </w:p>
        </w:tc>
        <w:tc>
          <w:tcPr>
            <w:tcW w:w="4257" w:type="dxa"/>
            <w:tcBorders>
              <w:top w:val="single" w:color="auto" w:sz="4" w:space="0"/>
              <w:left w:val="nil"/>
              <w:bottom w:val="single" w:color="auto" w:sz="4" w:space="0"/>
              <w:right w:val="single" w:color="auto" w:sz="4" w:space="0"/>
            </w:tcBorders>
            <w:shd w:val="clear" w:color="auto" w:fill="auto"/>
            <w:vAlign w:val="center"/>
          </w:tcPr>
          <w:p w14:paraId="5620A14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按招标文件要求</w:t>
            </w:r>
          </w:p>
        </w:tc>
        <w:tc>
          <w:tcPr>
            <w:tcW w:w="1117" w:type="dxa"/>
            <w:tcBorders>
              <w:top w:val="single" w:color="auto" w:sz="4" w:space="0"/>
              <w:left w:val="nil"/>
              <w:bottom w:val="single" w:color="auto" w:sz="4" w:space="0"/>
              <w:right w:val="single" w:color="auto" w:sz="4" w:space="0"/>
            </w:tcBorders>
            <w:shd w:val="clear" w:color="auto" w:fill="auto"/>
            <w:vAlign w:val="center"/>
          </w:tcPr>
          <w:p w14:paraId="0B32AFE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p>
        </w:tc>
      </w:tr>
      <w:tr w14:paraId="4542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2A1EF0F4">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2</w:t>
            </w:r>
          </w:p>
        </w:tc>
        <w:tc>
          <w:tcPr>
            <w:tcW w:w="2409" w:type="dxa"/>
            <w:tcBorders>
              <w:top w:val="single" w:color="auto" w:sz="4" w:space="0"/>
              <w:left w:val="nil"/>
              <w:bottom w:val="single" w:color="auto" w:sz="4" w:space="0"/>
              <w:right w:val="single" w:color="auto" w:sz="4" w:space="0"/>
            </w:tcBorders>
            <w:shd w:val="clear" w:color="auto" w:fill="auto"/>
            <w:vAlign w:val="center"/>
          </w:tcPr>
          <w:p w14:paraId="751E384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投标内容</w:t>
            </w:r>
          </w:p>
        </w:tc>
        <w:tc>
          <w:tcPr>
            <w:tcW w:w="4257" w:type="dxa"/>
            <w:tcBorders>
              <w:top w:val="single" w:color="auto" w:sz="4" w:space="0"/>
              <w:left w:val="nil"/>
              <w:bottom w:val="single" w:color="auto" w:sz="4" w:space="0"/>
              <w:right w:val="single" w:color="auto" w:sz="4" w:space="0"/>
            </w:tcBorders>
            <w:shd w:val="clear" w:color="auto" w:fill="auto"/>
            <w:vAlign w:val="center"/>
          </w:tcPr>
          <w:p w14:paraId="38F9070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按招标文件要求</w:t>
            </w:r>
          </w:p>
        </w:tc>
        <w:tc>
          <w:tcPr>
            <w:tcW w:w="1117" w:type="dxa"/>
            <w:tcBorders>
              <w:top w:val="single" w:color="auto" w:sz="4" w:space="0"/>
              <w:left w:val="nil"/>
              <w:bottom w:val="single" w:color="auto" w:sz="4" w:space="0"/>
              <w:right w:val="single" w:color="auto" w:sz="4" w:space="0"/>
            </w:tcBorders>
            <w:shd w:val="clear" w:color="auto" w:fill="auto"/>
            <w:vAlign w:val="center"/>
          </w:tcPr>
          <w:p w14:paraId="260AE45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p>
        </w:tc>
      </w:tr>
      <w:tr w14:paraId="7D52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0623C89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3</w:t>
            </w:r>
          </w:p>
        </w:tc>
        <w:tc>
          <w:tcPr>
            <w:tcW w:w="2409" w:type="dxa"/>
            <w:tcBorders>
              <w:top w:val="single" w:color="auto" w:sz="4" w:space="0"/>
              <w:left w:val="nil"/>
              <w:bottom w:val="single" w:color="auto" w:sz="4" w:space="0"/>
              <w:right w:val="single" w:color="auto" w:sz="4" w:space="0"/>
            </w:tcBorders>
            <w:shd w:val="clear" w:color="auto" w:fill="auto"/>
            <w:vAlign w:val="center"/>
          </w:tcPr>
          <w:p w14:paraId="5CA6648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交货地点</w:t>
            </w:r>
          </w:p>
        </w:tc>
        <w:tc>
          <w:tcPr>
            <w:tcW w:w="4257" w:type="dxa"/>
            <w:tcBorders>
              <w:top w:val="single" w:color="auto" w:sz="4" w:space="0"/>
              <w:left w:val="nil"/>
              <w:bottom w:val="single" w:color="auto" w:sz="4" w:space="0"/>
              <w:right w:val="single" w:color="auto" w:sz="4" w:space="0"/>
            </w:tcBorders>
            <w:shd w:val="clear" w:color="auto" w:fill="auto"/>
            <w:vAlign w:val="center"/>
          </w:tcPr>
          <w:p w14:paraId="08FF0FD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按招标文件要求</w:t>
            </w:r>
          </w:p>
        </w:tc>
        <w:tc>
          <w:tcPr>
            <w:tcW w:w="1117" w:type="dxa"/>
            <w:tcBorders>
              <w:top w:val="single" w:color="auto" w:sz="4" w:space="0"/>
              <w:left w:val="nil"/>
              <w:bottom w:val="single" w:color="auto" w:sz="4" w:space="0"/>
              <w:right w:val="single" w:color="auto" w:sz="4" w:space="0"/>
            </w:tcBorders>
            <w:shd w:val="clear" w:color="auto" w:fill="auto"/>
            <w:vAlign w:val="center"/>
          </w:tcPr>
          <w:p w14:paraId="13DB08A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p>
        </w:tc>
      </w:tr>
      <w:tr w14:paraId="7F2B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6541D9B3">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4</w:t>
            </w:r>
          </w:p>
        </w:tc>
        <w:tc>
          <w:tcPr>
            <w:tcW w:w="2409" w:type="dxa"/>
            <w:tcBorders>
              <w:top w:val="single" w:color="auto" w:sz="4" w:space="0"/>
              <w:left w:val="nil"/>
              <w:bottom w:val="single" w:color="auto" w:sz="4" w:space="0"/>
              <w:right w:val="single" w:color="auto" w:sz="4" w:space="0"/>
            </w:tcBorders>
            <w:shd w:val="clear" w:color="auto" w:fill="auto"/>
            <w:vAlign w:val="center"/>
          </w:tcPr>
          <w:p w14:paraId="5AFD947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投标有效期</w:t>
            </w:r>
          </w:p>
        </w:tc>
        <w:tc>
          <w:tcPr>
            <w:tcW w:w="4257" w:type="dxa"/>
            <w:tcBorders>
              <w:top w:val="single" w:color="auto" w:sz="4" w:space="0"/>
              <w:left w:val="nil"/>
              <w:bottom w:val="single" w:color="auto" w:sz="4" w:space="0"/>
              <w:right w:val="single" w:color="auto" w:sz="4" w:space="0"/>
            </w:tcBorders>
            <w:shd w:val="clear" w:color="auto" w:fill="auto"/>
            <w:vAlign w:val="center"/>
          </w:tcPr>
          <w:p w14:paraId="0F31CC23">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按招标文件要求</w:t>
            </w:r>
          </w:p>
        </w:tc>
        <w:tc>
          <w:tcPr>
            <w:tcW w:w="1117" w:type="dxa"/>
            <w:tcBorders>
              <w:top w:val="single" w:color="auto" w:sz="4" w:space="0"/>
              <w:left w:val="nil"/>
              <w:bottom w:val="single" w:color="auto" w:sz="4" w:space="0"/>
              <w:right w:val="single" w:color="auto" w:sz="4" w:space="0"/>
            </w:tcBorders>
            <w:shd w:val="clear" w:color="auto" w:fill="auto"/>
            <w:vAlign w:val="center"/>
          </w:tcPr>
          <w:p w14:paraId="074C269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p>
        </w:tc>
      </w:tr>
      <w:tr w14:paraId="42E3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247B163A">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5</w:t>
            </w:r>
          </w:p>
        </w:tc>
        <w:tc>
          <w:tcPr>
            <w:tcW w:w="2409" w:type="dxa"/>
            <w:tcBorders>
              <w:top w:val="single" w:color="auto" w:sz="4" w:space="0"/>
              <w:left w:val="nil"/>
              <w:bottom w:val="single" w:color="auto" w:sz="4" w:space="0"/>
              <w:right w:val="single" w:color="auto" w:sz="4" w:space="0"/>
            </w:tcBorders>
            <w:shd w:val="clear" w:color="auto" w:fill="auto"/>
            <w:vAlign w:val="center"/>
          </w:tcPr>
          <w:p w14:paraId="2172E31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法 人 营 业</w:t>
            </w:r>
          </w:p>
          <w:p w14:paraId="1A67D673">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执 照 证 号</w:t>
            </w:r>
          </w:p>
        </w:tc>
        <w:tc>
          <w:tcPr>
            <w:tcW w:w="4257" w:type="dxa"/>
            <w:tcBorders>
              <w:top w:val="single" w:color="auto" w:sz="4" w:space="0"/>
              <w:left w:val="nil"/>
              <w:bottom w:val="single" w:color="auto" w:sz="4" w:space="0"/>
              <w:right w:val="single" w:color="auto" w:sz="4" w:space="0"/>
            </w:tcBorders>
            <w:shd w:val="clear" w:color="auto" w:fill="auto"/>
            <w:vAlign w:val="center"/>
          </w:tcPr>
          <w:p w14:paraId="6BC64A5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法 人 营 业</w:t>
            </w:r>
          </w:p>
          <w:p w14:paraId="4AD481F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执 照 证 号：</w:t>
            </w:r>
          </w:p>
        </w:tc>
        <w:tc>
          <w:tcPr>
            <w:tcW w:w="1117" w:type="dxa"/>
            <w:tcBorders>
              <w:top w:val="single" w:color="auto" w:sz="4" w:space="0"/>
              <w:left w:val="nil"/>
              <w:bottom w:val="single" w:color="auto" w:sz="4" w:space="0"/>
              <w:right w:val="single" w:color="auto" w:sz="4" w:space="0"/>
            </w:tcBorders>
            <w:shd w:val="clear" w:color="auto" w:fill="auto"/>
            <w:vAlign w:val="center"/>
          </w:tcPr>
          <w:p w14:paraId="41303D90">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p>
        </w:tc>
      </w:tr>
    </w:tbl>
    <w:p w14:paraId="2C24844A">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0A206349">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 标 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（盖单位章）</w:t>
      </w:r>
    </w:p>
    <w:p w14:paraId="2017BF29">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法定代表人或其委托代理人：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（签字或盖章）</w:t>
      </w:r>
    </w:p>
    <w:p w14:paraId="4D622F3F">
      <w:pPr>
        <w:keepNext/>
        <w:keepLines/>
        <w:widowControl/>
        <w:suppressLineNumbers w:val="0"/>
        <w:spacing w:before="0" w:beforeAutospacing="0" w:after="0" w:afterAutospacing="0" w:line="360" w:lineRule="auto"/>
        <w:ind w:left="0" w:right="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bookmarkStart w:id="134" w:name="_Toc11621"/>
      <w:bookmarkEnd w:id="134"/>
      <w:bookmarkStart w:id="135" w:name="_Toc7454670"/>
      <w:bookmarkEnd w:id="135"/>
      <w:bookmarkStart w:id="136" w:name="_Toc508788701"/>
      <w:bookmarkEnd w:id="136"/>
    </w:p>
    <w:p w14:paraId="4110235B">
      <w:pPr>
        <w:keepNext/>
        <w:keepLines/>
        <w:widowControl/>
        <w:suppressLineNumbers w:val="0"/>
        <w:spacing w:before="0" w:beforeAutospacing="0" w:after="0" w:afterAutospacing="0" w:line="360" w:lineRule="auto"/>
        <w:ind w:left="0" w:right="96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br w:type="page"/>
      </w:r>
      <w:r>
        <w:rPr>
          <w:rFonts w:hint="eastAsia" w:ascii="宋体" w:hAnsi="宋体" w:eastAsia="宋体" w:cs="宋体"/>
          <w:color w:val="auto"/>
          <w:kern w:val="0"/>
          <w:sz w:val="32"/>
          <w:szCs w:val="32"/>
          <w:highlight w:val="none"/>
          <w:lang w:val="en-US" w:eastAsia="zh-CN" w:bidi="ar"/>
        </w:rPr>
        <w:t>二、法定代表人身份证明（参考格式）</w:t>
      </w:r>
    </w:p>
    <w:p w14:paraId="0E054E7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6CAF0C70">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投标人名称：</w:t>
      </w:r>
      <w:r>
        <w:rPr>
          <w:rFonts w:hint="eastAsia" w:ascii="宋体" w:hAnsi="宋体" w:eastAsia="宋体" w:cs="宋体"/>
          <w:color w:val="auto"/>
          <w:kern w:val="2"/>
          <w:sz w:val="24"/>
          <w:szCs w:val="24"/>
          <w:highlight w:val="none"/>
          <w:u w:val="single"/>
          <w:lang w:val="en-US" w:eastAsia="zh-CN" w:bidi="ar"/>
        </w:rPr>
        <w:t xml:space="preserve">     </w:t>
      </w:r>
    </w:p>
    <w:p w14:paraId="17547608">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姓名：</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性别：</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年龄</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：职务：</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系</w:t>
      </w:r>
      <w:r>
        <w:rPr>
          <w:rFonts w:hint="eastAsia" w:ascii="宋体" w:hAnsi="宋体" w:eastAsia="宋体" w:cs="宋体"/>
          <w:color w:val="auto"/>
          <w:kern w:val="2"/>
          <w:sz w:val="24"/>
          <w:szCs w:val="24"/>
          <w:highlight w:val="none"/>
          <w:u w:val="single"/>
          <w:lang w:val="en-US" w:eastAsia="zh-CN" w:bidi="ar"/>
        </w:rPr>
        <w:t>（投标人名称）</w:t>
      </w:r>
      <w:r>
        <w:rPr>
          <w:rFonts w:hint="eastAsia" w:ascii="宋体" w:hAnsi="宋体" w:eastAsia="宋体" w:cs="宋体"/>
          <w:color w:val="auto"/>
          <w:kern w:val="2"/>
          <w:sz w:val="24"/>
          <w:szCs w:val="24"/>
          <w:highlight w:val="none"/>
          <w:lang w:val="en-US" w:eastAsia="zh-CN" w:bidi="ar"/>
        </w:rPr>
        <w:t>的法定代表人。</w:t>
      </w:r>
    </w:p>
    <w:p w14:paraId="094B0CDB">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特此证明。</w:t>
      </w:r>
    </w:p>
    <w:p w14:paraId="2B44BA5C">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5150CB4F">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附：法定代表人身份证</w:t>
      </w:r>
      <w:r>
        <w:rPr>
          <w:rFonts w:hint="eastAsia" w:ascii="宋体" w:hAnsi="宋体" w:eastAsia="宋体" w:cs="宋体"/>
          <w:color w:val="auto"/>
          <w:kern w:val="2"/>
          <w:sz w:val="24"/>
          <w:szCs w:val="24"/>
          <w:highlight w:val="none"/>
          <w:u w:val="single"/>
          <w:lang w:val="en-US" w:eastAsia="zh-CN" w:bidi="ar"/>
        </w:rPr>
        <w:t>扫描件</w:t>
      </w:r>
      <w:r>
        <w:rPr>
          <w:rFonts w:hint="eastAsia" w:ascii="宋体" w:hAnsi="宋体" w:eastAsia="宋体" w:cs="宋体"/>
          <w:color w:val="auto"/>
          <w:kern w:val="2"/>
          <w:sz w:val="24"/>
          <w:szCs w:val="24"/>
          <w:highlight w:val="none"/>
          <w:lang w:val="en-US" w:eastAsia="zh-CN" w:bidi="ar"/>
        </w:rPr>
        <w:t>。</w:t>
      </w:r>
    </w:p>
    <w:p w14:paraId="1C688225">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4A02A6EF">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注：本身份证明需由投标人加盖单位公章。</w:t>
      </w:r>
    </w:p>
    <w:p w14:paraId="34CC3EA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649738E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7D38E239">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（盖单位章）</w:t>
      </w:r>
    </w:p>
    <w:p w14:paraId="6E1D3E6F">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37E5F9FB">
      <w:pPr>
        <w:keepNext w:val="0"/>
        <w:keepLines w:val="0"/>
        <w:widowControl/>
        <w:suppressLineNumbers w:val="0"/>
        <w:spacing w:before="0" w:beforeAutospacing="0" w:after="192" w:afterAutospacing="0" w:line="256" w:lineRule="auto"/>
        <w:ind w:left="0" w:right="0"/>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2"/>
          <w:sz w:val="20"/>
          <w:szCs w:val="20"/>
          <w:highlight w:val="none"/>
          <w:lang w:val="en-US" w:eastAsia="zh-CN" w:bidi="ar"/>
        </w:rPr>
        <w:br w:type="page"/>
      </w:r>
      <w:bookmarkStart w:id="137" w:name="_Toc508788702"/>
      <w:bookmarkEnd w:id="137"/>
      <w:bookmarkStart w:id="138" w:name="_Toc7454671"/>
      <w:bookmarkEnd w:id="138"/>
      <w:bookmarkStart w:id="139" w:name="_Toc6371"/>
      <w:r>
        <w:rPr>
          <w:rFonts w:hint="eastAsia" w:ascii="宋体" w:hAnsi="宋体" w:eastAsia="宋体" w:cs="宋体"/>
          <w:color w:val="auto"/>
          <w:kern w:val="0"/>
          <w:sz w:val="32"/>
          <w:szCs w:val="32"/>
          <w:highlight w:val="none"/>
          <w:lang w:val="en-US" w:eastAsia="zh-CN" w:bidi="ar"/>
        </w:rPr>
        <w:t>二、授权委托书</w:t>
      </w:r>
      <w:bookmarkEnd w:id="139"/>
      <w:r>
        <w:rPr>
          <w:rFonts w:hint="eastAsia" w:ascii="宋体" w:hAnsi="宋体" w:eastAsia="宋体" w:cs="宋体"/>
          <w:color w:val="auto"/>
          <w:kern w:val="0"/>
          <w:sz w:val="32"/>
          <w:szCs w:val="32"/>
          <w:highlight w:val="none"/>
          <w:lang w:val="en-US" w:eastAsia="zh-CN" w:bidi="ar"/>
        </w:rPr>
        <w:t>（参考格式）</w:t>
      </w:r>
    </w:p>
    <w:p w14:paraId="012D108B">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本人</w:t>
      </w:r>
      <w:r>
        <w:rPr>
          <w:rFonts w:hint="eastAsia" w:ascii="宋体" w:hAnsi="宋体" w:eastAsia="宋体" w:cs="宋体"/>
          <w:color w:val="auto"/>
          <w:kern w:val="2"/>
          <w:sz w:val="24"/>
          <w:szCs w:val="24"/>
          <w:highlight w:val="none"/>
          <w:u w:val="single"/>
          <w:lang w:val="en-US" w:eastAsia="zh-CN" w:bidi="ar"/>
        </w:rPr>
        <w:t>（姓名）</w:t>
      </w:r>
      <w:r>
        <w:rPr>
          <w:rFonts w:hint="eastAsia" w:ascii="宋体" w:hAnsi="宋体" w:eastAsia="宋体" w:cs="宋体"/>
          <w:color w:val="auto"/>
          <w:kern w:val="2"/>
          <w:sz w:val="24"/>
          <w:szCs w:val="24"/>
          <w:highlight w:val="none"/>
          <w:lang w:val="en-US" w:eastAsia="zh-CN" w:bidi="ar"/>
        </w:rPr>
        <w:t>系</w:t>
      </w:r>
      <w:r>
        <w:rPr>
          <w:rFonts w:hint="eastAsia" w:ascii="宋体" w:hAnsi="宋体" w:eastAsia="宋体" w:cs="宋体"/>
          <w:color w:val="auto"/>
          <w:kern w:val="2"/>
          <w:sz w:val="24"/>
          <w:szCs w:val="24"/>
          <w:highlight w:val="none"/>
          <w:u w:val="single"/>
          <w:lang w:val="en-US" w:eastAsia="zh-CN" w:bidi="ar"/>
        </w:rPr>
        <w:t>（投标人名称）</w:t>
      </w:r>
      <w:r>
        <w:rPr>
          <w:rFonts w:hint="eastAsia" w:ascii="宋体" w:hAnsi="宋体" w:eastAsia="宋体" w:cs="宋体"/>
          <w:color w:val="auto"/>
          <w:kern w:val="2"/>
          <w:sz w:val="24"/>
          <w:szCs w:val="24"/>
          <w:highlight w:val="none"/>
          <w:lang w:val="en-US" w:eastAsia="zh-CN" w:bidi="ar"/>
        </w:rPr>
        <w:t>的法定代表人，现委托</w:t>
      </w:r>
      <w:r>
        <w:rPr>
          <w:rFonts w:hint="eastAsia" w:ascii="宋体" w:hAnsi="宋体" w:eastAsia="宋体" w:cs="宋体"/>
          <w:color w:val="auto"/>
          <w:kern w:val="2"/>
          <w:sz w:val="24"/>
          <w:szCs w:val="24"/>
          <w:highlight w:val="none"/>
          <w:u w:val="single"/>
          <w:lang w:val="en-US" w:eastAsia="zh-CN" w:bidi="ar"/>
        </w:rPr>
        <w:t>（姓名）</w:t>
      </w:r>
      <w:r>
        <w:rPr>
          <w:rFonts w:hint="eastAsia" w:ascii="宋体" w:hAnsi="宋体" w:eastAsia="宋体" w:cs="宋体"/>
          <w:color w:val="auto"/>
          <w:kern w:val="2"/>
          <w:sz w:val="24"/>
          <w:szCs w:val="24"/>
          <w:highlight w:val="none"/>
          <w:lang w:val="en-US" w:eastAsia="zh-CN" w:bidi="ar"/>
        </w:rPr>
        <w:t>为我方代理人。代理人根据授权，以我方名义签署、澄清确认、递交、撤回、修改设备招标项目投标文件、签订合同和处理有关事宜，其法律后果由我方承担。</w:t>
      </w:r>
    </w:p>
    <w:p w14:paraId="44F90BC9">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委托期限：</w:t>
      </w:r>
      <w:r>
        <w:rPr>
          <w:rFonts w:hint="eastAsia" w:ascii="宋体" w:hAnsi="宋体" w:eastAsia="宋体" w:cs="宋体"/>
          <w:color w:val="auto"/>
          <w:kern w:val="2"/>
          <w:sz w:val="24"/>
          <w:szCs w:val="24"/>
          <w:highlight w:val="none"/>
          <w:u w:val="single"/>
          <w:lang w:val="en-US" w:eastAsia="zh-CN" w:bidi="ar"/>
        </w:rPr>
        <w:t>投标截止之日起180日历天</w:t>
      </w:r>
      <w:r>
        <w:rPr>
          <w:rFonts w:hint="eastAsia" w:ascii="宋体" w:hAnsi="宋体" w:eastAsia="宋体" w:cs="宋体"/>
          <w:color w:val="auto"/>
          <w:kern w:val="2"/>
          <w:sz w:val="24"/>
          <w:szCs w:val="24"/>
          <w:highlight w:val="none"/>
          <w:lang w:val="en-US" w:eastAsia="zh-CN" w:bidi="ar"/>
        </w:rPr>
        <w:t>。</w:t>
      </w:r>
    </w:p>
    <w:p w14:paraId="147C10C7">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代理人无转委托权。</w:t>
      </w:r>
    </w:p>
    <w:p w14:paraId="2BE39944">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1721D20F">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附：法定代表人身份证</w:t>
      </w:r>
      <w:r>
        <w:rPr>
          <w:rFonts w:hint="eastAsia" w:ascii="宋体" w:hAnsi="宋体" w:eastAsia="宋体" w:cs="宋体"/>
          <w:color w:val="auto"/>
          <w:kern w:val="2"/>
          <w:sz w:val="24"/>
          <w:szCs w:val="24"/>
          <w:highlight w:val="none"/>
          <w:u w:val="single"/>
          <w:lang w:val="en-US" w:eastAsia="zh-CN" w:bidi="ar"/>
        </w:rPr>
        <w:t>扫描件</w:t>
      </w:r>
      <w:r>
        <w:rPr>
          <w:rFonts w:hint="eastAsia" w:ascii="宋体" w:hAnsi="宋体" w:eastAsia="宋体" w:cs="宋体"/>
          <w:color w:val="auto"/>
          <w:kern w:val="2"/>
          <w:sz w:val="24"/>
          <w:szCs w:val="24"/>
          <w:highlight w:val="none"/>
          <w:lang w:val="en-US" w:eastAsia="zh-CN" w:bidi="ar"/>
        </w:rPr>
        <w:t>及委托代理人身份证</w:t>
      </w:r>
      <w:r>
        <w:rPr>
          <w:rFonts w:hint="eastAsia" w:ascii="宋体" w:hAnsi="宋体" w:eastAsia="宋体" w:cs="宋体"/>
          <w:color w:val="auto"/>
          <w:kern w:val="2"/>
          <w:sz w:val="24"/>
          <w:szCs w:val="24"/>
          <w:highlight w:val="none"/>
          <w:u w:val="single"/>
          <w:lang w:val="en-US" w:eastAsia="zh-CN" w:bidi="ar"/>
        </w:rPr>
        <w:t>扫描件</w:t>
      </w:r>
    </w:p>
    <w:p w14:paraId="437E9564">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42EAB37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注：本授权委托书需由投标人加盖单位公章并由其法定代表人和委托代理人签字或盖章。</w:t>
      </w:r>
    </w:p>
    <w:p w14:paraId="0C5C83C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16C7901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  标  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（盖单位章）</w:t>
      </w:r>
    </w:p>
    <w:p w14:paraId="4D8124C0">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（签字或盖章）</w:t>
      </w:r>
    </w:p>
    <w:p w14:paraId="2F53978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eastAsia" w:ascii="宋体" w:hAnsi="宋体" w:eastAsia="宋体" w:cs="宋体"/>
          <w:color w:val="auto"/>
          <w:kern w:val="2"/>
          <w:sz w:val="24"/>
          <w:szCs w:val="24"/>
          <w:highlight w:val="none"/>
          <w:u w:val="single"/>
          <w:lang w:val="en-US" w:eastAsia="zh-CN" w:bidi="ar"/>
        </w:rPr>
        <w:t xml:space="preserve">     </w:t>
      </w:r>
    </w:p>
    <w:p w14:paraId="5D4397F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（签字或盖章）</w:t>
      </w:r>
    </w:p>
    <w:p w14:paraId="69FC167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eastAsia" w:ascii="宋体" w:hAnsi="宋体" w:eastAsia="宋体" w:cs="宋体"/>
          <w:color w:val="auto"/>
          <w:kern w:val="2"/>
          <w:sz w:val="24"/>
          <w:szCs w:val="24"/>
          <w:highlight w:val="none"/>
          <w:u w:val="single"/>
          <w:lang w:val="en-US" w:eastAsia="zh-CN" w:bidi="ar"/>
        </w:rPr>
        <w:t xml:space="preserve">     </w:t>
      </w:r>
    </w:p>
    <w:p w14:paraId="1D16D587">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4CD3DBEA">
      <w:pPr>
        <w:keepNext w:val="0"/>
        <w:keepLines w:val="0"/>
        <w:widowControl w:val="0"/>
        <w:suppressLineNumbers w:val="0"/>
        <w:topLinePunct/>
        <w:adjustRightInd w:val="0"/>
        <w:snapToGrid w:val="0"/>
        <w:spacing w:before="0" w:beforeAutospacing="0" w:after="0" w:afterAutospacing="0" w:line="360" w:lineRule="auto"/>
        <w:ind w:left="0" w:right="0" w:firstLine="669" w:firstLineChars="279"/>
        <w:jc w:val="center"/>
        <w:rPr>
          <w:rFonts w:hint="eastAsia" w:ascii="宋体" w:hAnsi="宋体" w:eastAsia="宋体" w:cs="Times New Roman"/>
          <w:color w:val="auto"/>
          <w:spacing w:val="4"/>
          <w:kern w:val="0"/>
          <w:sz w:val="24"/>
          <w:szCs w:val="24"/>
          <w:highlight w:val="none"/>
        </w:rPr>
      </w:pPr>
      <w:r>
        <w:rPr>
          <w:rFonts w:hint="eastAsia" w:ascii="宋体" w:hAnsi="宋体" w:eastAsia="宋体" w:cs="宋体"/>
          <w:color w:val="auto"/>
          <w:kern w:val="2"/>
          <w:sz w:val="24"/>
          <w:szCs w:val="24"/>
          <w:highlight w:val="none"/>
          <w:lang w:val="en-US" w:eastAsia="zh-CN" w:bidi="ar"/>
        </w:rPr>
        <w:br w:type="page"/>
      </w:r>
      <w:bookmarkStart w:id="140" w:name="_Toc7454674"/>
      <w:bookmarkEnd w:id="140"/>
      <w:bookmarkStart w:id="141" w:name="_Toc3024"/>
      <w:bookmarkEnd w:id="141"/>
    </w:p>
    <w:p w14:paraId="08B75841">
      <w:pPr>
        <w:keepNext/>
        <w:keepLines/>
        <w:widowControl/>
        <w:suppressLineNumbers w:val="0"/>
        <w:autoSpaceDE/>
        <w:autoSpaceDN/>
        <w:adjustRightInd/>
        <w:spacing w:before="0" w:beforeAutospacing="0" w:after="0" w:afterAutospacing="0" w:line="360" w:lineRule="auto"/>
        <w:ind w:left="0" w:leftChars="0" w:right="0" w:firstLine="0" w:firstLineChars="0"/>
        <w:jc w:val="left"/>
        <w:rPr>
          <w:rFonts w:hint="default" w:ascii="宋体" w:hAnsi="宋体" w:eastAsia="宋体" w:cs="宋体"/>
          <w:b w:val="0"/>
          <w:bCs w:val="0"/>
          <w:color w:val="auto"/>
          <w:kern w:val="0"/>
          <w:sz w:val="32"/>
          <w:szCs w:val="32"/>
          <w:highlight w:val="none"/>
          <w:lang w:val="en-US" w:eastAsia="zh-CN" w:bidi="ar"/>
        </w:rPr>
      </w:pPr>
      <w:r>
        <w:rPr>
          <w:rFonts w:hint="eastAsia" w:ascii="宋体" w:hAnsi="宋体" w:eastAsia="宋体" w:cs="宋体"/>
          <w:b w:val="0"/>
          <w:bCs w:val="0"/>
          <w:color w:val="auto"/>
          <w:kern w:val="0"/>
          <w:sz w:val="32"/>
          <w:szCs w:val="32"/>
          <w:highlight w:val="none"/>
          <w:lang w:eastAsia="zh-CN" w:bidi="ar"/>
        </w:rPr>
        <w:t>三、</w:t>
      </w:r>
      <w:r>
        <w:rPr>
          <w:rFonts w:hint="default" w:ascii="宋体" w:hAnsi="宋体" w:eastAsia="宋体" w:cs="宋体"/>
          <w:b w:val="0"/>
          <w:bCs w:val="0"/>
          <w:color w:val="auto"/>
          <w:kern w:val="0"/>
          <w:sz w:val="32"/>
          <w:szCs w:val="32"/>
          <w:highlight w:val="none"/>
          <w:lang w:eastAsia="zh-CN" w:bidi="ar"/>
        </w:rPr>
        <w:t>报价表</w:t>
      </w:r>
    </w:p>
    <w:p w14:paraId="03607012">
      <w:pPr>
        <w:keepNext w:val="0"/>
        <w:keepLines w:val="0"/>
        <w:widowControl/>
        <w:suppressLineNumbers w:val="0"/>
        <w:autoSpaceDE/>
        <w:autoSpaceDN/>
        <w:adjustRightInd/>
        <w:spacing w:before="0" w:beforeAutospacing="0" w:after="0" w:afterAutospacing="0" w:line="360" w:lineRule="auto"/>
        <w:ind w:left="0" w:leftChars="0" w:right="0" w:firstLine="0" w:firstLineChars="0"/>
        <w:jc w:val="left"/>
        <w:rPr>
          <w:rFonts w:hint="default" w:ascii="宋体" w:hAnsi="宋体" w:eastAsia="宋体" w:cs="宋体"/>
          <w:b/>
          <w:bCs w:val="0"/>
          <w:color w:val="auto"/>
          <w:kern w:val="0"/>
          <w:sz w:val="22"/>
          <w:szCs w:val="22"/>
          <w:highlight w:val="none"/>
          <w:lang w:eastAsia="zh-CN" w:bidi="ar"/>
        </w:rPr>
      </w:pPr>
      <w:r>
        <w:rPr>
          <w:rFonts w:hint="default" w:ascii="宋体" w:hAnsi="宋体" w:eastAsia="宋体" w:cs="宋体"/>
          <w:b/>
          <w:bCs w:val="0"/>
          <w:color w:val="auto"/>
          <w:kern w:val="0"/>
          <w:sz w:val="22"/>
          <w:szCs w:val="22"/>
          <w:highlight w:val="none"/>
          <w:lang w:eastAsia="zh-CN" w:bidi="ar"/>
        </w:rPr>
        <w:t>（一）</w:t>
      </w:r>
      <w:r>
        <w:rPr>
          <w:rFonts w:hint="eastAsia" w:ascii="宋体" w:hAnsi="宋体" w:eastAsia="宋体" w:cs="宋体"/>
          <w:b/>
          <w:bCs w:val="0"/>
          <w:color w:val="auto"/>
          <w:kern w:val="0"/>
          <w:sz w:val="22"/>
          <w:szCs w:val="22"/>
          <w:highlight w:val="none"/>
          <w:lang w:val="en-US" w:eastAsia="zh-CN" w:bidi="ar"/>
        </w:rPr>
        <w:t>投标报价总表</w:t>
      </w:r>
    </w:p>
    <w:p w14:paraId="3F9C5AD1">
      <w:pPr>
        <w:keepNext w:val="0"/>
        <w:keepLines w:val="0"/>
        <w:widowControl/>
        <w:suppressLineNumbers w:val="0"/>
        <w:autoSpaceDE/>
        <w:autoSpaceDN/>
        <w:adjustRightInd/>
        <w:spacing w:before="0" w:beforeAutospacing="0" w:after="0" w:afterAutospacing="0" w:line="360" w:lineRule="auto"/>
        <w:ind w:left="0" w:leftChars="0" w:right="0" w:firstLine="0" w:firstLineChars="0"/>
        <w:jc w:val="center"/>
        <w:rPr>
          <w:rFonts w:hint="default" w:ascii="宋体" w:hAnsi="宋体" w:eastAsia="宋体" w:cs="宋体"/>
          <w:b/>
          <w:bCs w:val="0"/>
          <w:color w:val="auto"/>
          <w:kern w:val="0"/>
          <w:sz w:val="36"/>
          <w:szCs w:val="36"/>
          <w:highlight w:val="none"/>
          <w:lang w:bidi="ar"/>
        </w:rPr>
      </w:pPr>
      <w:r>
        <w:rPr>
          <w:rFonts w:hint="default" w:ascii="宋体" w:hAnsi="宋体" w:eastAsia="宋体" w:cs="宋体"/>
          <w:b/>
          <w:bCs w:val="0"/>
          <w:color w:val="auto"/>
          <w:kern w:val="0"/>
          <w:sz w:val="36"/>
          <w:szCs w:val="36"/>
          <w:highlight w:val="none"/>
          <w:lang w:eastAsia="zh-CN" w:bidi="ar"/>
        </w:rPr>
        <w:t>1.</w:t>
      </w:r>
      <w:r>
        <w:rPr>
          <w:rFonts w:hint="eastAsia" w:ascii="宋体" w:hAnsi="宋体" w:eastAsia="宋体" w:cs="宋体"/>
          <w:b/>
          <w:bCs w:val="0"/>
          <w:color w:val="auto"/>
          <w:kern w:val="0"/>
          <w:sz w:val="36"/>
          <w:szCs w:val="36"/>
          <w:highlight w:val="none"/>
          <w:lang w:val="en-US" w:eastAsia="zh-CN" w:bidi="ar"/>
        </w:rPr>
        <w:t>投标报价总表</w:t>
      </w:r>
    </w:p>
    <w:tbl>
      <w:tblPr>
        <w:tblStyle w:val="1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88"/>
        <w:gridCol w:w="4591"/>
      </w:tblGrid>
      <w:tr w14:paraId="13AE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1"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14:paraId="2D55E85C">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Calibri"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工程名称</w:t>
            </w:r>
          </w:p>
        </w:tc>
        <w:tc>
          <w:tcPr>
            <w:tcW w:w="4591" w:type="dxa"/>
            <w:tcBorders>
              <w:top w:val="single" w:color="auto" w:sz="4" w:space="0"/>
              <w:left w:val="nil"/>
              <w:bottom w:val="single" w:color="auto" w:sz="4" w:space="0"/>
              <w:right w:val="single" w:color="auto" w:sz="4" w:space="0"/>
            </w:tcBorders>
            <w:shd w:val="clear" w:color="auto" w:fill="auto"/>
            <w:vAlign w:val="top"/>
          </w:tcPr>
          <w:p w14:paraId="36479FDB">
            <w:pPr>
              <w:keepNext w:val="0"/>
              <w:keepLines w:val="0"/>
              <w:widowControl w:val="0"/>
              <w:suppressLineNumbers w:val="0"/>
              <w:autoSpaceDE w:val="0"/>
              <w:autoSpaceDN w:val="0"/>
              <w:adjustRightInd w:val="0"/>
              <w:spacing w:before="0" w:beforeAutospacing="0" w:after="0" w:afterAutospacing="0"/>
              <w:ind w:left="0" w:right="0"/>
              <w:jc w:val="both"/>
              <w:rPr>
                <w:rFonts w:hint="default" w:ascii="宋体" w:hAnsi="Calibri"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第十五届全运会广东奥林匹克体育中心升级改造项目、第十五届全运会广东省人民体育场改造项目体育工艺（设备类）采购及相关</w:t>
            </w:r>
            <w:r>
              <w:rPr>
                <w:rFonts w:hint="default" w:ascii="宋体" w:hAnsi="宋体" w:eastAsia="宋体" w:cs="宋体"/>
                <w:b/>
                <w:bCs w:val="0"/>
                <w:color w:val="auto"/>
                <w:kern w:val="2"/>
                <w:sz w:val="24"/>
                <w:szCs w:val="24"/>
                <w:highlight w:val="none"/>
                <w:lang w:eastAsia="zh-CN" w:bidi="ar"/>
              </w:rPr>
              <w:t>服务</w:t>
            </w:r>
          </w:p>
        </w:tc>
      </w:tr>
      <w:tr w14:paraId="247B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1"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14:paraId="21B6D0B4">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投标总报价（元）</w:t>
            </w:r>
          </w:p>
        </w:tc>
        <w:tc>
          <w:tcPr>
            <w:tcW w:w="4591" w:type="dxa"/>
            <w:tcBorders>
              <w:top w:val="single" w:color="auto" w:sz="4" w:space="0"/>
              <w:left w:val="nil"/>
              <w:bottom w:val="single" w:color="auto" w:sz="4" w:space="0"/>
              <w:right w:val="single" w:color="auto" w:sz="4" w:space="0"/>
            </w:tcBorders>
            <w:shd w:val="clear" w:color="auto" w:fill="auto"/>
            <w:vAlign w:val="center"/>
          </w:tcPr>
          <w:p w14:paraId="24EF18A5">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Calibri" w:eastAsia="宋体" w:cs="宋体"/>
                <w:b/>
                <w:bCs w:val="0"/>
                <w:color w:val="auto"/>
                <w:kern w:val="2"/>
                <w:sz w:val="24"/>
                <w:szCs w:val="24"/>
                <w:highlight w:val="none"/>
              </w:rPr>
            </w:pPr>
          </w:p>
        </w:tc>
      </w:tr>
      <w:tr w14:paraId="3E70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2" w:hRule="atLeast"/>
          <w:jc w:val="center"/>
        </w:trPr>
        <w:tc>
          <w:tcPr>
            <w:tcW w:w="4788" w:type="dxa"/>
            <w:tcBorders>
              <w:top w:val="single" w:color="auto" w:sz="4" w:space="0"/>
              <w:left w:val="single" w:color="auto" w:sz="4" w:space="0"/>
              <w:right w:val="single" w:color="auto" w:sz="4" w:space="0"/>
            </w:tcBorders>
            <w:shd w:val="clear" w:color="auto" w:fill="auto"/>
            <w:vAlign w:val="center"/>
          </w:tcPr>
          <w:p w14:paraId="0312A270">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其中：现金支付</w:t>
            </w:r>
            <w:r>
              <w:rPr>
                <w:rFonts w:hint="default" w:ascii="宋体" w:hAnsi="宋体" w:eastAsia="宋体" w:cs="宋体"/>
                <w:b/>
                <w:bCs w:val="0"/>
                <w:color w:val="auto"/>
                <w:kern w:val="2"/>
                <w:sz w:val="24"/>
                <w:szCs w:val="24"/>
                <w:highlight w:val="none"/>
                <w:lang w:eastAsia="zh-CN" w:bidi="ar"/>
              </w:rPr>
              <w:t>部分</w:t>
            </w:r>
            <w:r>
              <w:rPr>
                <w:rFonts w:hint="eastAsia" w:ascii="宋体" w:hAnsi="宋体" w:eastAsia="宋体" w:cs="宋体"/>
                <w:b/>
                <w:bCs w:val="0"/>
                <w:color w:val="auto"/>
                <w:kern w:val="2"/>
                <w:sz w:val="24"/>
                <w:szCs w:val="24"/>
                <w:highlight w:val="none"/>
                <w:lang w:val="en-US" w:eastAsia="zh-CN" w:bidi="ar"/>
              </w:rPr>
              <w:t>（元）</w:t>
            </w:r>
          </w:p>
        </w:tc>
        <w:tc>
          <w:tcPr>
            <w:tcW w:w="4591" w:type="dxa"/>
            <w:tcBorders>
              <w:top w:val="single" w:color="auto" w:sz="4" w:space="0"/>
              <w:left w:val="nil"/>
              <w:bottom w:val="single" w:color="auto" w:sz="4" w:space="0"/>
              <w:right w:val="single" w:color="auto" w:sz="4" w:space="0"/>
            </w:tcBorders>
            <w:shd w:val="clear" w:color="auto" w:fill="auto"/>
            <w:vAlign w:val="center"/>
          </w:tcPr>
          <w:p w14:paraId="6CF52425">
            <w:pPr>
              <w:keepNext w:val="0"/>
              <w:keepLines w:val="0"/>
              <w:widowControl w:val="0"/>
              <w:suppressLineNumbers w:val="0"/>
              <w:autoSpaceDE w:val="0"/>
              <w:autoSpaceDN w:val="0"/>
              <w:adjustRightInd w:val="0"/>
              <w:spacing w:before="0" w:beforeAutospacing="0" w:after="0" w:afterAutospacing="0"/>
              <w:ind w:left="0" w:right="0"/>
              <w:jc w:val="both"/>
              <w:rPr>
                <w:rFonts w:hint="default" w:ascii="宋体" w:hAnsi="宋体" w:eastAsia="宋体" w:cs="宋体"/>
                <w:b/>
                <w:bCs w:val="0"/>
                <w:color w:val="auto"/>
                <w:kern w:val="2"/>
                <w:sz w:val="24"/>
                <w:szCs w:val="24"/>
                <w:highlight w:val="none"/>
                <w:lang w:eastAsia="zh-CN" w:bidi="ar"/>
              </w:rPr>
            </w:pPr>
            <w:r>
              <w:rPr>
                <w:rFonts w:hint="default" w:ascii="宋体" w:hAnsi="宋体" w:eastAsia="宋体" w:cs="宋体"/>
                <w:b/>
                <w:bCs w:val="0"/>
                <w:color w:val="auto"/>
                <w:kern w:val="2"/>
                <w:sz w:val="24"/>
                <w:szCs w:val="24"/>
                <w:highlight w:val="none"/>
                <w:u w:val="single"/>
                <w:lang w:eastAsia="zh-CN" w:bidi="ar"/>
              </w:rPr>
              <w:t xml:space="preserve">        </w:t>
            </w:r>
            <w:r>
              <w:rPr>
                <w:rFonts w:hint="default" w:ascii="宋体" w:hAnsi="宋体" w:eastAsia="宋体" w:cs="宋体"/>
                <w:b/>
                <w:bCs w:val="0"/>
                <w:color w:val="auto"/>
                <w:kern w:val="2"/>
                <w:sz w:val="24"/>
                <w:szCs w:val="24"/>
                <w:highlight w:val="none"/>
                <w:lang w:eastAsia="zh-CN" w:bidi="ar"/>
              </w:rPr>
              <w:t>元</w:t>
            </w:r>
          </w:p>
          <w:p w14:paraId="55683593">
            <w:pPr>
              <w:keepNext w:val="0"/>
              <w:keepLines w:val="0"/>
              <w:widowControl w:val="0"/>
              <w:suppressLineNumbers w:val="0"/>
              <w:autoSpaceDE w:val="0"/>
              <w:autoSpaceDN w:val="0"/>
              <w:adjustRightInd w:val="0"/>
              <w:spacing w:before="0" w:beforeAutospacing="0" w:after="0" w:afterAutospacing="0"/>
              <w:ind w:left="0" w:right="0"/>
              <w:jc w:val="both"/>
              <w:rPr>
                <w:rFonts w:hint="default" w:ascii="宋体" w:hAnsi="宋体" w:eastAsia="宋体" w:cs="宋体"/>
                <w:b/>
                <w:bCs w:val="0"/>
                <w:color w:val="auto"/>
                <w:kern w:val="2"/>
                <w:sz w:val="24"/>
                <w:szCs w:val="24"/>
                <w:highlight w:val="none"/>
                <w:lang w:eastAsia="zh-CN" w:bidi="ar"/>
              </w:rPr>
            </w:pPr>
            <w:r>
              <w:rPr>
                <w:rFonts w:hint="default" w:ascii="宋体" w:hAnsi="Calibri" w:eastAsia="宋体" w:cs="宋体"/>
                <w:b/>
                <w:bCs w:val="0"/>
                <w:color w:val="auto"/>
                <w:kern w:val="2"/>
                <w:sz w:val="24"/>
                <w:szCs w:val="24"/>
                <w:highlight w:val="none"/>
              </w:rPr>
              <w:t>（其中：</w:t>
            </w:r>
            <w:r>
              <w:rPr>
                <w:rFonts w:hint="eastAsia" w:ascii="宋体" w:hAnsi="宋体" w:eastAsia="宋体" w:cs="宋体"/>
                <w:b/>
                <w:bCs w:val="0"/>
                <w:color w:val="auto"/>
                <w:kern w:val="2"/>
                <w:sz w:val="24"/>
                <w:szCs w:val="24"/>
                <w:highlight w:val="none"/>
                <w:lang w:val="en-US" w:eastAsia="zh-CN" w:bidi="ar"/>
              </w:rPr>
              <w:t>第十五届全运会广东奥林匹克体育中心升级改造项目</w:t>
            </w:r>
            <w:r>
              <w:rPr>
                <w:rFonts w:hint="default" w:ascii="宋体" w:hAnsi="宋体" w:eastAsia="宋体" w:cs="宋体"/>
                <w:b/>
                <w:bCs w:val="0"/>
                <w:color w:val="auto"/>
                <w:kern w:val="2"/>
                <w:sz w:val="24"/>
                <w:szCs w:val="24"/>
                <w:highlight w:val="none"/>
                <w:lang w:eastAsia="zh-CN" w:bidi="ar"/>
              </w:rPr>
              <w:t>：</w:t>
            </w:r>
            <w:r>
              <w:rPr>
                <w:rFonts w:hint="default" w:ascii="宋体" w:hAnsi="宋体" w:eastAsia="宋体" w:cs="宋体"/>
                <w:b/>
                <w:bCs w:val="0"/>
                <w:color w:val="auto"/>
                <w:kern w:val="2"/>
                <w:sz w:val="24"/>
                <w:szCs w:val="24"/>
                <w:highlight w:val="none"/>
                <w:u w:val="single"/>
                <w:lang w:eastAsia="zh-CN" w:bidi="ar"/>
              </w:rPr>
              <w:t xml:space="preserve">      </w:t>
            </w:r>
            <w:r>
              <w:rPr>
                <w:rFonts w:hint="default" w:ascii="宋体" w:hAnsi="宋体" w:eastAsia="宋体" w:cs="宋体"/>
                <w:b/>
                <w:bCs w:val="0"/>
                <w:color w:val="auto"/>
                <w:kern w:val="2"/>
                <w:sz w:val="24"/>
                <w:szCs w:val="24"/>
                <w:highlight w:val="none"/>
                <w:lang w:eastAsia="zh-CN" w:bidi="ar"/>
              </w:rPr>
              <w:t>元；</w:t>
            </w:r>
          </w:p>
          <w:p w14:paraId="2BD10996">
            <w:pPr>
              <w:keepNext w:val="0"/>
              <w:keepLines w:val="0"/>
              <w:widowControl w:val="0"/>
              <w:suppressLineNumbers w:val="0"/>
              <w:autoSpaceDE w:val="0"/>
              <w:autoSpaceDN w:val="0"/>
              <w:adjustRightInd w:val="0"/>
              <w:spacing w:before="0" w:beforeAutospacing="0" w:after="0" w:afterAutospacing="0"/>
              <w:ind w:left="0" w:right="0"/>
              <w:jc w:val="both"/>
              <w:rPr>
                <w:rFonts w:hint="default" w:ascii="宋体" w:hAnsi="Calibri"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第十五届全运会广东省人民体育场改造项目</w:t>
            </w:r>
            <w:r>
              <w:rPr>
                <w:rFonts w:hint="default" w:ascii="宋体" w:hAnsi="宋体" w:eastAsia="宋体" w:cs="宋体"/>
                <w:b/>
                <w:bCs w:val="0"/>
                <w:color w:val="auto"/>
                <w:kern w:val="2"/>
                <w:sz w:val="24"/>
                <w:szCs w:val="24"/>
                <w:highlight w:val="none"/>
                <w:lang w:eastAsia="zh-CN" w:bidi="ar"/>
              </w:rPr>
              <w:t>：</w:t>
            </w:r>
            <w:r>
              <w:rPr>
                <w:rFonts w:hint="default" w:ascii="宋体" w:hAnsi="宋体" w:eastAsia="宋体" w:cs="宋体"/>
                <w:b/>
                <w:bCs w:val="0"/>
                <w:color w:val="auto"/>
                <w:kern w:val="2"/>
                <w:sz w:val="24"/>
                <w:szCs w:val="24"/>
                <w:highlight w:val="none"/>
                <w:u w:val="single"/>
                <w:lang w:eastAsia="zh-CN" w:bidi="ar"/>
              </w:rPr>
              <w:t xml:space="preserve">      </w:t>
            </w:r>
            <w:r>
              <w:rPr>
                <w:rFonts w:hint="default" w:ascii="宋体" w:hAnsi="宋体" w:eastAsia="宋体" w:cs="宋体"/>
                <w:b/>
                <w:bCs w:val="0"/>
                <w:color w:val="auto"/>
                <w:kern w:val="2"/>
                <w:sz w:val="24"/>
                <w:szCs w:val="24"/>
                <w:highlight w:val="none"/>
                <w:lang w:eastAsia="zh-CN" w:bidi="ar"/>
              </w:rPr>
              <w:t>元</w:t>
            </w:r>
            <w:r>
              <w:rPr>
                <w:rFonts w:hint="default" w:ascii="宋体" w:hAnsi="Calibri" w:eastAsia="宋体" w:cs="宋体"/>
                <w:b/>
                <w:bCs w:val="0"/>
                <w:color w:val="auto"/>
                <w:kern w:val="2"/>
                <w:sz w:val="24"/>
                <w:szCs w:val="24"/>
                <w:highlight w:val="none"/>
              </w:rPr>
              <w:t>）</w:t>
            </w:r>
          </w:p>
        </w:tc>
      </w:tr>
      <w:tr w14:paraId="494C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1"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14:paraId="010C4BA9">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其中：赞助权益回报</w:t>
            </w:r>
            <w:r>
              <w:rPr>
                <w:rFonts w:hint="default" w:ascii="宋体" w:hAnsi="宋体" w:eastAsia="宋体" w:cs="宋体"/>
                <w:b/>
                <w:bCs w:val="0"/>
                <w:color w:val="auto"/>
                <w:kern w:val="2"/>
                <w:sz w:val="24"/>
                <w:szCs w:val="24"/>
                <w:highlight w:val="none"/>
                <w:lang w:eastAsia="zh-CN" w:bidi="ar"/>
              </w:rPr>
              <w:t>部分</w:t>
            </w:r>
            <w:r>
              <w:rPr>
                <w:rFonts w:hint="eastAsia" w:ascii="宋体" w:hAnsi="宋体" w:eastAsia="宋体" w:cs="宋体"/>
                <w:b/>
                <w:bCs w:val="0"/>
                <w:color w:val="auto"/>
                <w:kern w:val="2"/>
                <w:sz w:val="24"/>
                <w:szCs w:val="24"/>
                <w:highlight w:val="none"/>
                <w:lang w:val="en-US" w:eastAsia="zh-CN" w:bidi="ar"/>
              </w:rPr>
              <w:t>（元）</w:t>
            </w:r>
          </w:p>
        </w:tc>
        <w:tc>
          <w:tcPr>
            <w:tcW w:w="4591" w:type="dxa"/>
            <w:tcBorders>
              <w:top w:val="single" w:color="auto" w:sz="4" w:space="0"/>
              <w:left w:val="nil"/>
              <w:bottom w:val="single" w:color="auto" w:sz="4" w:space="0"/>
              <w:right w:val="single" w:color="auto" w:sz="4" w:space="0"/>
            </w:tcBorders>
            <w:shd w:val="clear" w:color="auto" w:fill="auto"/>
            <w:vAlign w:val="center"/>
          </w:tcPr>
          <w:p w14:paraId="3DCAA5B1">
            <w:pPr>
              <w:keepNext w:val="0"/>
              <w:keepLines w:val="0"/>
              <w:widowControl w:val="0"/>
              <w:suppressLineNumbers w:val="0"/>
              <w:autoSpaceDE w:val="0"/>
              <w:autoSpaceDN w:val="0"/>
              <w:adjustRightInd w:val="0"/>
              <w:spacing w:before="0" w:beforeAutospacing="0" w:after="0" w:afterAutospacing="0"/>
              <w:ind w:left="0" w:right="0"/>
              <w:jc w:val="both"/>
              <w:rPr>
                <w:rFonts w:hint="default" w:ascii="宋体" w:hAnsi="宋体" w:eastAsia="宋体" w:cs="宋体"/>
                <w:b/>
                <w:bCs w:val="0"/>
                <w:color w:val="auto"/>
                <w:kern w:val="2"/>
                <w:sz w:val="24"/>
                <w:szCs w:val="24"/>
                <w:highlight w:val="none"/>
                <w:lang w:eastAsia="zh-CN" w:bidi="ar"/>
              </w:rPr>
            </w:pPr>
            <w:r>
              <w:rPr>
                <w:rFonts w:hint="default" w:ascii="宋体" w:hAnsi="宋体" w:eastAsia="宋体" w:cs="宋体"/>
                <w:b/>
                <w:bCs w:val="0"/>
                <w:color w:val="auto"/>
                <w:kern w:val="2"/>
                <w:sz w:val="24"/>
                <w:szCs w:val="24"/>
                <w:highlight w:val="none"/>
                <w:u w:val="single"/>
                <w:lang w:eastAsia="zh-CN" w:bidi="ar"/>
              </w:rPr>
              <w:t xml:space="preserve">        </w:t>
            </w:r>
            <w:r>
              <w:rPr>
                <w:rFonts w:hint="default" w:ascii="宋体" w:hAnsi="宋体" w:eastAsia="宋体" w:cs="宋体"/>
                <w:b/>
                <w:bCs w:val="0"/>
                <w:color w:val="auto"/>
                <w:kern w:val="2"/>
                <w:sz w:val="24"/>
                <w:szCs w:val="24"/>
                <w:highlight w:val="none"/>
                <w:lang w:eastAsia="zh-CN" w:bidi="ar"/>
              </w:rPr>
              <w:t>元</w:t>
            </w:r>
          </w:p>
          <w:p w14:paraId="09896FB7">
            <w:pPr>
              <w:keepNext w:val="0"/>
              <w:keepLines w:val="0"/>
              <w:widowControl w:val="0"/>
              <w:suppressLineNumbers w:val="0"/>
              <w:autoSpaceDE w:val="0"/>
              <w:autoSpaceDN w:val="0"/>
              <w:adjustRightInd w:val="0"/>
              <w:spacing w:before="0" w:beforeAutospacing="0" w:after="0" w:afterAutospacing="0"/>
              <w:ind w:left="0" w:right="0"/>
              <w:jc w:val="both"/>
              <w:rPr>
                <w:rFonts w:hint="default" w:ascii="宋体" w:hAnsi="宋体" w:eastAsia="宋体" w:cs="宋体"/>
                <w:b/>
                <w:bCs w:val="0"/>
                <w:color w:val="auto"/>
                <w:kern w:val="2"/>
                <w:sz w:val="24"/>
                <w:szCs w:val="24"/>
                <w:highlight w:val="none"/>
                <w:lang w:eastAsia="zh-CN" w:bidi="ar"/>
              </w:rPr>
            </w:pPr>
            <w:r>
              <w:rPr>
                <w:rFonts w:hint="default" w:ascii="宋体" w:hAnsi="Calibri" w:eastAsia="宋体" w:cs="宋体"/>
                <w:b/>
                <w:bCs w:val="0"/>
                <w:color w:val="auto"/>
                <w:kern w:val="2"/>
                <w:sz w:val="24"/>
                <w:szCs w:val="24"/>
                <w:highlight w:val="none"/>
              </w:rPr>
              <w:t>（其中：</w:t>
            </w:r>
            <w:r>
              <w:rPr>
                <w:rFonts w:hint="eastAsia" w:ascii="宋体" w:hAnsi="宋体" w:eastAsia="宋体" w:cs="宋体"/>
                <w:b/>
                <w:bCs w:val="0"/>
                <w:color w:val="auto"/>
                <w:kern w:val="2"/>
                <w:sz w:val="24"/>
                <w:szCs w:val="24"/>
                <w:highlight w:val="none"/>
                <w:lang w:val="en-US" w:eastAsia="zh-CN" w:bidi="ar"/>
              </w:rPr>
              <w:t>第十五届全运会广东奥林匹克体育中心升级改造项目</w:t>
            </w:r>
            <w:r>
              <w:rPr>
                <w:rFonts w:hint="default" w:ascii="宋体" w:hAnsi="宋体" w:eastAsia="宋体" w:cs="宋体"/>
                <w:b/>
                <w:bCs w:val="0"/>
                <w:color w:val="auto"/>
                <w:kern w:val="2"/>
                <w:sz w:val="24"/>
                <w:szCs w:val="24"/>
                <w:highlight w:val="none"/>
                <w:lang w:eastAsia="zh-CN" w:bidi="ar"/>
              </w:rPr>
              <w:t>：</w:t>
            </w:r>
            <w:r>
              <w:rPr>
                <w:rFonts w:hint="default" w:ascii="宋体" w:hAnsi="宋体" w:eastAsia="宋体" w:cs="宋体"/>
                <w:b/>
                <w:bCs w:val="0"/>
                <w:color w:val="auto"/>
                <w:kern w:val="2"/>
                <w:sz w:val="24"/>
                <w:szCs w:val="24"/>
                <w:highlight w:val="none"/>
                <w:u w:val="single"/>
                <w:lang w:eastAsia="zh-CN" w:bidi="ar"/>
              </w:rPr>
              <w:t xml:space="preserve">      </w:t>
            </w:r>
            <w:r>
              <w:rPr>
                <w:rFonts w:hint="default" w:ascii="宋体" w:hAnsi="宋体" w:eastAsia="宋体" w:cs="宋体"/>
                <w:b/>
                <w:bCs w:val="0"/>
                <w:color w:val="auto"/>
                <w:kern w:val="2"/>
                <w:sz w:val="24"/>
                <w:szCs w:val="24"/>
                <w:highlight w:val="none"/>
                <w:lang w:eastAsia="zh-CN" w:bidi="ar"/>
              </w:rPr>
              <w:t>元；</w:t>
            </w:r>
          </w:p>
          <w:p w14:paraId="16961CF0">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Calibri"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第十五届全运会广东省人民体育场改造项目</w:t>
            </w:r>
            <w:r>
              <w:rPr>
                <w:rFonts w:hint="default" w:ascii="宋体" w:hAnsi="宋体" w:eastAsia="宋体" w:cs="宋体"/>
                <w:b/>
                <w:bCs w:val="0"/>
                <w:color w:val="auto"/>
                <w:kern w:val="2"/>
                <w:sz w:val="24"/>
                <w:szCs w:val="24"/>
                <w:highlight w:val="none"/>
                <w:lang w:eastAsia="zh-CN" w:bidi="ar"/>
              </w:rPr>
              <w:t>：</w:t>
            </w:r>
            <w:r>
              <w:rPr>
                <w:rFonts w:hint="default" w:ascii="宋体" w:hAnsi="宋体" w:eastAsia="宋体" w:cs="宋体"/>
                <w:b/>
                <w:bCs w:val="0"/>
                <w:color w:val="auto"/>
                <w:kern w:val="2"/>
                <w:sz w:val="24"/>
                <w:szCs w:val="24"/>
                <w:highlight w:val="none"/>
                <w:u w:val="single"/>
                <w:lang w:eastAsia="zh-CN" w:bidi="ar"/>
              </w:rPr>
              <w:t xml:space="preserve">      </w:t>
            </w:r>
            <w:r>
              <w:rPr>
                <w:rFonts w:hint="default" w:ascii="宋体" w:hAnsi="宋体" w:eastAsia="宋体" w:cs="宋体"/>
                <w:b/>
                <w:bCs w:val="0"/>
                <w:color w:val="auto"/>
                <w:kern w:val="2"/>
                <w:sz w:val="24"/>
                <w:szCs w:val="24"/>
                <w:highlight w:val="none"/>
                <w:lang w:eastAsia="zh-CN" w:bidi="ar"/>
              </w:rPr>
              <w:t>元</w:t>
            </w:r>
            <w:r>
              <w:rPr>
                <w:rFonts w:hint="default" w:ascii="宋体" w:hAnsi="Calibri" w:eastAsia="宋体" w:cs="宋体"/>
                <w:b/>
                <w:bCs w:val="0"/>
                <w:color w:val="auto"/>
                <w:kern w:val="2"/>
                <w:sz w:val="24"/>
                <w:szCs w:val="24"/>
                <w:highlight w:val="none"/>
              </w:rPr>
              <w:t>）</w:t>
            </w:r>
          </w:p>
        </w:tc>
      </w:tr>
    </w:tbl>
    <w:p w14:paraId="61CFA5A4">
      <w:pPr>
        <w:keepNext w:val="0"/>
        <w:keepLines w:val="0"/>
        <w:widowControl/>
        <w:suppressLineNumbers w:val="0"/>
        <w:snapToGrid/>
        <w:spacing w:before="0" w:beforeAutospacing="0" w:after="0" w:afterAutospacing="0" w:line="360" w:lineRule="auto"/>
        <w:ind w:left="0" w:right="0"/>
        <w:jc w:val="both"/>
        <w:rPr>
          <w:rFonts w:hint="default" w:ascii="宋体" w:hAnsi="宋体" w:eastAsia="宋体" w:cs="宋体"/>
          <w:color w:val="auto"/>
          <w:kern w:val="0"/>
          <w:sz w:val="22"/>
          <w:szCs w:val="22"/>
          <w:highlight w:val="none"/>
          <w:u w:val="single"/>
          <w:lang w:bidi="ar"/>
        </w:rPr>
      </w:pPr>
      <w:r>
        <w:rPr>
          <w:rFonts w:hint="default" w:ascii="宋体" w:hAnsi="宋体" w:eastAsia="宋体" w:cs="宋体"/>
          <w:color w:val="auto"/>
          <w:kern w:val="0"/>
          <w:sz w:val="22"/>
          <w:szCs w:val="22"/>
          <w:highlight w:val="none"/>
          <w:u w:val="single"/>
          <w:lang w:eastAsia="zh-CN" w:bidi="ar"/>
        </w:rPr>
        <w:t>附：《投标报价明细表》（另册）</w:t>
      </w:r>
    </w:p>
    <w:p w14:paraId="7E616AD1">
      <w:pPr>
        <w:keepNext w:val="0"/>
        <w:keepLines w:val="0"/>
        <w:widowControl/>
        <w:suppressLineNumbers w:val="0"/>
        <w:spacing w:before="0" w:beforeAutospacing="0" w:after="0" w:afterAutospacing="0" w:line="360" w:lineRule="auto"/>
        <w:ind w:left="0" w:right="0"/>
        <w:jc w:val="both"/>
        <w:rPr>
          <w:rFonts w:hint="default" w:ascii="宋体" w:hAnsi="宋体" w:eastAsia="宋体" w:cs="宋体"/>
          <w:color w:val="auto"/>
          <w:kern w:val="0"/>
          <w:sz w:val="22"/>
          <w:szCs w:val="22"/>
          <w:highlight w:val="none"/>
          <w:u w:val="single"/>
          <w:lang w:bidi="ar"/>
        </w:rPr>
      </w:pPr>
      <w:r>
        <w:rPr>
          <w:rFonts w:hint="default" w:ascii="宋体" w:hAnsi="宋体" w:eastAsia="宋体" w:cs="宋体"/>
          <w:color w:val="auto"/>
          <w:kern w:val="0"/>
          <w:sz w:val="22"/>
          <w:szCs w:val="22"/>
          <w:highlight w:val="none"/>
          <w:u w:val="single"/>
          <w:lang w:eastAsia="zh-CN" w:bidi="ar"/>
        </w:rPr>
        <w:t>注：</w:t>
      </w:r>
      <w:r>
        <w:rPr>
          <w:rFonts w:hint="eastAsia" w:ascii="宋体" w:hAnsi="宋体" w:eastAsia="宋体" w:cs="宋体"/>
          <w:color w:val="auto"/>
          <w:kern w:val="0"/>
          <w:sz w:val="22"/>
          <w:szCs w:val="22"/>
          <w:highlight w:val="none"/>
          <w:u w:val="single"/>
          <w:lang w:val="en-US" w:eastAsia="zh-CN" w:bidi="ar"/>
        </w:rPr>
        <w:t>1.</w:t>
      </w:r>
      <w:r>
        <w:rPr>
          <w:rFonts w:hint="default" w:ascii="宋体" w:hAnsi="宋体" w:eastAsia="宋体" w:cs="宋体"/>
          <w:color w:val="auto"/>
          <w:kern w:val="0"/>
          <w:sz w:val="22"/>
          <w:szCs w:val="22"/>
          <w:highlight w:val="none"/>
          <w:u w:val="single"/>
          <w:lang w:eastAsia="zh-CN" w:bidi="ar"/>
        </w:rPr>
        <w:t>投标人需填报《投标报价总表》并按招标人发布的工程量清单格式填报《投标报价明细表》，《投标报价明细表》中汇总即为投标总报价。</w:t>
      </w:r>
    </w:p>
    <w:p w14:paraId="115E7E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firstLineChars="0"/>
        <w:jc w:val="both"/>
        <w:rPr>
          <w:rFonts w:hint="default" w:ascii="宋体" w:hAnsi="宋体" w:eastAsia="宋体" w:cs="宋体"/>
          <w:color w:val="auto"/>
          <w:kern w:val="0"/>
          <w:sz w:val="22"/>
          <w:szCs w:val="22"/>
          <w:highlight w:val="none"/>
          <w:u w:val="single"/>
          <w:lang w:eastAsia="zh-CN" w:bidi="ar"/>
        </w:rPr>
      </w:pPr>
      <w:r>
        <w:rPr>
          <w:rFonts w:hint="default" w:ascii="宋体" w:hAnsi="宋体" w:eastAsia="宋体" w:cs="宋体"/>
          <w:color w:val="auto"/>
          <w:kern w:val="0"/>
          <w:sz w:val="22"/>
          <w:szCs w:val="22"/>
          <w:highlight w:val="none"/>
          <w:u w:val="single"/>
          <w:lang w:eastAsia="zh-CN" w:bidi="ar"/>
        </w:rPr>
        <w:t>2.投标人赞助权益回报部分的报价为现金等价物(产品/服务)价格，且该价格中所报单价应与投标人对现金支付部分所报单价相同。招标人不接受现金形式的赞助权益回报部分报价。</w:t>
      </w:r>
      <w:r>
        <w:rPr>
          <w:rFonts w:hint="default" w:ascii="宋体" w:hAnsi="宋体" w:eastAsia="宋体" w:cs="宋体"/>
          <w:color w:val="auto"/>
          <w:kern w:val="0"/>
          <w:sz w:val="22"/>
          <w:szCs w:val="22"/>
          <w:highlight w:val="none"/>
          <w:u w:val="single"/>
          <w:lang w:eastAsia="zh-CN" w:bidi="ar"/>
        </w:rPr>
        <w:br w:type="page"/>
      </w:r>
    </w:p>
    <w:p w14:paraId="4ADD8C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firstLineChars="0"/>
        <w:jc w:val="center"/>
        <w:rPr>
          <w:rFonts w:hint="default" w:ascii="宋体" w:hAnsi="宋体" w:eastAsia="宋体" w:cs="宋体"/>
          <w:b/>
          <w:bCs w:val="0"/>
          <w:color w:val="auto"/>
          <w:kern w:val="0"/>
          <w:sz w:val="36"/>
          <w:szCs w:val="36"/>
          <w:highlight w:val="none"/>
          <w:lang w:bidi="ar"/>
        </w:rPr>
      </w:pPr>
      <w:r>
        <w:rPr>
          <w:rFonts w:hint="default" w:ascii="宋体" w:hAnsi="宋体" w:eastAsia="宋体" w:cs="宋体"/>
          <w:b/>
          <w:bCs w:val="0"/>
          <w:color w:val="auto"/>
          <w:kern w:val="0"/>
          <w:sz w:val="36"/>
          <w:szCs w:val="36"/>
          <w:highlight w:val="none"/>
          <w:lang w:eastAsia="zh-CN" w:bidi="ar"/>
        </w:rPr>
        <w:t>1.1</w:t>
      </w:r>
      <w:r>
        <w:rPr>
          <w:rFonts w:hint="eastAsia" w:ascii="宋体" w:hAnsi="宋体" w:eastAsia="宋体" w:cs="宋体"/>
          <w:b/>
          <w:bCs w:val="0"/>
          <w:color w:val="auto"/>
          <w:kern w:val="0"/>
          <w:sz w:val="36"/>
          <w:szCs w:val="36"/>
          <w:highlight w:val="none"/>
          <w:lang w:eastAsia="zh-CN" w:bidi="ar"/>
        </w:rPr>
        <w:t>分项</w:t>
      </w:r>
      <w:r>
        <w:rPr>
          <w:rFonts w:hint="eastAsia" w:ascii="宋体" w:hAnsi="宋体" w:eastAsia="宋体" w:cs="宋体"/>
          <w:b/>
          <w:bCs w:val="0"/>
          <w:color w:val="auto"/>
          <w:kern w:val="0"/>
          <w:sz w:val="36"/>
          <w:szCs w:val="36"/>
          <w:highlight w:val="none"/>
          <w:lang w:val="en-US" w:eastAsia="zh-CN" w:bidi="ar"/>
        </w:rPr>
        <w:t>投标报价</w:t>
      </w:r>
      <w:r>
        <w:rPr>
          <w:rFonts w:hint="eastAsia" w:ascii="宋体" w:hAnsi="宋体" w:eastAsia="宋体" w:cs="宋体"/>
          <w:b/>
          <w:bCs w:val="0"/>
          <w:color w:val="auto"/>
          <w:kern w:val="0"/>
          <w:sz w:val="36"/>
          <w:szCs w:val="36"/>
          <w:highlight w:val="none"/>
          <w:lang w:eastAsia="zh-CN" w:bidi="ar"/>
        </w:rPr>
        <w:t>表（</w:t>
      </w:r>
      <w:r>
        <w:rPr>
          <w:rFonts w:hint="eastAsia" w:ascii="宋体" w:hAnsi="宋体" w:eastAsia="宋体" w:cs="宋体"/>
          <w:b/>
          <w:bCs w:val="0"/>
          <w:color w:val="auto"/>
          <w:kern w:val="0"/>
          <w:sz w:val="36"/>
          <w:szCs w:val="36"/>
          <w:highlight w:val="none"/>
          <w:lang w:val="en-US" w:eastAsia="zh-CN" w:bidi="ar"/>
        </w:rPr>
        <w:t>第十五届全运会广东奥林匹克体育中心升级改造项目</w:t>
      </w:r>
      <w:r>
        <w:rPr>
          <w:rFonts w:hint="eastAsia" w:ascii="宋体" w:hAnsi="宋体" w:eastAsia="宋体" w:cs="宋体"/>
          <w:b/>
          <w:bCs w:val="0"/>
          <w:color w:val="auto"/>
          <w:kern w:val="0"/>
          <w:sz w:val="36"/>
          <w:szCs w:val="36"/>
          <w:highlight w:val="none"/>
          <w:lang w:eastAsia="zh-CN" w:bidi="ar"/>
        </w:rPr>
        <w:t>）</w:t>
      </w:r>
    </w:p>
    <w:p w14:paraId="71B8A55E">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00" w:lineRule="exact"/>
        <w:ind w:left="0" w:right="0" w:firstLine="602" w:firstLineChars="250"/>
        <w:jc w:val="both"/>
        <w:rPr>
          <w:rFonts w:hint="eastAsia" w:ascii="宋体" w:hAnsi="宋体" w:eastAsia="宋体" w:cs="宋体"/>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工程名称：</w:t>
      </w:r>
    </w:p>
    <w:tbl>
      <w:tblPr>
        <w:tblStyle w:val="10"/>
        <w:tblW w:w="90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9"/>
        <w:gridCol w:w="3568"/>
        <w:gridCol w:w="2355"/>
        <w:gridCol w:w="2431"/>
      </w:tblGrid>
      <w:tr w14:paraId="6D1E8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D6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序号</w:t>
            </w: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8DF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项目名称</w:t>
            </w:r>
          </w:p>
        </w:tc>
        <w:tc>
          <w:tcPr>
            <w:tcW w:w="23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903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金额（元）</w:t>
            </w:r>
          </w:p>
        </w:tc>
        <w:tc>
          <w:tcPr>
            <w:tcW w:w="24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148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备注</w:t>
            </w:r>
          </w:p>
        </w:tc>
      </w:tr>
      <w:tr w14:paraId="69EA5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46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一</w:t>
            </w: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A79C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分部分项工程量清单计价汇总合计</w:t>
            </w:r>
          </w:p>
        </w:tc>
        <w:tc>
          <w:tcPr>
            <w:tcW w:w="23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EF5C32">
            <w:pPr>
              <w:keepNext w:val="0"/>
              <w:keepLines w:val="0"/>
              <w:widowControl w:val="0"/>
              <w:suppressLineNumbers w:val="0"/>
              <w:spacing w:before="0" w:beforeAutospacing="0" w:after="0" w:afterAutospacing="0"/>
              <w:ind w:left="0" w:right="0"/>
              <w:jc w:val="right"/>
              <w:rPr>
                <w:rFonts w:hint="eastAsia" w:ascii="宋体" w:hAnsi="宋体" w:eastAsia="宋体" w:cs="宋体"/>
                <w:color w:val="auto"/>
                <w:kern w:val="2"/>
                <w:sz w:val="22"/>
                <w:szCs w:val="22"/>
                <w:highlight w:val="none"/>
              </w:rPr>
            </w:pPr>
          </w:p>
        </w:tc>
        <w:tc>
          <w:tcPr>
            <w:tcW w:w="24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8898BE">
            <w:pPr>
              <w:keepNext w:val="0"/>
              <w:keepLines w:val="0"/>
              <w:widowControl w:val="0"/>
              <w:suppressLineNumbers w:val="0"/>
              <w:spacing w:before="0" w:beforeAutospacing="0" w:after="0" w:afterAutospacing="0"/>
              <w:ind w:left="-178" w:leftChars="-85" w:right="1077" w:rightChars="513" w:firstLine="195" w:firstLineChars="89"/>
              <w:jc w:val="center"/>
              <w:rPr>
                <w:rFonts w:hint="eastAsia" w:ascii="宋体" w:hAnsi="宋体" w:eastAsia="宋体" w:cs="宋体"/>
                <w:color w:val="auto"/>
                <w:kern w:val="2"/>
                <w:sz w:val="22"/>
                <w:szCs w:val="22"/>
                <w:highlight w:val="none"/>
              </w:rPr>
            </w:pPr>
          </w:p>
        </w:tc>
      </w:tr>
      <w:tr w14:paraId="1AD08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99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二</w:t>
            </w: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E339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措施项目清单计价汇总合计</w:t>
            </w:r>
          </w:p>
        </w:tc>
        <w:tc>
          <w:tcPr>
            <w:tcW w:w="23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27A4DC">
            <w:pPr>
              <w:keepNext w:val="0"/>
              <w:keepLines w:val="0"/>
              <w:widowControl w:val="0"/>
              <w:suppressLineNumbers w:val="0"/>
              <w:spacing w:before="0" w:beforeAutospacing="0" w:after="0" w:afterAutospacing="0"/>
              <w:ind w:left="0" w:right="0"/>
              <w:jc w:val="right"/>
              <w:rPr>
                <w:rFonts w:hint="eastAsia" w:ascii="宋体" w:hAnsi="宋体" w:eastAsia="宋体" w:cs="宋体"/>
                <w:color w:val="auto"/>
                <w:kern w:val="2"/>
                <w:sz w:val="22"/>
                <w:szCs w:val="22"/>
                <w:highlight w:val="none"/>
              </w:rPr>
            </w:pPr>
          </w:p>
        </w:tc>
        <w:tc>
          <w:tcPr>
            <w:tcW w:w="24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67BC0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p>
        </w:tc>
      </w:tr>
      <w:tr w14:paraId="3A9AA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3C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三</w:t>
            </w: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9B1F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其它项目清单计价汇总合计</w:t>
            </w:r>
          </w:p>
        </w:tc>
        <w:tc>
          <w:tcPr>
            <w:tcW w:w="23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960BAF">
            <w:pPr>
              <w:keepNext w:val="0"/>
              <w:keepLines w:val="0"/>
              <w:widowControl w:val="0"/>
              <w:suppressLineNumbers w:val="0"/>
              <w:spacing w:before="0" w:beforeAutospacing="0" w:after="0" w:afterAutospacing="0"/>
              <w:ind w:left="0" w:right="0"/>
              <w:jc w:val="right"/>
              <w:rPr>
                <w:rFonts w:hint="eastAsia" w:ascii="宋体" w:hAnsi="宋体" w:eastAsia="宋体" w:cs="宋体"/>
                <w:color w:val="auto"/>
                <w:kern w:val="2"/>
                <w:sz w:val="22"/>
                <w:szCs w:val="22"/>
                <w:highlight w:val="none"/>
              </w:rPr>
            </w:pPr>
          </w:p>
        </w:tc>
        <w:tc>
          <w:tcPr>
            <w:tcW w:w="24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66A2F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p>
        </w:tc>
      </w:tr>
      <w:tr w14:paraId="006F3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15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四</w:t>
            </w: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84DC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税金计价汇总合计</w:t>
            </w:r>
          </w:p>
        </w:tc>
        <w:tc>
          <w:tcPr>
            <w:tcW w:w="23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A0F364">
            <w:pPr>
              <w:keepNext w:val="0"/>
              <w:keepLines w:val="0"/>
              <w:widowControl w:val="0"/>
              <w:suppressLineNumbers w:val="0"/>
              <w:spacing w:before="0" w:beforeAutospacing="0" w:after="0" w:afterAutospacing="0"/>
              <w:ind w:left="0" w:right="0"/>
              <w:jc w:val="right"/>
              <w:rPr>
                <w:rFonts w:hint="eastAsia" w:ascii="宋体" w:hAnsi="宋体" w:eastAsia="宋体" w:cs="宋体"/>
                <w:color w:val="auto"/>
                <w:kern w:val="2"/>
                <w:sz w:val="22"/>
                <w:szCs w:val="22"/>
                <w:highlight w:val="none"/>
              </w:rPr>
            </w:pPr>
          </w:p>
        </w:tc>
        <w:tc>
          <w:tcPr>
            <w:tcW w:w="24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CB8E1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p>
        </w:tc>
      </w:tr>
      <w:tr w14:paraId="19379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346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五</w:t>
            </w: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35B0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投标总报价(一+二+三+四)</w:t>
            </w:r>
          </w:p>
        </w:tc>
        <w:tc>
          <w:tcPr>
            <w:tcW w:w="23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5606E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2"/>
                <w:szCs w:val="22"/>
                <w:highlight w:val="none"/>
              </w:rPr>
            </w:pPr>
          </w:p>
        </w:tc>
        <w:tc>
          <w:tcPr>
            <w:tcW w:w="24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4A3D0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p>
        </w:tc>
      </w:tr>
      <w:tr w14:paraId="32C35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3F8C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37169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其中：1、绿色施工安全防护措施费</w:t>
            </w:r>
          </w:p>
        </w:tc>
        <w:tc>
          <w:tcPr>
            <w:tcW w:w="23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E5922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p>
        </w:tc>
        <w:tc>
          <w:tcPr>
            <w:tcW w:w="24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D60DD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固定金额</w:t>
            </w:r>
          </w:p>
        </w:tc>
      </w:tr>
      <w:tr w14:paraId="5A8EC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006E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81522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 xml:space="preserve">      2、暂列金额</w:t>
            </w:r>
          </w:p>
        </w:tc>
        <w:tc>
          <w:tcPr>
            <w:tcW w:w="23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FD22A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p>
        </w:tc>
        <w:tc>
          <w:tcPr>
            <w:tcW w:w="24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AA643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固定金额</w:t>
            </w:r>
          </w:p>
        </w:tc>
      </w:tr>
      <w:tr w14:paraId="38FD1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0BB1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6E1F7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 xml:space="preserve">      3、分部分项人工费</w:t>
            </w:r>
          </w:p>
        </w:tc>
        <w:tc>
          <w:tcPr>
            <w:tcW w:w="23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78D1F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p>
        </w:tc>
        <w:tc>
          <w:tcPr>
            <w:tcW w:w="24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AB370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p>
        </w:tc>
      </w:tr>
      <w:tr w14:paraId="4F42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46B1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30A92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 xml:space="preserve">      4、总人工费</w:t>
            </w:r>
          </w:p>
        </w:tc>
        <w:tc>
          <w:tcPr>
            <w:tcW w:w="23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D2501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p>
        </w:tc>
        <w:tc>
          <w:tcPr>
            <w:tcW w:w="24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03118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含分部分项、措施项目</w:t>
            </w:r>
          </w:p>
        </w:tc>
      </w:tr>
    </w:tbl>
    <w:p w14:paraId="12101E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firstLineChars="0"/>
        <w:jc w:val="center"/>
        <w:rPr>
          <w:rFonts w:hint="eastAsia" w:ascii="宋体" w:hAnsi="宋体" w:eastAsia="宋体" w:cs="宋体"/>
          <w:b/>
          <w:bCs w:val="0"/>
          <w:color w:val="auto"/>
          <w:kern w:val="0"/>
          <w:sz w:val="36"/>
          <w:szCs w:val="36"/>
          <w:highlight w:val="none"/>
          <w:lang w:val="en-US" w:eastAsia="zh-CN" w:bidi="ar"/>
        </w:rPr>
      </w:pPr>
    </w:p>
    <w:p w14:paraId="4E3777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firstLineChars="0"/>
        <w:jc w:val="center"/>
        <w:rPr>
          <w:rFonts w:hint="eastAsia" w:ascii="宋体" w:hAnsi="宋体" w:eastAsia="宋体" w:cs="宋体"/>
          <w:b/>
          <w:bCs w:val="0"/>
          <w:color w:val="auto"/>
          <w:kern w:val="0"/>
          <w:sz w:val="36"/>
          <w:szCs w:val="36"/>
          <w:highlight w:val="none"/>
          <w:lang w:val="en-US" w:eastAsia="zh-CN" w:bidi="ar"/>
        </w:rPr>
      </w:pPr>
    </w:p>
    <w:p w14:paraId="282D8C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firstLineChars="0"/>
        <w:jc w:val="center"/>
        <w:rPr>
          <w:rFonts w:hint="eastAsia" w:ascii="宋体" w:hAnsi="宋体" w:eastAsia="宋体" w:cs="宋体"/>
          <w:b/>
          <w:bCs w:val="0"/>
          <w:color w:val="auto"/>
          <w:kern w:val="0"/>
          <w:sz w:val="36"/>
          <w:szCs w:val="36"/>
          <w:highlight w:val="none"/>
          <w:lang w:val="en-US" w:eastAsia="zh-CN" w:bidi="ar"/>
        </w:rPr>
      </w:pPr>
    </w:p>
    <w:p w14:paraId="5C1E64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firstLineChars="0"/>
        <w:jc w:val="center"/>
        <w:rPr>
          <w:rFonts w:hint="eastAsia" w:ascii="宋体" w:hAnsi="宋体" w:eastAsia="宋体" w:cs="宋体"/>
          <w:b/>
          <w:bCs w:val="0"/>
          <w:color w:val="auto"/>
          <w:kern w:val="0"/>
          <w:sz w:val="36"/>
          <w:szCs w:val="36"/>
          <w:highlight w:val="none"/>
          <w:lang w:val="en-US" w:eastAsia="zh-CN" w:bidi="ar"/>
        </w:rPr>
      </w:pPr>
    </w:p>
    <w:p w14:paraId="3CD1C0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firstLineChars="0"/>
        <w:jc w:val="center"/>
        <w:rPr>
          <w:rFonts w:hint="eastAsia" w:ascii="宋体" w:hAnsi="宋体" w:eastAsia="宋体" w:cs="宋体"/>
          <w:b/>
          <w:bCs w:val="0"/>
          <w:color w:val="auto"/>
          <w:kern w:val="0"/>
          <w:sz w:val="36"/>
          <w:szCs w:val="36"/>
          <w:highlight w:val="none"/>
          <w:lang w:val="en-US" w:eastAsia="zh-CN" w:bidi="ar"/>
        </w:rPr>
      </w:pPr>
    </w:p>
    <w:p w14:paraId="76058F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firstLineChars="0"/>
        <w:jc w:val="center"/>
        <w:rPr>
          <w:rFonts w:hint="eastAsia" w:ascii="宋体" w:hAnsi="宋体" w:eastAsia="宋体" w:cs="宋体"/>
          <w:b/>
          <w:bCs w:val="0"/>
          <w:color w:val="auto"/>
          <w:kern w:val="0"/>
          <w:sz w:val="36"/>
          <w:szCs w:val="36"/>
          <w:highlight w:val="none"/>
          <w:lang w:val="en-US" w:eastAsia="zh-CN" w:bidi="ar"/>
        </w:rPr>
      </w:pPr>
    </w:p>
    <w:p w14:paraId="0E43BB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firstLineChars="0"/>
        <w:jc w:val="center"/>
        <w:rPr>
          <w:rFonts w:hint="eastAsia" w:ascii="宋体" w:hAnsi="宋体" w:eastAsia="宋体" w:cs="宋体"/>
          <w:b/>
          <w:bCs w:val="0"/>
          <w:color w:val="auto"/>
          <w:kern w:val="0"/>
          <w:sz w:val="36"/>
          <w:szCs w:val="36"/>
          <w:highlight w:val="none"/>
          <w:lang w:val="en-US" w:eastAsia="zh-CN" w:bidi="ar"/>
        </w:rPr>
      </w:pPr>
    </w:p>
    <w:p w14:paraId="2BF379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firstLineChars="0"/>
        <w:jc w:val="center"/>
        <w:rPr>
          <w:rFonts w:hint="eastAsia" w:ascii="宋体" w:hAnsi="宋体" w:eastAsia="宋体" w:cs="宋体"/>
          <w:b/>
          <w:bCs w:val="0"/>
          <w:color w:val="auto"/>
          <w:kern w:val="0"/>
          <w:sz w:val="36"/>
          <w:szCs w:val="36"/>
          <w:highlight w:val="none"/>
          <w:lang w:val="en-US" w:eastAsia="zh-CN" w:bidi="ar"/>
        </w:rPr>
      </w:pPr>
    </w:p>
    <w:p w14:paraId="756D7B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firstLineChars="0"/>
        <w:jc w:val="center"/>
        <w:rPr>
          <w:rFonts w:hint="eastAsia" w:ascii="宋体" w:hAnsi="宋体" w:eastAsia="宋体" w:cs="宋体"/>
          <w:b/>
          <w:bCs w:val="0"/>
          <w:color w:val="auto"/>
          <w:kern w:val="0"/>
          <w:sz w:val="36"/>
          <w:szCs w:val="36"/>
          <w:highlight w:val="none"/>
          <w:lang w:val="en-US" w:eastAsia="zh-CN" w:bidi="ar"/>
        </w:rPr>
      </w:pPr>
    </w:p>
    <w:p w14:paraId="1B991E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firstLineChars="0"/>
        <w:jc w:val="center"/>
        <w:rPr>
          <w:rFonts w:hint="eastAsia" w:ascii="宋体" w:hAnsi="宋体" w:eastAsia="宋体" w:cs="宋体"/>
          <w:b/>
          <w:bCs w:val="0"/>
          <w:color w:val="auto"/>
          <w:kern w:val="0"/>
          <w:sz w:val="36"/>
          <w:szCs w:val="36"/>
          <w:highlight w:val="none"/>
          <w:lang w:val="en-US" w:eastAsia="zh-CN" w:bidi="ar"/>
        </w:rPr>
      </w:pPr>
    </w:p>
    <w:p w14:paraId="7DF411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firstLineChars="0"/>
        <w:jc w:val="center"/>
        <w:rPr>
          <w:rFonts w:hint="eastAsia" w:ascii="宋体" w:hAnsi="宋体" w:eastAsia="宋体" w:cs="宋体"/>
          <w:b/>
          <w:bCs w:val="0"/>
          <w:color w:val="auto"/>
          <w:kern w:val="0"/>
          <w:sz w:val="36"/>
          <w:szCs w:val="36"/>
          <w:highlight w:val="none"/>
          <w:lang w:val="en-US" w:eastAsia="zh-CN" w:bidi="ar"/>
        </w:rPr>
      </w:pPr>
    </w:p>
    <w:p w14:paraId="416CEC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firstLineChars="0"/>
        <w:jc w:val="center"/>
        <w:rPr>
          <w:rFonts w:hint="eastAsia" w:ascii="宋体" w:hAnsi="宋体" w:eastAsia="宋体" w:cs="宋体"/>
          <w:b/>
          <w:bCs w:val="0"/>
          <w:color w:val="auto"/>
          <w:kern w:val="0"/>
          <w:sz w:val="36"/>
          <w:szCs w:val="36"/>
          <w:highlight w:val="none"/>
          <w:lang w:bidi="ar"/>
        </w:rPr>
      </w:pPr>
      <w:r>
        <w:rPr>
          <w:rFonts w:hint="default" w:ascii="宋体" w:hAnsi="宋体" w:eastAsia="宋体" w:cs="宋体"/>
          <w:b/>
          <w:bCs w:val="0"/>
          <w:color w:val="auto"/>
          <w:kern w:val="0"/>
          <w:sz w:val="36"/>
          <w:szCs w:val="36"/>
          <w:highlight w:val="none"/>
          <w:lang w:eastAsia="zh-CN" w:bidi="ar"/>
        </w:rPr>
        <w:t>1.2</w:t>
      </w:r>
      <w:r>
        <w:rPr>
          <w:rFonts w:hint="eastAsia" w:ascii="宋体" w:hAnsi="宋体" w:eastAsia="宋体" w:cs="宋体"/>
          <w:b/>
          <w:bCs w:val="0"/>
          <w:color w:val="auto"/>
          <w:kern w:val="0"/>
          <w:sz w:val="36"/>
          <w:szCs w:val="36"/>
          <w:highlight w:val="none"/>
          <w:lang w:val="en-US" w:eastAsia="zh-CN" w:bidi="ar"/>
        </w:rPr>
        <w:t>分项投标报价表（第十五届全运会广东省人民体育场改造项目）</w:t>
      </w:r>
    </w:p>
    <w:p w14:paraId="2EBB6726">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00" w:lineRule="exact"/>
        <w:ind w:left="0" w:right="0" w:firstLine="602" w:firstLineChars="250"/>
        <w:jc w:val="both"/>
        <w:rPr>
          <w:rFonts w:hint="eastAsia" w:ascii="宋体" w:hAnsi="宋体" w:eastAsia="宋体" w:cs="宋体"/>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工程名称：</w:t>
      </w:r>
    </w:p>
    <w:tbl>
      <w:tblPr>
        <w:tblStyle w:val="10"/>
        <w:tblW w:w="90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9"/>
        <w:gridCol w:w="3568"/>
        <w:gridCol w:w="2355"/>
        <w:gridCol w:w="2431"/>
      </w:tblGrid>
      <w:tr w14:paraId="122DE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05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序号</w:t>
            </w: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5B2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项目名称</w:t>
            </w:r>
          </w:p>
        </w:tc>
        <w:tc>
          <w:tcPr>
            <w:tcW w:w="23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75E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金额（元）</w:t>
            </w:r>
          </w:p>
        </w:tc>
        <w:tc>
          <w:tcPr>
            <w:tcW w:w="24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C723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备注</w:t>
            </w:r>
          </w:p>
        </w:tc>
      </w:tr>
      <w:tr w14:paraId="3B93F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E58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一</w:t>
            </w: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C614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分部分项工程量清单计价汇总合计</w:t>
            </w:r>
          </w:p>
        </w:tc>
        <w:tc>
          <w:tcPr>
            <w:tcW w:w="23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463B04">
            <w:pPr>
              <w:keepNext w:val="0"/>
              <w:keepLines w:val="0"/>
              <w:widowControl w:val="0"/>
              <w:suppressLineNumbers w:val="0"/>
              <w:spacing w:before="0" w:beforeAutospacing="0" w:after="0" w:afterAutospacing="0"/>
              <w:ind w:left="0" w:right="0"/>
              <w:jc w:val="right"/>
              <w:rPr>
                <w:rFonts w:hint="eastAsia" w:ascii="宋体" w:hAnsi="宋体" w:eastAsia="宋体" w:cs="宋体"/>
                <w:color w:val="auto"/>
                <w:kern w:val="2"/>
                <w:sz w:val="22"/>
                <w:szCs w:val="22"/>
                <w:highlight w:val="none"/>
              </w:rPr>
            </w:pPr>
          </w:p>
        </w:tc>
        <w:tc>
          <w:tcPr>
            <w:tcW w:w="24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B0432D">
            <w:pPr>
              <w:keepNext w:val="0"/>
              <w:keepLines w:val="0"/>
              <w:widowControl w:val="0"/>
              <w:suppressLineNumbers w:val="0"/>
              <w:spacing w:before="0" w:beforeAutospacing="0" w:after="0" w:afterAutospacing="0"/>
              <w:ind w:left="-178" w:leftChars="-85" w:right="1077" w:rightChars="513" w:firstLine="195" w:firstLineChars="89"/>
              <w:jc w:val="center"/>
              <w:rPr>
                <w:rFonts w:hint="eastAsia" w:ascii="宋体" w:hAnsi="宋体" w:eastAsia="宋体" w:cs="宋体"/>
                <w:color w:val="auto"/>
                <w:kern w:val="2"/>
                <w:sz w:val="22"/>
                <w:szCs w:val="22"/>
                <w:highlight w:val="none"/>
              </w:rPr>
            </w:pPr>
          </w:p>
        </w:tc>
      </w:tr>
      <w:tr w14:paraId="75C95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958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二</w:t>
            </w: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858F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措施项目清单计价汇总合计</w:t>
            </w:r>
          </w:p>
        </w:tc>
        <w:tc>
          <w:tcPr>
            <w:tcW w:w="23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A11738">
            <w:pPr>
              <w:keepNext w:val="0"/>
              <w:keepLines w:val="0"/>
              <w:widowControl w:val="0"/>
              <w:suppressLineNumbers w:val="0"/>
              <w:spacing w:before="0" w:beforeAutospacing="0" w:after="0" w:afterAutospacing="0"/>
              <w:ind w:left="0" w:right="0"/>
              <w:jc w:val="right"/>
              <w:rPr>
                <w:rFonts w:hint="eastAsia" w:ascii="宋体" w:hAnsi="宋体" w:eastAsia="宋体" w:cs="宋体"/>
                <w:color w:val="auto"/>
                <w:kern w:val="2"/>
                <w:sz w:val="22"/>
                <w:szCs w:val="22"/>
                <w:highlight w:val="none"/>
              </w:rPr>
            </w:pPr>
          </w:p>
        </w:tc>
        <w:tc>
          <w:tcPr>
            <w:tcW w:w="24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13062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p>
        </w:tc>
      </w:tr>
      <w:tr w14:paraId="1CD59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50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三</w:t>
            </w: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79F4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其它项目清单计价汇总合计</w:t>
            </w:r>
          </w:p>
        </w:tc>
        <w:tc>
          <w:tcPr>
            <w:tcW w:w="23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A548C5">
            <w:pPr>
              <w:keepNext w:val="0"/>
              <w:keepLines w:val="0"/>
              <w:widowControl w:val="0"/>
              <w:suppressLineNumbers w:val="0"/>
              <w:spacing w:before="0" w:beforeAutospacing="0" w:after="0" w:afterAutospacing="0"/>
              <w:ind w:left="0" w:right="0"/>
              <w:jc w:val="right"/>
              <w:rPr>
                <w:rFonts w:hint="eastAsia" w:ascii="宋体" w:hAnsi="宋体" w:eastAsia="宋体" w:cs="宋体"/>
                <w:color w:val="auto"/>
                <w:kern w:val="2"/>
                <w:sz w:val="22"/>
                <w:szCs w:val="22"/>
                <w:highlight w:val="none"/>
              </w:rPr>
            </w:pPr>
          </w:p>
        </w:tc>
        <w:tc>
          <w:tcPr>
            <w:tcW w:w="24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14AAC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p>
        </w:tc>
      </w:tr>
      <w:tr w14:paraId="6B111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4E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四</w:t>
            </w: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1628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税金计价汇总合计</w:t>
            </w:r>
          </w:p>
        </w:tc>
        <w:tc>
          <w:tcPr>
            <w:tcW w:w="23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4023FC">
            <w:pPr>
              <w:keepNext w:val="0"/>
              <w:keepLines w:val="0"/>
              <w:widowControl w:val="0"/>
              <w:suppressLineNumbers w:val="0"/>
              <w:spacing w:before="0" w:beforeAutospacing="0" w:after="0" w:afterAutospacing="0"/>
              <w:ind w:left="0" w:right="0"/>
              <w:jc w:val="right"/>
              <w:rPr>
                <w:rFonts w:hint="eastAsia" w:ascii="宋体" w:hAnsi="宋体" w:eastAsia="宋体" w:cs="宋体"/>
                <w:color w:val="auto"/>
                <w:kern w:val="2"/>
                <w:sz w:val="22"/>
                <w:szCs w:val="22"/>
                <w:highlight w:val="none"/>
              </w:rPr>
            </w:pPr>
          </w:p>
        </w:tc>
        <w:tc>
          <w:tcPr>
            <w:tcW w:w="24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AB46C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p>
        </w:tc>
      </w:tr>
      <w:tr w14:paraId="1DDFD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40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五</w:t>
            </w: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1E6D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投标总报价(一+二+三+四)</w:t>
            </w:r>
          </w:p>
        </w:tc>
        <w:tc>
          <w:tcPr>
            <w:tcW w:w="23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9C142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2"/>
                <w:szCs w:val="22"/>
                <w:highlight w:val="none"/>
              </w:rPr>
            </w:pPr>
          </w:p>
        </w:tc>
        <w:tc>
          <w:tcPr>
            <w:tcW w:w="24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6BD52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p>
        </w:tc>
      </w:tr>
      <w:tr w14:paraId="3BFC9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9791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63A25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其中：1、绿色施工安全防护措施费</w:t>
            </w:r>
          </w:p>
        </w:tc>
        <w:tc>
          <w:tcPr>
            <w:tcW w:w="23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27BF8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p>
        </w:tc>
        <w:tc>
          <w:tcPr>
            <w:tcW w:w="24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CFDD0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固定金额</w:t>
            </w:r>
          </w:p>
        </w:tc>
      </w:tr>
      <w:tr w14:paraId="4CA16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DE45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C19A6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 xml:space="preserve">      2、暂列金额</w:t>
            </w:r>
          </w:p>
        </w:tc>
        <w:tc>
          <w:tcPr>
            <w:tcW w:w="23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DA46C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p>
        </w:tc>
        <w:tc>
          <w:tcPr>
            <w:tcW w:w="24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33159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固定金额</w:t>
            </w:r>
          </w:p>
        </w:tc>
      </w:tr>
      <w:tr w14:paraId="3A5DC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1545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ADC5E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 xml:space="preserve">      3、分部分项人工费</w:t>
            </w:r>
          </w:p>
        </w:tc>
        <w:tc>
          <w:tcPr>
            <w:tcW w:w="23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5642A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p>
        </w:tc>
        <w:tc>
          <w:tcPr>
            <w:tcW w:w="24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02EDD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p>
        </w:tc>
      </w:tr>
      <w:tr w14:paraId="0B6F8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E67C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901C5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 xml:space="preserve">      4、总人工费</w:t>
            </w:r>
          </w:p>
        </w:tc>
        <w:tc>
          <w:tcPr>
            <w:tcW w:w="23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8DDEB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p>
        </w:tc>
        <w:tc>
          <w:tcPr>
            <w:tcW w:w="24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4BC78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含分部分项、措施项目</w:t>
            </w:r>
          </w:p>
        </w:tc>
      </w:tr>
    </w:tbl>
    <w:p w14:paraId="13D28342">
      <w:pPr>
        <w:keepNext w:val="0"/>
        <w:keepLines w:val="0"/>
        <w:widowControl/>
        <w:suppressLineNumbers w:val="0"/>
        <w:autoSpaceDE/>
        <w:autoSpaceDN/>
        <w:adjustRightInd/>
        <w:spacing w:before="0" w:beforeAutospacing="0" w:after="0" w:afterAutospacing="0"/>
        <w:ind w:left="0" w:leftChars="0" w:right="0" w:firstLine="0" w:firstLineChars="0"/>
        <w:jc w:val="left"/>
        <w:rPr>
          <w:rFonts w:hint="eastAsia" w:ascii="宋体" w:hAnsi="宋体" w:eastAsia="宋体" w:cs="宋体"/>
          <w:b/>
          <w:bCs w:val="0"/>
          <w:color w:val="auto"/>
          <w:kern w:val="2"/>
          <w:sz w:val="44"/>
          <w:szCs w:val="44"/>
          <w:highlight w:val="none"/>
          <w:lang w:val="en-US" w:eastAsia="zh-CN" w:bidi="ar"/>
        </w:rPr>
      </w:pPr>
      <w:r>
        <w:rPr>
          <w:rFonts w:hint="eastAsia" w:ascii="宋体" w:hAnsi="宋体" w:eastAsia="宋体" w:cs="宋体"/>
          <w:b/>
          <w:bCs w:val="0"/>
          <w:color w:val="auto"/>
          <w:kern w:val="2"/>
          <w:sz w:val="44"/>
          <w:szCs w:val="44"/>
          <w:highlight w:val="none"/>
          <w:lang w:val="en-US" w:eastAsia="zh-CN" w:bidi="ar"/>
        </w:rPr>
        <w:br w:type="page"/>
      </w:r>
    </w:p>
    <w:p w14:paraId="673E7760">
      <w:pPr>
        <w:keepNext w:val="0"/>
        <w:keepLines w:val="0"/>
        <w:widowControl w:val="0"/>
        <w:suppressLineNumbers w:val="0"/>
        <w:autoSpaceDE w:val="0"/>
        <w:autoSpaceDN w:val="0"/>
        <w:adjustRightInd w:val="0"/>
        <w:spacing w:before="0" w:beforeAutospacing="0" w:after="0" w:afterAutospacing="0"/>
        <w:ind w:left="-540" w:leftChars="-257" w:right="0" w:firstLine="1135" w:firstLineChars="257"/>
        <w:jc w:val="center"/>
        <w:rPr>
          <w:rFonts w:hint="eastAsia" w:ascii="宋体" w:hAnsi="宋体" w:eastAsia="宋体" w:cs="宋体"/>
          <w:b/>
          <w:bCs w:val="0"/>
          <w:color w:val="auto"/>
          <w:kern w:val="2"/>
          <w:sz w:val="44"/>
          <w:szCs w:val="44"/>
          <w:highlight w:val="none"/>
          <w:lang w:val="en-US" w:eastAsia="zh-CN" w:bidi="ar"/>
        </w:rPr>
      </w:pPr>
    </w:p>
    <w:p w14:paraId="189B6860">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bCs w:val="0"/>
          <w:color w:val="auto"/>
          <w:kern w:val="0"/>
          <w:sz w:val="22"/>
          <w:szCs w:val="22"/>
          <w:highlight w:val="none"/>
        </w:rPr>
      </w:pPr>
      <w:r>
        <w:rPr>
          <w:rFonts w:hint="default" w:ascii="宋体" w:hAnsi="宋体" w:eastAsia="宋体" w:cs="宋体"/>
          <w:b/>
          <w:bCs w:val="0"/>
          <w:color w:val="auto"/>
          <w:kern w:val="0"/>
          <w:sz w:val="22"/>
          <w:szCs w:val="22"/>
          <w:highlight w:val="none"/>
          <w:lang w:eastAsia="zh-CN" w:bidi="ar"/>
        </w:rPr>
        <w:t>（二）</w:t>
      </w:r>
      <w:r>
        <w:rPr>
          <w:rFonts w:hint="eastAsia" w:ascii="宋体" w:hAnsi="宋体" w:eastAsia="宋体" w:cs="宋体"/>
          <w:b/>
          <w:bCs w:val="0"/>
          <w:color w:val="auto"/>
          <w:kern w:val="0"/>
          <w:sz w:val="22"/>
          <w:szCs w:val="22"/>
          <w:highlight w:val="none"/>
          <w:lang w:val="en-US" w:eastAsia="zh-CN" w:bidi="ar"/>
        </w:rPr>
        <w:t>货物主要部件（材料、配套件）清单</w:t>
      </w:r>
    </w:p>
    <w:tbl>
      <w:tblPr>
        <w:tblStyle w:val="10"/>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56" w:type="dxa"/>
          <w:bottom w:w="0" w:type="dxa"/>
          <w:right w:w="56" w:type="dxa"/>
        </w:tblCellMar>
      </w:tblPr>
      <w:tblGrid>
        <w:gridCol w:w="1003"/>
        <w:gridCol w:w="2126"/>
        <w:gridCol w:w="1747"/>
        <w:gridCol w:w="866"/>
        <w:gridCol w:w="1275"/>
        <w:gridCol w:w="1701"/>
        <w:gridCol w:w="1120"/>
      </w:tblGrid>
      <w:tr w14:paraId="70D9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6" w:type="dxa"/>
            <w:bottom w:w="0" w:type="dxa"/>
            <w:right w:w="56" w:type="dxa"/>
          </w:tblCellMar>
        </w:tblPrEx>
        <w:trPr>
          <w:cantSplit/>
          <w:trHeight w:val="567" w:hRule="atLeast"/>
          <w:jc w:val="center"/>
        </w:trPr>
        <w:tc>
          <w:tcPr>
            <w:tcW w:w="1003" w:type="dxa"/>
            <w:tcBorders>
              <w:top w:val="double" w:color="auto" w:sz="2" w:space="0"/>
              <w:left w:val="double" w:color="auto" w:sz="2" w:space="0"/>
              <w:bottom w:val="single" w:color="auto" w:sz="6" w:space="0"/>
              <w:right w:val="single" w:color="auto" w:sz="6" w:space="0"/>
            </w:tcBorders>
            <w:shd w:val="clear" w:color="auto" w:fill="auto"/>
            <w:vAlign w:val="center"/>
          </w:tcPr>
          <w:p w14:paraId="5D66ADEC">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序号</w:t>
            </w:r>
          </w:p>
        </w:tc>
        <w:tc>
          <w:tcPr>
            <w:tcW w:w="2126" w:type="dxa"/>
            <w:tcBorders>
              <w:top w:val="double" w:color="auto" w:sz="2" w:space="0"/>
              <w:left w:val="nil"/>
              <w:bottom w:val="single" w:color="auto" w:sz="6" w:space="0"/>
              <w:right w:val="single" w:color="auto" w:sz="6" w:space="0"/>
            </w:tcBorders>
            <w:shd w:val="clear" w:color="auto" w:fill="auto"/>
            <w:vAlign w:val="center"/>
          </w:tcPr>
          <w:p w14:paraId="5ACBD42E">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部件名称</w:t>
            </w:r>
          </w:p>
        </w:tc>
        <w:tc>
          <w:tcPr>
            <w:tcW w:w="1747" w:type="dxa"/>
            <w:tcBorders>
              <w:top w:val="double" w:color="auto" w:sz="2" w:space="0"/>
              <w:left w:val="nil"/>
              <w:bottom w:val="single" w:color="auto" w:sz="6" w:space="0"/>
              <w:right w:val="single" w:color="auto" w:sz="6" w:space="0"/>
            </w:tcBorders>
            <w:shd w:val="clear" w:color="auto" w:fill="auto"/>
            <w:vAlign w:val="center"/>
          </w:tcPr>
          <w:p w14:paraId="6D4D7573">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规格型号</w:t>
            </w:r>
          </w:p>
        </w:tc>
        <w:tc>
          <w:tcPr>
            <w:tcW w:w="866" w:type="dxa"/>
            <w:tcBorders>
              <w:top w:val="double" w:color="auto" w:sz="2" w:space="0"/>
              <w:left w:val="nil"/>
              <w:bottom w:val="single" w:color="auto" w:sz="6" w:space="0"/>
              <w:right w:val="single" w:color="auto" w:sz="6" w:space="0"/>
            </w:tcBorders>
            <w:shd w:val="clear" w:color="auto" w:fill="auto"/>
            <w:vAlign w:val="center"/>
          </w:tcPr>
          <w:p w14:paraId="6C6BCCCF">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单位</w:t>
            </w:r>
          </w:p>
        </w:tc>
        <w:tc>
          <w:tcPr>
            <w:tcW w:w="1275" w:type="dxa"/>
            <w:tcBorders>
              <w:top w:val="double" w:color="auto" w:sz="2" w:space="0"/>
              <w:left w:val="nil"/>
              <w:bottom w:val="single" w:color="auto" w:sz="6" w:space="0"/>
              <w:right w:val="single" w:color="auto" w:sz="6" w:space="0"/>
            </w:tcBorders>
            <w:shd w:val="clear" w:color="auto" w:fill="auto"/>
            <w:vAlign w:val="center"/>
          </w:tcPr>
          <w:p w14:paraId="7C00673B">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货源</w:t>
            </w:r>
          </w:p>
        </w:tc>
        <w:tc>
          <w:tcPr>
            <w:tcW w:w="1701" w:type="dxa"/>
            <w:tcBorders>
              <w:top w:val="double" w:color="auto" w:sz="2" w:space="0"/>
              <w:left w:val="nil"/>
              <w:bottom w:val="single" w:color="auto" w:sz="6" w:space="0"/>
              <w:right w:val="single" w:color="auto" w:sz="6" w:space="0"/>
            </w:tcBorders>
            <w:shd w:val="clear" w:color="auto" w:fill="auto"/>
            <w:vAlign w:val="top"/>
          </w:tcPr>
          <w:p w14:paraId="7CF5C42A">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综合单价</w:t>
            </w:r>
          </w:p>
          <w:p w14:paraId="5125CC6E">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（人民币元）</w:t>
            </w:r>
          </w:p>
        </w:tc>
        <w:tc>
          <w:tcPr>
            <w:tcW w:w="1120" w:type="dxa"/>
            <w:tcBorders>
              <w:top w:val="double" w:color="auto" w:sz="2" w:space="0"/>
              <w:left w:val="nil"/>
              <w:bottom w:val="single" w:color="auto" w:sz="6" w:space="0"/>
              <w:right w:val="double" w:color="auto" w:sz="2" w:space="0"/>
            </w:tcBorders>
            <w:shd w:val="clear" w:color="auto" w:fill="auto"/>
            <w:vAlign w:val="center"/>
          </w:tcPr>
          <w:p w14:paraId="293A6F1E">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备注</w:t>
            </w:r>
          </w:p>
        </w:tc>
      </w:tr>
      <w:tr w14:paraId="7722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003" w:type="dxa"/>
            <w:tcBorders>
              <w:top w:val="single" w:color="auto" w:sz="6" w:space="0"/>
              <w:left w:val="double" w:color="auto" w:sz="2" w:space="0"/>
              <w:bottom w:val="single" w:color="auto" w:sz="6" w:space="0"/>
              <w:right w:val="single" w:color="auto" w:sz="6" w:space="0"/>
            </w:tcBorders>
            <w:shd w:val="clear" w:color="auto" w:fill="auto"/>
            <w:vAlign w:val="center"/>
          </w:tcPr>
          <w:p w14:paraId="519F6D4B">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126" w:type="dxa"/>
            <w:tcBorders>
              <w:top w:val="single" w:color="auto" w:sz="6" w:space="0"/>
              <w:left w:val="nil"/>
              <w:bottom w:val="single" w:color="auto" w:sz="6" w:space="0"/>
              <w:right w:val="single" w:color="auto" w:sz="6" w:space="0"/>
            </w:tcBorders>
            <w:shd w:val="clear" w:color="auto" w:fill="auto"/>
            <w:vAlign w:val="center"/>
          </w:tcPr>
          <w:p w14:paraId="5FE0290C">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1747" w:type="dxa"/>
            <w:tcBorders>
              <w:top w:val="single" w:color="auto" w:sz="6" w:space="0"/>
              <w:left w:val="nil"/>
              <w:bottom w:val="single" w:color="auto" w:sz="6" w:space="0"/>
              <w:right w:val="single" w:color="auto" w:sz="6" w:space="0"/>
            </w:tcBorders>
            <w:shd w:val="clear" w:color="auto" w:fill="auto"/>
            <w:vAlign w:val="center"/>
          </w:tcPr>
          <w:p w14:paraId="32BF18BF">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866" w:type="dxa"/>
            <w:tcBorders>
              <w:top w:val="single" w:color="auto" w:sz="6" w:space="0"/>
              <w:left w:val="nil"/>
              <w:bottom w:val="single" w:color="auto" w:sz="6" w:space="0"/>
              <w:right w:val="single" w:color="auto" w:sz="6" w:space="0"/>
            </w:tcBorders>
            <w:shd w:val="clear" w:color="auto" w:fill="auto"/>
            <w:vAlign w:val="top"/>
          </w:tcPr>
          <w:p w14:paraId="1F2234E4">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275" w:type="dxa"/>
            <w:tcBorders>
              <w:top w:val="single" w:color="auto" w:sz="6" w:space="0"/>
              <w:left w:val="nil"/>
              <w:bottom w:val="single" w:color="auto" w:sz="6" w:space="0"/>
              <w:right w:val="single" w:color="auto" w:sz="6" w:space="0"/>
            </w:tcBorders>
            <w:shd w:val="clear" w:color="auto" w:fill="auto"/>
            <w:vAlign w:val="center"/>
          </w:tcPr>
          <w:p w14:paraId="40B0DADA">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701" w:type="dxa"/>
            <w:tcBorders>
              <w:top w:val="single" w:color="auto" w:sz="6" w:space="0"/>
              <w:left w:val="nil"/>
              <w:bottom w:val="single" w:color="auto" w:sz="6" w:space="0"/>
              <w:right w:val="single" w:color="auto" w:sz="6" w:space="0"/>
            </w:tcBorders>
            <w:shd w:val="clear" w:color="auto" w:fill="auto"/>
            <w:vAlign w:val="top"/>
          </w:tcPr>
          <w:p w14:paraId="1C96B66F">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120" w:type="dxa"/>
            <w:tcBorders>
              <w:top w:val="single" w:color="auto" w:sz="6" w:space="0"/>
              <w:left w:val="nil"/>
              <w:bottom w:val="single" w:color="auto" w:sz="6" w:space="0"/>
              <w:right w:val="double" w:color="auto" w:sz="2" w:space="0"/>
            </w:tcBorders>
            <w:shd w:val="clear" w:color="auto" w:fill="auto"/>
            <w:vAlign w:val="top"/>
          </w:tcPr>
          <w:p w14:paraId="10AE7E18">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r w14:paraId="7C39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003" w:type="dxa"/>
            <w:tcBorders>
              <w:top w:val="single" w:color="auto" w:sz="6" w:space="0"/>
              <w:left w:val="double" w:color="auto" w:sz="2" w:space="0"/>
              <w:bottom w:val="single" w:color="auto" w:sz="6" w:space="0"/>
              <w:right w:val="single" w:color="auto" w:sz="6" w:space="0"/>
            </w:tcBorders>
            <w:shd w:val="clear" w:color="auto" w:fill="auto"/>
            <w:vAlign w:val="center"/>
          </w:tcPr>
          <w:p w14:paraId="14E33180">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126" w:type="dxa"/>
            <w:tcBorders>
              <w:top w:val="single" w:color="auto" w:sz="6" w:space="0"/>
              <w:left w:val="nil"/>
              <w:bottom w:val="single" w:color="auto" w:sz="6" w:space="0"/>
              <w:right w:val="single" w:color="auto" w:sz="6" w:space="0"/>
            </w:tcBorders>
            <w:shd w:val="clear" w:color="auto" w:fill="auto"/>
            <w:vAlign w:val="center"/>
          </w:tcPr>
          <w:p w14:paraId="35B09C0F">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747" w:type="dxa"/>
            <w:tcBorders>
              <w:top w:val="single" w:color="auto" w:sz="6" w:space="0"/>
              <w:left w:val="nil"/>
              <w:bottom w:val="single" w:color="auto" w:sz="6" w:space="0"/>
              <w:right w:val="single" w:color="auto" w:sz="6" w:space="0"/>
            </w:tcBorders>
            <w:shd w:val="clear" w:color="auto" w:fill="auto"/>
            <w:vAlign w:val="center"/>
          </w:tcPr>
          <w:p w14:paraId="2A31C983">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866" w:type="dxa"/>
            <w:tcBorders>
              <w:top w:val="single" w:color="auto" w:sz="6" w:space="0"/>
              <w:left w:val="nil"/>
              <w:bottom w:val="single" w:color="auto" w:sz="6" w:space="0"/>
              <w:right w:val="single" w:color="auto" w:sz="6" w:space="0"/>
            </w:tcBorders>
            <w:shd w:val="clear" w:color="auto" w:fill="auto"/>
            <w:vAlign w:val="top"/>
          </w:tcPr>
          <w:p w14:paraId="0710D6BF">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275" w:type="dxa"/>
            <w:tcBorders>
              <w:top w:val="single" w:color="auto" w:sz="6" w:space="0"/>
              <w:left w:val="nil"/>
              <w:bottom w:val="single" w:color="auto" w:sz="6" w:space="0"/>
              <w:right w:val="single" w:color="auto" w:sz="6" w:space="0"/>
            </w:tcBorders>
            <w:shd w:val="clear" w:color="auto" w:fill="auto"/>
            <w:vAlign w:val="center"/>
          </w:tcPr>
          <w:p w14:paraId="61837961">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701" w:type="dxa"/>
            <w:tcBorders>
              <w:top w:val="single" w:color="auto" w:sz="6" w:space="0"/>
              <w:left w:val="nil"/>
              <w:bottom w:val="single" w:color="auto" w:sz="6" w:space="0"/>
              <w:right w:val="single" w:color="auto" w:sz="6" w:space="0"/>
            </w:tcBorders>
            <w:shd w:val="clear" w:color="auto" w:fill="auto"/>
            <w:vAlign w:val="top"/>
          </w:tcPr>
          <w:p w14:paraId="2C27D69B">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120" w:type="dxa"/>
            <w:tcBorders>
              <w:top w:val="single" w:color="auto" w:sz="6" w:space="0"/>
              <w:left w:val="nil"/>
              <w:bottom w:val="single" w:color="auto" w:sz="6" w:space="0"/>
              <w:right w:val="double" w:color="auto" w:sz="2" w:space="0"/>
            </w:tcBorders>
            <w:shd w:val="clear" w:color="auto" w:fill="auto"/>
            <w:vAlign w:val="top"/>
          </w:tcPr>
          <w:p w14:paraId="05F2B921">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r w14:paraId="198A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003" w:type="dxa"/>
            <w:tcBorders>
              <w:top w:val="single" w:color="auto" w:sz="6" w:space="0"/>
              <w:left w:val="double" w:color="auto" w:sz="2" w:space="0"/>
              <w:bottom w:val="single" w:color="auto" w:sz="6" w:space="0"/>
              <w:right w:val="single" w:color="auto" w:sz="6" w:space="0"/>
            </w:tcBorders>
            <w:shd w:val="clear" w:color="auto" w:fill="auto"/>
            <w:vAlign w:val="center"/>
          </w:tcPr>
          <w:p w14:paraId="6BF858B4">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126" w:type="dxa"/>
            <w:tcBorders>
              <w:top w:val="single" w:color="auto" w:sz="6" w:space="0"/>
              <w:left w:val="nil"/>
              <w:bottom w:val="single" w:color="auto" w:sz="6" w:space="0"/>
              <w:right w:val="single" w:color="auto" w:sz="6" w:space="0"/>
            </w:tcBorders>
            <w:shd w:val="clear" w:color="auto" w:fill="auto"/>
            <w:vAlign w:val="center"/>
          </w:tcPr>
          <w:p w14:paraId="6481C509">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1747" w:type="dxa"/>
            <w:tcBorders>
              <w:top w:val="single" w:color="auto" w:sz="6" w:space="0"/>
              <w:left w:val="nil"/>
              <w:bottom w:val="single" w:color="auto" w:sz="6" w:space="0"/>
              <w:right w:val="single" w:color="auto" w:sz="6" w:space="0"/>
            </w:tcBorders>
            <w:shd w:val="clear" w:color="auto" w:fill="auto"/>
            <w:vAlign w:val="center"/>
          </w:tcPr>
          <w:p w14:paraId="7F6DC41A">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866" w:type="dxa"/>
            <w:tcBorders>
              <w:top w:val="single" w:color="auto" w:sz="6" w:space="0"/>
              <w:left w:val="nil"/>
              <w:bottom w:val="single" w:color="auto" w:sz="6" w:space="0"/>
              <w:right w:val="single" w:color="auto" w:sz="6" w:space="0"/>
            </w:tcBorders>
            <w:shd w:val="clear" w:color="auto" w:fill="auto"/>
            <w:vAlign w:val="top"/>
          </w:tcPr>
          <w:p w14:paraId="72F63CA9">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275" w:type="dxa"/>
            <w:tcBorders>
              <w:top w:val="single" w:color="auto" w:sz="6" w:space="0"/>
              <w:left w:val="nil"/>
              <w:bottom w:val="single" w:color="auto" w:sz="6" w:space="0"/>
              <w:right w:val="single" w:color="auto" w:sz="6" w:space="0"/>
            </w:tcBorders>
            <w:shd w:val="clear" w:color="auto" w:fill="auto"/>
            <w:vAlign w:val="center"/>
          </w:tcPr>
          <w:p w14:paraId="7BC9C04A">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701" w:type="dxa"/>
            <w:tcBorders>
              <w:top w:val="single" w:color="auto" w:sz="6" w:space="0"/>
              <w:left w:val="nil"/>
              <w:bottom w:val="single" w:color="auto" w:sz="6" w:space="0"/>
              <w:right w:val="single" w:color="auto" w:sz="6" w:space="0"/>
            </w:tcBorders>
            <w:shd w:val="clear" w:color="auto" w:fill="auto"/>
            <w:vAlign w:val="top"/>
          </w:tcPr>
          <w:p w14:paraId="4546FFAC">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120" w:type="dxa"/>
            <w:tcBorders>
              <w:top w:val="single" w:color="auto" w:sz="6" w:space="0"/>
              <w:left w:val="nil"/>
              <w:bottom w:val="single" w:color="auto" w:sz="6" w:space="0"/>
              <w:right w:val="double" w:color="auto" w:sz="2" w:space="0"/>
            </w:tcBorders>
            <w:shd w:val="clear" w:color="auto" w:fill="auto"/>
            <w:vAlign w:val="top"/>
          </w:tcPr>
          <w:p w14:paraId="21970CF3">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r w14:paraId="484A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003" w:type="dxa"/>
            <w:tcBorders>
              <w:top w:val="single" w:color="auto" w:sz="6" w:space="0"/>
              <w:left w:val="double" w:color="auto" w:sz="2" w:space="0"/>
              <w:bottom w:val="single" w:color="auto" w:sz="6" w:space="0"/>
              <w:right w:val="single" w:color="auto" w:sz="6" w:space="0"/>
            </w:tcBorders>
            <w:shd w:val="clear" w:color="auto" w:fill="auto"/>
            <w:vAlign w:val="center"/>
          </w:tcPr>
          <w:p w14:paraId="5B0913A5">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126" w:type="dxa"/>
            <w:tcBorders>
              <w:top w:val="single" w:color="auto" w:sz="6" w:space="0"/>
              <w:left w:val="nil"/>
              <w:bottom w:val="single" w:color="auto" w:sz="6" w:space="0"/>
              <w:right w:val="single" w:color="auto" w:sz="6" w:space="0"/>
            </w:tcBorders>
            <w:shd w:val="clear" w:color="auto" w:fill="auto"/>
            <w:vAlign w:val="center"/>
          </w:tcPr>
          <w:p w14:paraId="3257A208">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1747" w:type="dxa"/>
            <w:tcBorders>
              <w:top w:val="single" w:color="auto" w:sz="6" w:space="0"/>
              <w:left w:val="nil"/>
              <w:bottom w:val="single" w:color="auto" w:sz="6" w:space="0"/>
              <w:right w:val="single" w:color="auto" w:sz="6" w:space="0"/>
            </w:tcBorders>
            <w:shd w:val="clear" w:color="auto" w:fill="auto"/>
            <w:vAlign w:val="center"/>
          </w:tcPr>
          <w:p w14:paraId="54C62BFB">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866" w:type="dxa"/>
            <w:tcBorders>
              <w:top w:val="single" w:color="auto" w:sz="6" w:space="0"/>
              <w:left w:val="nil"/>
              <w:bottom w:val="single" w:color="auto" w:sz="6" w:space="0"/>
              <w:right w:val="single" w:color="auto" w:sz="6" w:space="0"/>
            </w:tcBorders>
            <w:shd w:val="clear" w:color="auto" w:fill="auto"/>
            <w:vAlign w:val="top"/>
          </w:tcPr>
          <w:p w14:paraId="11E7578E">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275" w:type="dxa"/>
            <w:tcBorders>
              <w:top w:val="single" w:color="auto" w:sz="6" w:space="0"/>
              <w:left w:val="nil"/>
              <w:bottom w:val="single" w:color="auto" w:sz="6" w:space="0"/>
              <w:right w:val="single" w:color="auto" w:sz="6" w:space="0"/>
            </w:tcBorders>
            <w:shd w:val="clear" w:color="auto" w:fill="auto"/>
            <w:vAlign w:val="center"/>
          </w:tcPr>
          <w:p w14:paraId="7469E5FF">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701" w:type="dxa"/>
            <w:tcBorders>
              <w:top w:val="single" w:color="auto" w:sz="6" w:space="0"/>
              <w:left w:val="nil"/>
              <w:bottom w:val="single" w:color="auto" w:sz="6" w:space="0"/>
              <w:right w:val="single" w:color="auto" w:sz="6" w:space="0"/>
            </w:tcBorders>
            <w:shd w:val="clear" w:color="auto" w:fill="auto"/>
            <w:vAlign w:val="top"/>
          </w:tcPr>
          <w:p w14:paraId="7C89EDD0">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120" w:type="dxa"/>
            <w:tcBorders>
              <w:top w:val="single" w:color="auto" w:sz="6" w:space="0"/>
              <w:left w:val="nil"/>
              <w:bottom w:val="single" w:color="auto" w:sz="6" w:space="0"/>
              <w:right w:val="double" w:color="auto" w:sz="2" w:space="0"/>
            </w:tcBorders>
            <w:shd w:val="clear" w:color="auto" w:fill="auto"/>
            <w:vAlign w:val="top"/>
          </w:tcPr>
          <w:p w14:paraId="315F25B6">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r w14:paraId="6353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003" w:type="dxa"/>
            <w:tcBorders>
              <w:top w:val="single" w:color="auto" w:sz="6" w:space="0"/>
              <w:left w:val="double" w:color="auto" w:sz="2" w:space="0"/>
              <w:bottom w:val="single" w:color="auto" w:sz="6" w:space="0"/>
              <w:right w:val="single" w:color="auto" w:sz="6" w:space="0"/>
            </w:tcBorders>
            <w:shd w:val="clear" w:color="auto" w:fill="auto"/>
            <w:vAlign w:val="center"/>
          </w:tcPr>
          <w:p w14:paraId="4379791F">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126" w:type="dxa"/>
            <w:tcBorders>
              <w:top w:val="single" w:color="auto" w:sz="6" w:space="0"/>
              <w:left w:val="nil"/>
              <w:bottom w:val="single" w:color="auto" w:sz="6" w:space="0"/>
              <w:right w:val="single" w:color="auto" w:sz="6" w:space="0"/>
            </w:tcBorders>
            <w:shd w:val="clear" w:color="auto" w:fill="auto"/>
            <w:vAlign w:val="center"/>
          </w:tcPr>
          <w:p w14:paraId="30A52D1F">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1747" w:type="dxa"/>
            <w:tcBorders>
              <w:top w:val="single" w:color="auto" w:sz="6" w:space="0"/>
              <w:left w:val="nil"/>
              <w:bottom w:val="single" w:color="auto" w:sz="6" w:space="0"/>
              <w:right w:val="single" w:color="auto" w:sz="6" w:space="0"/>
            </w:tcBorders>
            <w:shd w:val="clear" w:color="auto" w:fill="auto"/>
            <w:vAlign w:val="center"/>
          </w:tcPr>
          <w:p w14:paraId="626CC7B8">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866" w:type="dxa"/>
            <w:tcBorders>
              <w:top w:val="single" w:color="auto" w:sz="6" w:space="0"/>
              <w:left w:val="nil"/>
              <w:bottom w:val="single" w:color="auto" w:sz="6" w:space="0"/>
              <w:right w:val="single" w:color="auto" w:sz="6" w:space="0"/>
            </w:tcBorders>
            <w:shd w:val="clear" w:color="auto" w:fill="auto"/>
            <w:vAlign w:val="top"/>
          </w:tcPr>
          <w:p w14:paraId="4C29ADB2">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275" w:type="dxa"/>
            <w:tcBorders>
              <w:top w:val="single" w:color="auto" w:sz="6" w:space="0"/>
              <w:left w:val="nil"/>
              <w:bottom w:val="single" w:color="auto" w:sz="6" w:space="0"/>
              <w:right w:val="single" w:color="auto" w:sz="6" w:space="0"/>
            </w:tcBorders>
            <w:shd w:val="clear" w:color="auto" w:fill="auto"/>
            <w:vAlign w:val="center"/>
          </w:tcPr>
          <w:p w14:paraId="5E5AC16C">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701" w:type="dxa"/>
            <w:tcBorders>
              <w:top w:val="single" w:color="auto" w:sz="6" w:space="0"/>
              <w:left w:val="nil"/>
              <w:bottom w:val="single" w:color="auto" w:sz="6" w:space="0"/>
              <w:right w:val="single" w:color="auto" w:sz="6" w:space="0"/>
            </w:tcBorders>
            <w:shd w:val="clear" w:color="auto" w:fill="auto"/>
            <w:vAlign w:val="top"/>
          </w:tcPr>
          <w:p w14:paraId="05CE75F2">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120" w:type="dxa"/>
            <w:tcBorders>
              <w:top w:val="single" w:color="auto" w:sz="6" w:space="0"/>
              <w:left w:val="nil"/>
              <w:bottom w:val="single" w:color="auto" w:sz="6" w:space="0"/>
              <w:right w:val="double" w:color="auto" w:sz="2" w:space="0"/>
            </w:tcBorders>
            <w:shd w:val="clear" w:color="auto" w:fill="auto"/>
            <w:vAlign w:val="top"/>
          </w:tcPr>
          <w:p w14:paraId="210E8049">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r w14:paraId="7545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003" w:type="dxa"/>
            <w:tcBorders>
              <w:top w:val="single" w:color="auto" w:sz="6" w:space="0"/>
              <w:left w:val="double" w:color="auto" w:sz="2" w:space="0"/>
              <w:bottom w:val="single" w:color="auto" w:sz="6" w:space="0"/>
              <w:right w:val="single" w:color="auto" w:sz="6" w:space="0"/>
            </w:tcBorders>
            <w:shd w:val="clear" w:color="auto" w:fill="auto"/>
            <w:vAlign w:val="center"/>
          </w:tcPr>
          <w:p w14:paraId="425F8186">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126" w:type="dxa"/>
            <w:tcBorders>
              <w:top w:val="single" w:color="auto" w:sz="6" w:space="0"/>
              <w:left w:val="nil"/>
              <w:bottom w:val="single" w:color="auto" w:sz="6" w:space="0"/>
              <w:right w:val="single" w:color="auto" w:sz="6" w:space="0"/>
            </w:tcBorders>
            <w:shd w:val="clear" w:color="auto" w:fill="auto"/>
            <w:vAlign w:val="center"/>
          </w:tcPr>
          <w:p w14:paraId="5008313A">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1747" w:type="dxa"/>
            <w:tcBorders>
              <w:top w:val="single" w:color="auto" w:sz="6" w:space="0"/>
              <w:left w:val="nil"/>
              <w:bottom w:val="single" w:color="auto" w:sz="6" w:space="0"/>
              <w:right w:val="single" w:color="auto" w:sz="6" w:space="0"/>
            </w:tcBorders>
            <w:shd w:val="clear" w:color="auto" w:fill="auto"/>
            <w:vAlign w:val="center"/>
          </w:tcPr>
          <w:p w14:paraId="01E73BCC">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866" w:type="dxa"/>
            <w:tcBorders>
              <w:top w:val="single" w:color="auto" w:sz="6" w:space="0"/>
              <w:left w:val="nil"/>
              <w:bottom w:val="single" w:color="auto" w:sz="6" w:space="0"/>
              <w:right w:val="single" w:color="auto" w:sz="6" w:space="0"/>
            </w:tcBorders>
            <w:shd w:val="clear" w:color="auto" w:fill="auto"/>
            <w:vAlign w:val="top"/>
          </w:tcPr>
          <w:p w14:paraId="141B8526">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275" w:type="dxa"/>
            <w:tcBorders>
              <w:top w:val="single" w:color="auto" w:sz="6" w:space="0"/>
              <w:left w:val="nil"/>
              <w:bottom w:val="single" w:color="auto" w:sz="6" w:space="0"/>
              <w:right w:val="single" w:color="auto" w:sz="6" w:space="0"/>
            </w:tcBorders>
            <w:shd w:val="clear" w:color="auto" w:fill="auto"/>
            <w:vAlign w:val="center"/>
          </w:tcPr>
          <w:p w14:paraId="4759BB10">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701" w:type="dxa"/>
            <w:tcBorders>
              <w:top w:val="single" w:color="auto" w:sz="6" w:space="0"/>
              <w:left w:val="nil"/>
              <w:bottom w:val="single" w:color="auto" w:sz="6" w:space="0"/>
              <w:right w:val="single" w:color="auto" w:sz="6" w:space="0"/>
            </w:tcBorders>
            <w:shd w:val="clear" w:color="auto" w:fill="auto"/>
            <w:vAlign w:val="top"/>
          </w:tcPr>
          <w:p w14:paraId="0A209521">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120" w:type="dxa"/>
            <w:tcBorders>
              <w:top w:val="single" w:color="auto" w:sz="6" w:space="0"/>
              <w:left w:val="nil"/>
              <w:bottom w:val="single" w:color="auto" w:sz="6" w:space="0"/>
              <w:right w:val="double" w:color="auto" w:sz="2" w:space="0"/>
            </w:tcBorders>
            <w:shd w:val="clear" w:color="auto" w:fill="auto"/>
            <w:vAlign w:val="top"/>
          </w:tcPr>
          <w:p w14:paraId="1360327E">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r w14:paraId="59FF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003" w:type="dxa"/>
            <w:tcBorders>
              <w:top w:val="single" w:color="auto" w:sz="6" w:space="0"/>
              <w:left w:val="double" w:color="auto" w:sz="2" w:space="0"/>
              <w:bottom w:val="single" w:color="auto" w:sz="6" w:space="0"/>
              <w:right w:val="single" w:color="auto" w:sz="6" w:space="0"/>
            </w:tcBorders>
            <w:shd w:val="clear" w:color="auto" w:fill="auto"/>
            <w:vAlign w:val="center"/>
          </w:tcPr>
          <w:p w14:paraId="1AB2491B">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126" w:type="dxa"/>
            <w:tcBorders>
              <w:top w:val="single" w:color="auto" w:sz="6" w:space="0"/>
              <w:left w:val="nil"/>
              <w:bottom w:val="single" w:color="auto" w:sz="6" w:space="0"/>
              <w:right w:val="single" w:color="auto" w:sz="6" w:space="0"/>
            </w:tcBorders>
            <w:shd w:val="clear" w:color="auto" w:fill="auto"/>
            <w:vAlign w:val="center"/>
          </w:tcPr>
          <w:p w14:paraId="4F8FD4C1">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1747" w:type="dxa"/>
            <w:tcBorders>
              <w:top w:val="single" w:color="auto" w:sz="6" w:space="0"/>
              <w:left w:val="nil"/>
              <w:bottom w:val="single" w:color="auto" w:sz="6" w:space="0"/>
              <w:right w:val="single" w:color="auto" w:sz="6" w:space="0"/>
            </w:tcBorders>
            <w:shd w:val="clear" w:color="auto" w:fill="auto"/>
            <w:vAlign w:val="center"/>
          </w:tcPr>
          <w:p w14:paraId="2C996462">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866" w:type="dxa"/>
            <w:tcBorders>
              <w:top w:val="single" w:color="auto" w:sz="6" w:space="0"/>
              <w:left w:val="nil"/>
              <w:bottom w:val="single" w:color="auto" w:sz="6" w:space="0"/>
              <w:right w:val="single" w:color="auto" w:sz="6" w:space="0"/>
            </w:tcBorders>
            <w:shd w:val="clear" w:color="auto" w:fill="auto"/>
            <w:vAlign w:val="top"/>
          </w:tcPr>
          <w:p w14:paraId="35029D76">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275" w:type="dxa"/>
            <w:tcBorders>
              <w:top w:val="single" w:color="auto" w:sz="6" w:space="0"/>
              <w:left w:val="nil"/>
              <w:bottom w:val="single" w:color="auto" w:sz="6" w:space="0"/>
              <w:right w:val="single" w:color="auto" w:sz="6" w:space="0"/>
            </w:tcBorders>
            <w:shd w:val="clear" w:color="auto" w:fill="auto"/>
            <w:vAlign w:val="center"/>
          </w:tcPr>
          <w:p w14:paraId="6FDE4D2C">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701" w:type="dxa"/>
            <w:tcBorders>
              <w:top w:val="single" w:color="auto" w:sz="6" w:space="0"/>
              <w:left w:val="nil"/>
              <w:bottom w:val="single" w:color="auto" w:sz="6" w:space="0"/>
              <w:right w:val="single" w:color="auto" w:sz="6" w:space="0"/>
            </w:tcBorders>
            <w:shd w:val="clear" w:color="auto" w:fill="auto"/>
            <w:vAlign w:val="top"/>
          </w:tcPr>
          <w:p w14:paraId="73DB3D06">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120" w:type="dxa"/>
            <w:tcBorders>
              <w:top w:val="single" w:color="auto" w:sz="6" w:space="0"/>
              <w:left w:val="nil"/>
              <w:bottom w:val="single" w:color="auto" w:sz="6" w:space="0"/>
              <w:right w:val="double" w:color="auto" w:sz="2" w:space="0"/>
            </w:tcBorders>
            <w:shd w:val="clear" w:color="auto" w:fill="auto"/>
            <w:vAlign w:val="top"/>
          </w:tcPr>
          <w:p w14:paraId="09FC8D07">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r w14:paraId="30D2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003" w:type="dxa"/>
            <w:tcBorders>
              <w:top w:val="single" w:color="auto" w:sz="6" w:space="0"/>
              <w:left w:val="double" w:color="auto" w:sz="2" w:space="0"/>
              <w:bottom w:val="single" w:color="auto" w:sz="6" w:space="0"/>
              <w:right w:val="single" w:color="auto" w:sz="6" w:space="0"/>
            </w:tcBorders>
            <w:shd w:val="clear" w:color="auto" w:fill="auto"/>
            <w:vAlign w:val="center"/>
          </w:tcPr>
          <w:p w14:paraId="0719F1F0">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126" w:type="dxa"/>
            <w:tcBorders>
              <w:top w:val="single" w:color="auto" w:sz="6" w:space="0"/>
              <w:left w:val="nil"/>
              <w:bottom w:val="single" w:color="auto" w:sz="6" w:space="0"/>
              <w:right w:val="single" w:color="auto" w:sz="6" w:space="0"/>
            </w:tcBorders>
            <w:shd w:val="clear" w:color="auto" w:fill="auto"/>
            <w:vAlign w:val="center"/>
          </w:tcPr>
          <w:p w14:paraId="0A931B25">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1747" w:type="dxa"/>
            <w:tcBorders>
              <w:top w:val="single" w:color="auto" w:sz="6" w:space="0"/>
              <w:left w:val="nil"/>
              <w:bottom w:val="single" w:color="auto" w:sz="6" w:space="0"/>
              <w:right w:val="single" w:color="auto" w:sz="6" w:space="0"/>
            </w:tcBorders>
            <w:shd w:val="clear" w:color="auto" w:fill="auto"/>
            <w:vAlign w:val="center"/>
          </w:tcPr>
          <w:p w14:paraId="501DC1AB">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866" w:type="dxa"/>
            <w:tcBorders>
              <w:top w:val="single" w:color="auto" w:sz="6" w:space="0"/>
              <w:left w:val="nil"/>
              <w:bottom w:val="single" w:color="auto" w:sz="6" w:space="0"/>
              <w:right w:val="single" w:color="auto" w:sz="6" w:space="0"/>
            </w:tcBorders>
            <w:shd w:val="clear" w:color="auto" w:fill="auto"/>
            <w:vAlign w:val="top"/>
          </w:tcPr>
          <w:p w14:paraId="7BCBBD4D">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275" w:type="dxa"/>
            <w:tcBorders>
              <w:top w:val="single" w:color="auto" w:sz="6" w:space="0"/>
              <w:left w:val="nil"/>
              <w:bottom w:val="single" w:color="auto" w:sz="6" w:space="0"/>
              <w:right w:val="single" w:color="auto" w:sz="6" w:space="0"/>
            </w:tcBorders>
            <w:shd w:val="clear" w:color="auto" w:fill="auto"/>
            <w:vAlign w:val="center"/>
          </w:tcPr>
          <w:p w14:paraId="78F20431">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701" w:type="dxa"/>
            <w:tcBorders>
              <w:top w:val="single" w:color="auto" w:sz="6" w:space="0"/>
              <w:left w:val="nil"/>
              <w:bottom w:val="single" w:color="auto" w:sz="6" w:space="0"/>
              <w:right w:val="single" w:color="auto" w:sz="6" w:space="0"/>
            </w:tcBorders>
            <w:shd w:val="clear" w:color="auto" w:fill="auto"/>
            <w:vAlign w:val="top"/>
          </w:tcPr>
          <w:p w14:paraId="11D949E4">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120" w:type="dxa"/>
            <w:tcBorders>
              <w:top w:val="single" w:color="auto" w:sz="6" w:space="0"/>
              <w:left w:val="nil"/>
              <w:bottom w:val="single" w:color="auto" w:sz="6" w:space="0"/>
              <w:right w:val="double" w:color="auto" w:sz="2" w:space="0"/>
            </w:tcBorders>
            <w:shd w:val="clear" w:color="auto" w:fill="auto"/>
            <w:vAlign w:val="top"/>
          </w:tcPr>
          <w:p w14:paraId="6308BD7C">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r w14:paraId="1BE6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003" w:type="dxa"/>
            <w:tcBorders>
              <w:top w:val="single" w:color="auto" w:sz="6" w:space="0"/>
              <w:left w:val="double" w:color="auto" w:sz="2" w:space="0"/>
              <w:bottom w:val="single" w:color="auto" w:sz="6" w:space="0"/>
              <w:right w:val="single" w:color="auto" w:sz="6" w:space="0"/>
            </w:tcBorders>
            <w:shd w:val="clear" w:color="auto" w:fill="auto"/>
            <w:vAlign w:val="center"/>
          </w:tcPr>
          <w:p w14:paraId="3242F1D7">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126" w:type="dxa"/>
            <w:tcBorders>
              <w:top w:val="single" w:color="auto" w:sz="6" w:space="0"/>
              <w:left w:val="nil"/>
              <w:bottom w:val="single" w:color="auto" w:sz="6" w:space="0"/>
              <w:right w:val="single" w:color="auto" w:sz="6" w:space="0"/>
            </w:tcBorders>
            <w:shd w:val="clear" w:color="auto" w:fill="auto"/>
            <w:vAlign w:val="center"/>
          </w:tcPr>
          <w:p w14:paraId="035C2094">
            <w:pPr>
              <w:keepNext w:val="0"/>
              <w:keepLines w:val="0"/>
              <w:widowControl/>
              <w:suppressLineNumbers w:val="0"/>
              <w:snapToGrid w:val="0"/>
              <w:spacing w:before="0" w:beforeAutospacing="0" w:after="0" w:afterAutospacing="0"/>
              <w:ind w:left="0" w:right="0"/>
              <w:jc w:val="left"/>
              <w:rPr>
                <w:rFonts w:hint="eastAsia" w:ascii="宋体" w:hAnsi="宋体" w:eastAsia="宋体" w:cs="宋体"/>
                <w:b/>
                <w:bCs w:val="0"/>
                <w:color w:val="auto"/>
                <w:spacing w:val="10"/>
                <w:kern w:val="0"/>
                <w:sz w:val="21"/>
                <w:szCs w:val="21"/>
                <w:highlight w:val="none"/>
              </w:rPr>
            </w:pPr>
          </w:p>
        </w:tc>
        <w:tc>
          <w:tcPr>
            <w:tcW w:w="1747" w:type="dxa"/>
            <w:tcBorders>
              <w:top w:val="single" w:color="auto" w:sz="6" w:space="0"/>
              <w:left w:val="nil"/>
              <w:bottom w:val="single" w:color="auto" w:sz="6" w:space="0"/>
              <w:right w:val="single" w:color="auto" w:sz="6" w:space="0"/>
            </w:tcBorders>
            <w:shd w:val="clear" w:color="auto" w:fill="auto"/>
            <w:vAlign w:val="center"/>
          </w:tcPr>
          <w:p w14:paraId="5AEA0E5E">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866" w:type="dxa"/>
            <w:tcBorders>
              <w:top w:val="single" w:color="auto" w:sz="6" w:space="0"/>
              <w:left w:val="nil"/>
              <w:bottom w:val="single" w:color="auto" w:sz="6" w:space="0"/>
              <w:right w:val="single" w:color="auto" w:sz="6" w:space="0"/>
            </w:tcBorders>
            <w:shd w:val="clear" w:color="auto" w:fill="auto"/>
            <w:vAlign w:val="top"/>
          </w:tcPr>
          <w:p w14:paraId="43197B2B">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275" w:type="dxa"/>
            <w:tcBorders>
              <w:top w:val="single" w:color="auto" w:sz="6" w:space="0"/>
              <w:left w:val="nil"/>
              <w:bottom w:val="single" w:color="auto" w:sz="6" w:space="0"/>
              <w:right w:val="single" w:color="auto" w:sz="6" w:space="0"/>
            </w:tcBorders>
            <w:shd w:val="clear" w:color="auto" w:fill="auto"/>
            <w:vAlign w:val="center"/>
          </w:tcPr>
          <w:p w14:paraId="3E891BED">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701" w:type="dxa"/>
            <w:tcBorders>
              <w:top w:val="single" w:color="auto" w:sz="6" w:space="0"/>
              <w:left w:val="nil"/>
              <w:bottom w:val="single" w:color="auto" w:sz="6" w:space="0"/>
              <w:right w:val="single" w:color="auto" w:sz="6" w:space="0"/>
            </w:tcBorders>
            <w:shd w:val="clear" w:color="auto" w:fill="auto"/>
            <w:vAlign w:val="top"/>
          </w:tcPr>
          <w:p w14:paraId="3B8255DA">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120" w:type="dxa"/>
            <w:tcBorders>
              <w:top w:val="single" w:color="auto" w:sz="6" w:space="0"/>
              <w:left w:val="nil"/>
              <w:bottom w:val="single" w:color="auto" w:sz="6" w:space="0"/>
              <w:right w:val="double" w:color="auto" w:sz="2" w:space="0"/>
            </w:tcBorders>
            <w:shd w:val="clear" w:color="auto" w:fill="auto"/>
            <w:vAlign w:val="top"/>
          </w:tcPr>
          <w:p w14:paraId="580321DA">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r w14:paraId="488E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003" w:type="dxa"/>
            <w:tcBorders>
              <w:top w:val="single" w:color="auto" w:sz="6" w:space="0"/>
              <w:left w:val="double" w:color="auto" w:sz="2" w:space="0"/>
              <w:bottom w:val="single" w:color="auto" w:sz="6" w:space="0"/>
              <w:right w:val="single" w:color="auto" w:sz="6" w:space="0"/>
            </w:tcBorders>
            <w:shd w:val="clear" w:color="auto" w:fill="auto"/>
            <w:vAlign w:val="center"/>
          </w:tcPr>
          <w:p w14:paraId="7329F604">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126" w:type="dxa"/>
            <w:tcBorders>
              <w:top w:val="single" w:color="auto" w:sz="6" w:space="0"/>
              <w:left w:val="nil"/>
              <w:bottom w:val="single" w:color="auto" w:sz="6" w:space="0"/>
              <w:right w:val="single" w:color="auto" w:sz="6" w:space="0"/>
            </w:tcBorders>
            <w:shd w:val="clear" w:color="auto" w:fill="auto"/>
            <w:vAlign w:val="center"/>
          </w:tcPr>
          <w:p w14:paraId="17F58DEE">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747" w:type="dxa"/>
            <w:tcBorders>
              <w:top w:val="single" w:color="auto" w:sz="6" w:space="0"/>
              <w:left w:val="nil"/>
              <w:bottom w:val="single" w:color="auto" w:sz="6" w:space="0"/>
              <w:right w:val="single" w:color="auto" w:sz="6" w:space="0"/>
            </w:tcBorders>
            <w:shd w:val="clear" w:color="auto" w:fill="auto"/>
            <w:vAlign w:val="center"/>
          </w:tcPr>
          <w:p w14:paraId="73EB5A42">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866" w:type="dxa"/>
            <w:tcBorders>
              <w:top w:val="single" w:color="auto" w:sz="6" w:space="0"/>
              <w:left w:val="nil"/>
              <w:bottom w:val="single" w:color="auto" w:sz="6" w:space="0"/>
              <w:right w:val="single" w:color="auto" w:sz="6" w:space="0"/>
            </w:tcBorders>
            <w:shd w:val="clear" w:color="auto" w:fill="auto"/>
            <w:vAlign w:val="top"/>
          </w:tcPr>
          <w:p w14:paraId="054B58E7">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275" w:type="dxa"/>
            <w:tcBorders>
              <w:top w:val="single" w:color="auto" w:sz="6" w:space="0"/>
              <w:left w:val="nil"/>
              <w:bottom w:val="single" w:color="auto" w:sz="6" w:space="0"/>
              <w:right w:val="single" w:color="auto" w:sz="6" w:space="0"/>
            </w:tcBorders>
            <w:shd w:val="clear" w:color="auto" w:fill="auto"/>
            <w:vAlign w:val="center"/>
          </w:tcPr>
          <w:p w14:paraId="47C701E7">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701" w:type="dxa"/>
            <w:tcBorders>
              <w:top w:val="single" w:color="auto" w:sz="6" w:space="0"/>
              <w:left w:val="nil"/>
              <w:bottom w:val="single" w:color="auto" w:sz="6" w:space="0"/>
              <w:right w:val="single" w:color="auto" w:sz="6" w:space="0"/>
            </w:tcBorders>
            <w:shd w:val="clear" w:color="auto" w:fill="auto"/>
            <w:vAlign w:val="top"/>
          </w:tcPr>
          <w:p w14:paraId="697E54EA">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120" w:type="dxa"/>
            <w:tcBorders>
              <w:top w:val="single" w:color="auto" w:sz="6" w:space="0"/>
              <w:left w:val="nil"/>
              <w:bottom w:val="single" w:color="auto" w:sz="6" w:space="0"/>
              <w:right w:val="double" w:color="auto" w:sz="2" w:space="0"/>
            </w:tcBorders>
            <w:shd w:val="clear" w:color="auto" w:fill="auto"/>
            <w:vAlign w:val="top"/>
          </w:tcPr>
          <w:p w14:paraId="5154AC4B">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r w14:paraId="734A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003" w:type="dxa"/>
            <w:tcBorders>
              <w:top w:val="single" w:color="auto" w:sz="6" w:space="0"/>
              <w:left w:val="double" w:color="auto" w:sz="2" w:space="0"/>
              <w:bottom w:val="single" w:color="auto" w:sz="6" w:space="0"/>
              <w:right w:val="single" w:color="auto" w:sz="6" w:space="0"/>
            </w:tcBorders>
            <w:shd w:val="clear" w:color="auto" w:fill="auto"/>
            <w:vAlign w:val="center"/>
          </w:tcPr>
          <w:p w14:paraId="24803E07">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126" w:type="dxa"/>
            <w:tcBorders>
              <w:top w:val="single" w:color="auto" w:sz="6" w:space="0"/>
              <w:left w:val="nil"/>
              <w:bottom w:val="single" w:color="auto" w:sz="6" w:space="0"/>
              <w:right w:val="single" w:color="auto" w:sz="6" w:space="0"/>
            </w:tcBorders>
            <w:shd w:val="clear" w:color="auto" w:fill="auto"/>
            <w:vAlign w:val="center"/>
          </w:tcPr>
          <w:p w14:paraId="4F2943CC">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747" w:type="dxa"/>
            <w:tcBorders>
              <w:top w:val="single" w:color="auto" w:sz="6" w:space="0"/>
              <w:left w:val="nil"/>
              <w:bottom w:val="single" w:color="auto" w:sz="6" w:space="0"/>
              <w:right w:val="single" w:color="auto" w:sz="6" w:space="0"/>
            </w:tcBorders>
            <w:shd w:val="clear" w:color="auto" w:fill="auto"/>
            <w:vAlign w:val="center"/>
          </w:tcPr>
          <w:p w14:paraId="53976D7B">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866" w:type="dxa"/>
            <w:tcBorders>
              <w:top w:val="single" w:color="auto" w:sz="6" w:space="0"/>
              <w:left w:val="nil"/>
              <w:bottom w:val="single" w:color="auto" w:sz="6" w:space="0"/>
              <w:right w:val="single" w:color="auto" w:sz="6" w:space="0"/>
            </w:tcBorders>
            <w:shd w:val="clear" w:color="auto" w:fill="auto"/>
            <w:vAlign w:val="top"/>
          </w:tcPr>
          <w:p w14:paraId="016C2FE6">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275" w:type="dxa"/>
            <w:tcBorders>
              <w:top w:val="single" w:color="auto" w:sz="6" w:space="0"/>
              <w:left w:val="nil"/>
              <w:bottom w:val="single" w:color="auto" w:sz="6" w:space="0"/>
              <w:right w:val="single" w:color="auto" w:sz="6" w:space="0"/>
            </w:tcBorders>
            <w:shd w:val="clear" w:color="auto" w:fill="auto"/>
            <w:vAlign w:val="center"/>
          </w:tcPr>
          <w:p w14:paraId="02AE4672">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701" w:type="dxa"/>
            <w:tcBorders>
              <w:top w:val="single" w:color="auto" w:sz="6" w:space="0"/>
              <w:left w:val="nil"/>
              <w:bottom w:val="single" w:color="auto" w:sz="6" w:space="0"/>
              <w:right w:val="single" w:color="auto" w:sz="6" w:space="0"/>
            </w:tcBorders>
            <w:shd w:val="clear" w:color="auto" w:fill="auto"/>
            <w:vAlign w:val="top"/>
          </w:tcPr>
          <w:p w14:paraId="66E10A04">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120" w:type="dxa"/>
            <w:tcBorders>
              <w:top w:val="single" w:color="auto" w:sz="6" w:space="0"/>
              <w:left w:val="nil"/>
              <w:bottom w:val="single" w:color="auto" w:sz="6" w:space="0"/>
              <w:right w:val="double" w:color="auto" w:sz="2" w:space="0"/>
            </w:tcBorders>
            <w:shd w:val="clear" w:color="auto" w:fill="auto"/>
            <w:vAlign w:val="top"/>
          </w:tcPr>
          <w:p w14:paraId="5B4EF82E">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r w14:paraId="150A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003" w:type="dxa"/>
            <w:tcBorders>
              <w:top w:val="single" w:color="auto" w:sz="6" w:space="0"/>
              <w:left w:val="double" w:color="auto" w:sz="2" w:space="0"/>
              <w:bottom w:val="double" w:color="auto" w:sz="2" w:space="0"/>
              <w:right w:val="single" w:color="auto" w:sz="6" w:space="0"/>
            </w:tcBorders>
            <w:shd w:val="clear" w:color="auto" w:fill="auto"/>
            <w:vAlign w:val="center"/>
          </w:tcPr>
          <w:p w14:paraId="677B8C96">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126" w:type="dxa"/>
            <w:tcBorders>
              <w:top w:val="single" w:color="auto" w:sz="6" w:space="0"/>
              <w:left w:val="nil"/>
              <w:bottom w:val="double" w:color="auto" w:sz="2" w:space="0"/>
              <w:right w:val="single" w:color="auto" w:sz="6" w:space="0"/>
            </w:tcBorders>
            <w:shd w:val="clear" w:color="auto" w:fill="auto"/>
            <w:vAlign w:val="center"/>
          </w:tcPr>
          <w:p w14:paraId="11988AA6">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747" w:type="dxa"/>
            <w:tcBorders>
              <w:top w:val="single" w:color="auto" w:sz="6" w:space="0"/>
              <w:left w:val="nil"/>
              <w:bottom w:val="double" w:color="auto" w:sz="2" w:space="0"/>
              <w:right w:val="single" w:color="auto" w:sz="6" w:space="0"/>
            </w:tcBorders>
            <w:shd w:val="clear" w:color="auto" w:fill="auto"/>
            <w:vAlign w:val="center"/>
          </w:tcPr>
          <w:p w14:paraId="5F5A4A6B">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866" w:type="dxa"/>
            <w:tcBorders>
              <w:top w:val="single" w:color="auto" w:sz="6" w:space="0"/>
              <w:left w:val="nil"/>
              <w:bottom w:val="double" w:color="auto" w:sz="2" w:space="0"/>
              <w:right w:val="single" w:color="auto" w:sz="6" w:space="0"/>
            </w:tcBorders>
            <w:shd w:val="clear" w:color="auto" w:fill="auto"/>
            <w:vAlign w:val="top"/>
          </w:tcPr>
          <w:p w14:paraId="0D5DB724">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275" w:type="dxa"/>
            <w:tcBorders>
              <w:top w:val="single" w:color="auto" w:sz="6" w:space="0"/>
              <w:left w:val="nil"/>
              <w:bottom w:val="double" w:color="auto" w:sz="2" w:space="0"/>
              <w:right w:val="single" w:color="auto" w:sz="6" w:space="0"/>
            </w:tcBorders>
            <w:shd w:val="clear" w:color="auto" w:fill="auto"/>
            <w:vAlign w:val="center"/>
          </w:tcPr>
          <w:p w14:paraId="28673E69">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701" w:type="dxa"/>
            <w:tcBorders>
              <w:top w:val="single" w:color="auto" w:sz="6" w:space="0"/>
              <w:left w:val="nil"/>
              <w:bottom w:val="double" w:color="auto" w:sz="2" w:space="0"/>
              <w:right w:val="single" w:color="auto" w:sz="6" w:space="0"/>
            </w:tcBorders>
            <w:shd w:val="clear" w:color="auto" w:fill="auto"/>
            <w:vAlign w:val="top"/>
          </w:tcPr>
          <w:p w14:paraId="55CB8E78">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120" w:type="dxa"/>
            <w:tcBorders>
              <w:top w:val="single" w:color="auto" w:sz="6" w:space="0"/>
              <w:left w:val="nil"/>
              <w:bottom w:val="double" w:color="auto" w:sz="2" w:space="0"/>
              <w:right w:val="double" w:color="auto" w:sz="2" w:space="0"/>
            </w:tcBorders>
            <w:shd w:val="clear" w:color="auto" w:fill="auto"/>
            <w:vAlign w:val="top"/>
          </w:tcPr>
          <w:p w14:paraId="00F9BD8F">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bl>
    <w:p w14:paraId="68B4002F">
      <w:pPr>
        <w:keepNext w:val="0"/>
        <w:keepLines w:val="0"/>
        <w:widowControl/>
        <w:suppressLineNumbers w:val="0"/>
        <w:spacing w:before="0" w:beforeAutospacing="0" w:after="0" w:afterAutospacing="0"/>
        <w:ind w:left="0" w:right="0"/>
        <w:jc w:val="left"/>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59720C86">
      <w:pPr>
        <w:keepNext w:val="0"/>
        <w:keepLines w:val="0"/>
        <w:widowControl/>
        <w:suppressLineNumbers w:val="0"/>
        <w:snapToGrid w:val="0"/>
        <w:spacing w:before="0" w:beforeAutospacing="0" w:after="0" w:afterAutospacing="0" w:line="360" w:lineRule="auto"/>
        <w:ind w:left="4620" w:leftChars="2200" w:right="0" w:firstLine="36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投标人（法人公章）：</w:t>
      </w:r>
    </w:p>
    <w:p w14:paraId="28CD8F7B">
      <w:pPr>
        <w:keepNext w:val="0"/>
        <w:keepLines w:val="0"/>
        <w:widowControl/>
        <w:suppressLineNumbers w:val="0"/>
        <w:snapToGrid w:val="0"/>
        <w:spacing w:before="0" w:beforeAutospacing="0" w:after="0" w:afterAutospacing="0" w:line="360" w:lineRule="auto"/>
        <w:ind w:left="4620" w:leftChars="2200" w:right="0" w:firstLine="36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法定代表人：</w:t>
      </w:r>
    </w:p>
    <w:p w14:paraId="0423AFF3">
      <w:pPr>
        <w:keepNext w:val="0"/>
        <w:keepLines w:val="0"/>
        <w:widowControl/>
        <w:suppressLineNumbers w:val="0"/>
        <w:snapToGrid w:val="0"/>
        <w:spacing w:before="0" w:beforeAutospacing="0" w:after="0" w:afterAutospacing="0" w:line="360" w:lineRule="auto"/>
        <w:ind w:left="4620" w:leftChars="2200" w:right="0" w:firstLine="36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或其授权代理人（签名或盖章）：</w:t>
      </w:r>
    </w:p>
    <w:p w14:paraId="6586CDCB">
      <w:pPr>
        <w:keepNext w:val="0"/>
        <w:keepLines w:val="0"/>
        <w:widowControl/>
        <w:suppressLineNumbers w:val="0"/>
        <w:snapToGrid w:val="0"/>
        <w:spacing w:before="0" w:beforeAutospacing="0" w:after="0" w:afterAutospacing="0" w:line="360" w:lineRule="auto"/>
        <w:ind w:left="4620" w:leftChars="2200" w:right="0" w:firstLine="36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日   期：</w:t>
      </w:r>
    </w:p>
    <w:p w14:paraId="11EA8275">
      <w:pPr>
        <w:keepNext w:val="0"/>
        <w:keepLines w:val="0"/>
        <w:widowControl/>
        <w:suppressLineNumbers w:val="0"/>
        <w:spacing w:before="0" w:beforeAutospacing="0" w:after="0" w:afterAutospacing="0"/>
        <w:ind w:left="0" w:right="0"/>
        <w:jc w:val="left"/>
        <w:rPr>
          <w:rFonts w:hint="eastAsia" w:ascii="宋体" w:hAnsi="宋体" w:eastAsia="宋体" w:cs="宋体"/>
          <w:b/>
          <w:bCs w:val="0"/>
          <w:color w:val="auto"/>
          <w:kern w:val="0"/>
          <w:sz w:val="22"/>
          <w:szCs w:val="22"/>
          <w:highlight w:val="none"/>
        </w:rPr>
      </w:pPr>
      <w:r>
        <w:rPr>
          <w:rFonts w:hint="eastAsia" w:ascii="宋体" w:hAnsi="宋体" w:eastAsia="宋体" w:cs="宋体"/>
          <w:color w:val="auto"/>
          <w:kern w:val="0"/>
          <w:sz w:val="21"/>
          <w:szCs w:val="21"/>
          <w:highlight w:val="none"/>
          <w:lang w:val="en-US" w:eastAsia="zh-CN" w:bidi="ar"/>
        </w:rPr>
        <w:br w:type="page"/>
      </w:r>
      <w:r>
        <w:rPr>
          <w:rFonts w:hint="default" w:ascii="宋体" w:hAnsi="宋体" w:eastAsia="宋体" w:cs="宋体"/>
          <w:color w:val="auto"/>
          <w:kern w:val="0"/>
          <w:sz w:val="21"/>
          <w:szCs w:val="21"/>
          <w:highlight w:val="none"/>
          <w:lang w:eastAsia="zh-CN" w:bidi="ar"/>
        </w:rPr>
        <w:t>（三）</w:t>
      </w:r>
      <w:r>
        <w:rPr>
          <w:rFonts w:hint="eastAsia" w:ascii="宋体" w:hAnsi="宋体" w:eastAsia="宋体" w:cs="宋体"/>
          <w:b/>
          <w:bCs w:val="0"/>
          <w:color w:val="auto"/>
          <w:kern w:val="0"/>
          <w:sz w:val="22"/>
          <w:szCs w:val="22"/>
          <w:highlight w:val="none"/>
          <w:lang w:val="en-US" w:eastAsia="zh-CN" w:bidi="ar"/>
        </w:rPr>
        <w:t>货物备品备件清单</w:t>
      </w:r>
    </w:p>
    <w:tbl>
      <w:tblPr>
        <w:tblStyle w:val="1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56" w:type="dxa"/>
          <w:bottom w:w="0" w:type="dxa"/>
          <w:right w:w="56" w:type="dxa"/>
        </w:tblCellMar>
      </w:tblPr>
      <w:tblGrid>
        <w:gridCol w:w="728"/>
        <w:gridCol w:w="1544"/>
        <w:gridCol w:w="2405"/>
        <w:gridCol w:w="1095"/>
        <w:gridCol w:w="1853"/>
        <w:gridCol w:w="1513"/>
      </w:tblGrid>
      <w:tr w14:paraId="59F7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6" w:type="dxa"/>
            <w:bottom w:w="0" w:type="dxa"/>
            <w:right w:w="56" w:type="dxa"/>
          </w:tblCellMar>
        </w:tblPrEx>
        <w:trPr>
          <w:cantSplit/>
          <w:trHeight w:val="1058"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0B40B8F6">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序号</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14:paraId="5B5F700E">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备件名称</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717280F2">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规格型号</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4C9BED5D">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单位</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14:paraId="3CA2442E">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综合单价</w:t>
            </w:r>
          </w:p>
          <w:p w14:paraId="787D5ADC">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（人民币元）</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19EB6F22">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备注</w:t>
            </w:r>
          </w:p>
        </w:tc>
      </w:tr>
      <w:tr w14:paraId="0C2D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59ECAB5C">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14:paraId="73D4C986">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00048759">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47E460DA">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14:paraId="510AC0D6">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513" w:type="dxa"/>
            <w:tcBorders>
              <w:top w:val="single" w:color="auto" w:sz="4" w:space="0"/>
              <w:left w:val="single" w:color="auto" w:sz="4" w:space="0"/>
              <w:bottom w:val="single" w:color="auto" w:sz="4" w:space="0"/>
              <w:right w:val="single" w:color="auto" w:sz="4" w:space="0"/>
            </w:tcBorders>
            <w:shd w:val="clear" w:color="auto" w:fill="auto"/>
            <w:vAlign w:val="top"/>
          </w:tcPr>
          <w:p w14:paraId="3D8AE8E6">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r w14:paraId="2AAF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385032DE">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14:paraId="1A4B21DD">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5722BB53">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00174B84">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14:paraId="3E32466C">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513" w:type="dxa"/>
            <w:tcBorders>
              <w:top w:val="single" w:color="auto" w:sz="4" w:space="0"/>
              <w:left w:val="single" w:color="auto" w:sz="4" w:space="0"/>
              <w:bottom w:val="single" w:color="auto" w:sz="4" w:space="0"/>
              <w:right w:val="single" w:color="auto" w:sz="4" w:space="0"/>
            </w:tcBorders>
            <w:shd w:val="clear" w:color="auto" w:fill="auto"/>
            <w:vAlign w:val="top"/>
          </w:tcPr>
          <w:p w14:paraId="33F19D83">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r w14:paraId="4904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338D128A">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14:paraId="2EC01C67">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30C21EE1">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23910DC3">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14:paraId="7A09DF00">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513" w:type="dxa"/>
            <w:tcBorders>
              <w:top w:val="single" w:color="auto" w:sz="4" w:space="0"/>
              <w:left w:val="single" w:color="auto" w:sz="4" w:space="0"/>
              <w:bottom w:val="single" w:color="auto" w:sz="4" w:space="0"/>
              <w:right w:val="single" w:color="auto" w:sz="4" w:space="0"/>
            </w:tcBorders>
            <w:shd w:val="clear" w:color="auto" w:fill="auto"/>
            <w:vAlign w:val="top"/>
          </w:tcPr>
          <w:p w14:paraId="3B1E4673">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r w14:paraId="0A19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5A4F77F3">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14:paraId="4F12792A">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74ED9555">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5B985283">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14:paraId="3708F9EA">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513" w:type="dxa"/>
            <w:tcBorders>
              <w:top w:val="single" w:color="auto" w:sz="4" w:space="0"/>
              <w:left w:val="single" w:color="auto" w:sz="4" w:space="0"/>
              <w:bottom w:val="single" w:color="auto" w:sz="4" w:space="0"/>
              <w:right w:val="single" w:color="auto" w:sz="4" w:space="0"/>
            </w:tcBorders>
            <w:shd w:val="clear" w:color="auto" w:fill="auto"/>
            <w:vAlign w:val="top"/>
          </w:tcPr>
          <w:p w14:paraId="238ADC7B">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r w14:paraId="1F84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28429EB3">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14:paraId="7BBBED9E">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2A920A93">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3F120FCB">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14:paraId="1052457A">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513" w:type="dxa"/>
            <w:tcBorders>
              <w:top w:val="single" w:color="auto" w:sz="4" w:space="0"/>
              <w:left w:val="single" w:color="auto" w:sz="4" w:space="0"/>
              <w:bottom w:val="single" w:color="auto" w:sz="4" w:space="0"/>
              <w:right w:val="single" w:color="auto" w:sz="4" w:space="0"/>
            </w:tcBorders>
            <w:shd w:val="clear" w:color="auto" w:fill="auto"/>
            <w:vAlign w:val="top"/>
          </w:tcPr>
          <w:p w14:paraId="27611174">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r w14:paraId="1210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00BE404D">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14:paraId="48C38995">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7D840C02">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61EF37BC">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14:paraId="44507692">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513" w:type="dxa"/>
            <w:tcBorders>
              <w:top w:val="single" w:color="auto" w:sz="4" w:space="0"/>
              <w:left w:val="single" w:color="auto" w:sz="4" w:space="0"/>
              <w:bottom w:val="single" w:color="auto" w:sz="4" w:space="0"/>
              <w:right w:val="single" w:color="auto" w:sz="4" w:space="0"/>
            </w:tcBorders>
            <w:shd w:val="clear" w:color="auto" w:fill="auto"/>
            <w:vAlign w:val="top"/>
          </w:tcPr>
          <w:p w14:paraId="3D6421BB">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r w14:paraId="75B2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57BCC182">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14:paraId="332F1EC4">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29DC33F8">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4C1C02D5">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14:paraId="09560276">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513" w:type="dxa"/>
            <w:tcBorders>
              <w:top w:val="single" w:color="auto" w:sz="4" w:space="0"/>
              <w:left w:val="single" w:color="auto" w:sz="4" w:space="0"/>
              <w:bottom w:val="single" w:color="auto" w:sz="4" w:space="0"/>
              <w:right w:val="single" w:color="auto" w:sz="4" w:space="0"/>
            </w:tcBorders>
            <w:shd w:val="clear" w:color="auto" w:fill="auto"/>
            <w:vAlign w:val="top"/>
          </w:tcPr>
          <w:p w14:paraId="295D5984">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r w14:paraId="0CB7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53F5B488">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14:paraId="34EBB7B7">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26E7D983">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2A415B11">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14:paraId="53EAFEE1">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513" w:type="dxa"/>
            <w:tcBorders>
              <w:top w:val="single" w:color="auto" w:sz="4" w:space="0"/>
              <w:left w:val="single" w:color="auto" w:sz="4" w:space="0"/>
              <w:bottom w:val="single" w:color="auto" w:sz="4" w:space="0"/>
              <w:right w:val="single" w:color="auto" w:sz="4" w:space="0"/>
            </w:tcBorders>
            <w:shd w:val="clear" w:color="auto" w:fill="auto"/>
            <w:vAlign w:val="top"/>
          </w:tcPr>
          <w:p w14:paraId="14B083E7">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r w14:paraId="58E6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264AE47A">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14:paraId="4C7C29AD">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3520D40F">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7E94BE72">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14:paraId="784454A4">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513" w:type="dxa"/>
            <w:tcBorders>
              <w:top w:val="single" w:color="auto" w:sz="4" w:space="0"/>
              <w:left w:val="single" w:color="auto" w:sz="4" w:space="0"/>
              <w:bottom w:val="single" w:color="auto" w:sz="4" w:space="0"/>
              <w:right w:val="single" w:color="auto" w:sz="4" w:space="0"/>
            </w:tcBorders>
            <w:shd w:val="clear" w:color="auto" w:fill="auto"/>
            <w:vAlign w:val="top"/>
          </w:tcPr>
          <w:p w14:paraId="38F24809">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r w14:paraId="0199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5EFAA48C">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14:paraId="44F73A74">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1029F453">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2E22A66B">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14:paraId="1A159F80">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513" w:type="dxa"/>
            <w:tcBorders>
              <w:top w:val="single" w:color="auto" w:sz="4" w:space="0"/>
              <w:left w:val="single" w:color="auto" w:sz="4" w:space="0"/>
              <w:bottom w:val="single" w:color="auto" w:sz="4" w:space="0"/>
              <w:right w:val="single" w:color="auto" w:sz="4" w:space="0"/>
            </w:tcBorders>
            <w:shd w:val="clear" w:color="auto" w:fill="auto"/>
            <w:vAlign w:val="top"/>
          </w:tcPr>
          <w:p w14:paraId="075F3AA0">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bl>
    <w:p w14:paraId="23A264F1">
      <w:pPr>
        <w:keepNext w:val="0"/>
        <w:keepLines w:val="0"/>
        <w:widowControl/>
        <w:suppressLineNumbers w:val="0"/>
        <w:spacing w:before="0" w:beforeAutospacing="0" w:after="0" w:afterAutospacing="0"/>
        <w:ind w:left="712" w:right="0" w:hanging="711" w:hangingChars="339"/>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注：1、投标人必须提交质保期满后3年内的备品备件清单。</w:t>
      </w:r>
    </w:p>
    <w:p w14:paraId="56BD91B7">
      <w:pPr>
        <w:keepNext w:val="0"/>
        <w:keepLines w:val="0"/>
        <w:widowControl/>
        <w:suppressLineNumbers w:val="0"/>
        <w:spacing w:before="0" w:beforeAutospacing="0" w:after="0" w:afterAutospacing="0"/>
        <w:ind w:left="712" w:right="0" w:hanging="711" w:hangingChars="339"/>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    2、此费用不计入投标总价。质保期满后3年内，如招标人需要，投标人将以不超过上表清单价格将备品备件供应给招标人。</w:t>
      </w:r>
    </w:p>
    <w:p w14:paraId="78185D29">
      <w:pPr>
        <w:keepNext w:val="0"/>
        <w:keepLines w:val="0"/>
        <w:widowControl/>
        <w:suppressLineNumbers w:val="0"/>
        <w:spacing w:before="0" w:beforeAutospacing="0" w:after="0" w:afterAutospacing="0"/>
        <w:ind w:left="712" w:right="0" w:hanging="711" w:hangingChars="339"/>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    3、表中的综合单价为全费用综合单价，包括但不限于材料费、运输费、管理费、利润、税金等一切费用。</w:t>
      </w:r>
    </w:p>
    <w:p w14:paraId="728352CC">
      <w:pPr>
        <w:keepNext w:val="0"/>
        <w:keepLines w:val="0"/>
        <w:widowControl/>
        <w:suppressLineNumbers w:val="0"/>
        <w:spacing w:before="0" w:beforeAutospacing="0" w:after="0" w:afterAutospacing="0"/>
        <w:ind w:left="712" w:right="0" w:hanging="711" w:hangingChars="339"/>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0F518BDA">
      <w:pPr>
        <w:keepNext w:val="0"/>
        <w:keepLines w:val="0"/>
        <w:widowControl/>
        <w:suppressLineNumbers w:val="0"/>
        <w:snapToGrid w:val="0"/>
        <w:spacing w:before="0" w:beforeAutospacing="0" w:after="0" w:afterAutospacing="0" w:line="360" w:lineRule="auto"/>
        <w:ind w:left="4620" w:leftChars="2200" w:right="0" w:firstLine="36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投标人（法人公章）：</w:t>
      </w:r>
    </w:p>
    <w:p w14:paraId="1BA9CFBF">
      <w:pPr>
        <w:keepNext w:val="0"/>
        <w:keepLines w:val="0"/>
        <w:widowControl/>
        <w:suppressLineNumbers w:val="0"/>
        <w:snapToGrid w:val="0"/>
        <w:spacing w:before="0" w:beforeAutospacing="0" w:after="0" w:afterAutospacing="0" w:line="360" w:lineRule="auto"/>
        <w:ind w:left="4620" w:leftChars="2200" w:right="0" w:firstLine="36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法定代表人</w:t>
      </w:r>
    </w:p>
    <w:p w14:paraId="311747D1">
      <w:pPr>
        <w:keepNext w:val="0"/>
        <w:keepLines w:val="0"/>
        <w:widowControl/>
        <w:suppressLineNumbers w:val="0"/>
        <w:snapToGrid w:val="0"/>
        <w:spacing w:before="0" w:beforeAutospacing="0" w:after="0" w:afterAutospacing="0" w:line="360" w:lineRule="auto"/>
        <w:ind w:left="4620" w:leftChars="2200" w:right="0" w:firstLine="36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或其授权代理人（签名或盖章）：</w:t>
      </w:r>
    </w:p>
    <w:p w14:paraId="775283E3">
      <w:pPr>
        <w:keepNext w:val="0"/>
        <w:keepLines w:val="0"/>
        <w:widowControl/>
        <w:suppressLineNumbers w:val="0"/>
        <w:snapToGrid w:val="0"/>
        <w:spacing w:before="0" w:beforeAutospacing="0" w:after="0" w:afterAutospacing="0" w:line="360" w:lineRule="auto"/>
        <w:ind w:left="4620" w:leftChars="2200" w:right="0" w:firstLine="36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日   期：</w:t>
      </w:r>
    </w:p>
    <w:p w14:paraId="407820F6">
      <w:pPr>
        <w:keepNext w:val="0"/>
        <w:keepLines w:val="0"/>
        <w:widowControl/>
        <w:suppressLineNumbers w:val="0"/>
        <w:snapToGrid w:val="0"/>
        <w:spacing w:before="0" w:beforeAutospacing="0" w:after="0" w:afterAutospacing="0" w:line="360" w:lineRule="auto"/>
        <w:ind w:left="0" w:leftChars="0" w:right="0" w:firstLine="0" w:firstLineChars="0"/>
        <w:jc w:val="left"/>
        <w:rPr>
          <w:rFonts w:hint="eastAsia" w:ascii="宋体" w:hAnsi="宋体" w:eastAsia="宋体" w:cs="宋体"/>
          <w:strike w:val="0"/>
          <w:color w:val="auto"/>
          <w:kern w:val="0"/>
          <w:sz w:val="32"/>
          <w:szCs w:val="32"/>
          <w:highlight w:val="none"/>
        </w:rPr>
      </w:pPr>
      <w:r>
        <w:rPr>
          <w:rFonts w:hint="eastAsia" w:ascii="宋体" w:hAnsi="宋体" w:eastAsia="宋体" w:cs="宋体"/>
          <w:b/>
          <w:bCs w:val="0"/>
          <w:color w:val="auto"/>
          <w:kern w:val="0"/>
          <w:sz w:val="22"/>
          <w:szCs w:val="22"/>
          <w:highlight w:val="none"/>
          <w:lang w:val="en-US" w:eastAsia="zh-CN" w:bidi="ar"/>
        </w:rPr>
        <w:br w:type="page"/>
      </w:r>
      <w:bookmarkStart w:id="142" w:name="_Toc11379"/>
      <w:bookmarkEnd w:id="142"/>
      <w:bookmarkStart w:id="143" w:name="_Toc7454678"/>
      <w:bookmarkEnd w:id="143"/>
      <w:r>
        <w:rPr>
          <w:rFonts w:hint="eastAsia" w:ascii="宋体" w:hAnsi="宋体" w:eastAsia="宋体" w:cs="宋体"/>
          <w:bCs w:val="0"/>
          <w:color w:val="auto"/>
          <w:kern w:val="0"/>
          <w:sz w:val="32"/>
          <w:szCs w:val="32"/>
          <w:highlight w:val="none"/>
          <w:lang w:eastAsia="zh-CN" w:bidi="ar"/>
        </w:rPr>
        <w:t>四、</w:t>
      </w:r>
      <w:r>
        <w:rPr>
          <w:rFonts w:hint="eastAsia" w:ascii="宋体" w:hAnsi="宋体" w:eastAsia="宋体" w:cs="宋体"/>
          <w:color w:val="auto"/>
          <w:kern w:val="0"/>
          <w:sz w:val="32"/>
          <w:szCs w:val="32"/>
          <w:highlight w:val="none"/>
          <w:lang w:val="en-US" w:eastAsia="zh-CN" w:bidi="ar"/>
        </w:rPr>
        <w:t>商务和技术偏差表</w:t>
      </w:r>
    </w:p>
    <w:p w14:paraId="1435917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strike w:val="0"/>
          <w:dstrike w:val="0"/>
          <w:color w:val="auto"/>
          <w:kern w:val="2"/>
          <w:sz w:val="24"/>
          <w:szCs w:val="24"/>
          <w:highlight w:val="none"/>
          <w:lang w:val="en-US" w:eastAsia="zh-CN" w:bidi="ar"/>
        </w:rPr>
      </w:pPr>
      <w:r>
        <w:rPr>
          <w:rFonts w:hint="eastAsia" w:ascii="宋体" w:hAnsi="宋体" w:eastAsia="宋体" w:cs="宋体"/>
          <w:bCs/>
          <w:strike w:val="0"/>
          <w:dstrike w:val="0"/>
          <w:color w:val="auto"/>
          <w:kern w:val="2"/>
          <w:sz w:val="24"/>
          <w:szCs w:val="24"/>
          <w:highlight w:val="none"/>
          <w:lang w:val="en-US" w:eastAsia="zh-CN" w:bidi="ar"/>
        </w:rPr>
        <w:t>商务和技术偏差表</w:t>
      </w:r>
    </w:p>
    <w:p w14:paraId="20CD8DD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strike w:val="0"/>
          <w:dstrike w:val="0"/>
          <w:color w:val="auto"/>
          <w:kern w:val="2"/>
          <w:sz w:val="24"/>
          <w:szCs w:val="24"/>
          <w:highlight w:val="none"/>
          <w:lang w:bidi="ar"/>
        </w:rPr>
      </w:pPr>
      <w:r>
        <w:rPr>
          <w:rFonts w:hint="eastAsia" w:ascii="宋体" w:hAnsi="宋体" w:eastAsia="宋体" w:cs="宋体"/>
          <w:bCs/>
          <w:strike w:val="0"/>
          <w:dstrike w:val="0"/>
          <w:color w:val="auto"/>
          <w:kern w:val="2"/>
          <w:sz w:val="24"/>
          <w:szCs w:val="24"/>
          <w:highlight w:val="none"/>
          <w:lang w:eastAsia="zh-CN" w:bidi="ar"/>
        </w:rPr>
        <w:t>（</w:t>
      </w:r>
      <w:r>
        <w:rPr>
          <w:rFonts w:hint="eastAsia" w:ascii="宋体" w:hAnsi="宋体" w:eastAsia="宋体" w:cs="宋体"/>
          <w:bCs/>
          <w:i w:val="0"/>
          <w:caps w:val="0"/>
          <w:color w:val="auto"/>
          <w:spacing w:val="0"/>
          <w:sz w:val="24"/>
          <w:szCs w:val="24"/>
          <w:highlight w:val="none"/>
          <w:shd w:val="clear" w:fill="auto"/>
          <w:lang w:bidi="ar"/>
        </w:rPr>
        <w:t>第十五届全运会广东奥林匹克体育中心升级改造项目</w:t>
      </w:r>
      <w:r>
        <w:rPr>
          <w:rFonts w:hint="eastAsia" w:ascii="宋体" w:hAnsi="宋体" w:eastAsia="宋体" w:cs="宋体"/>
          <w:bCs/>
          <w:strike w:val="0"/>
          <w:dstrike w:val="0"/>
          <w:color w:val="auto"/>
          <w:kern w:val="2"/>
          <w:sz w:val="24"/>
          <w:szCs w:val="24"/>
          <w:highlight w:val="none"/>
          <w:lang w:eastAsia="zh-CN" w:bidi="ar"/>
        </w:rPr>
        <w:t>）</w:t>
      </w:r>
    </w:p>
    <w:tbl>
      <w:tblPr>
        <w:tblStyle w:val="10"/>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8"/>
        <w:gridCol w:w="2673"/>
        <w:gridCol w:w="1630"/>
        <w:gridCol w:w="851"/>
        <w:gridCol w:w="1417"/>
        <w:gridCol w:w="1417"/>
      </w:tblGrid>
      <w:tr w14:paraId="0636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3"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3B17885B">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序号</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6341A9D1">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招标文件章节及条款号</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0ED143D4">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投标文件章节及条款号</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E187A0A">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要求</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1AE56E15">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是否偏离（无偏离/正偏离/负偏离）</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E72C453">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偏离说明</w:t>
            </w:r>
          </w:p>
        </w:tc>
      </w:tr>
      <w:tr w14:paraId="639B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0E02F3B8">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1</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0F889F51">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075C39DB">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54506AB">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192AEF68">
            <w:pPr>
              <w:keepNext w:val="0"/>
              <w:keepLines w:val="0"/>
              <w:widowControl w:val="0"/>
              <w:suppressLineNumbers w:val="0"/>
              <w:spacing w:before="0" w:beforeAutospacing="0" w:after="0" w:afterAutospacing="0"/>
              <w:ind w:left="0" w:right="0"/>
              <w:jc w:val="center"/>
              <w:rPr>
                <w:rFonts w:hint="default" w:ascii="宋体" w:hAnsi="宋体" w:eastAsia="宋体" w:cs="宋体"/>
                <w:b/>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5D6A1C8">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r>
      <w:tr w14:paraId="6500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2453107D">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2</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7A39D4A6">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548508FD">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BBEA8E5">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6209DE66">
            <w:pPr>
              <w:keepNext w:val="0"/>
              <w:keepLines w:val="0"/>
              <w:widowControl w:val="0"/>
              <w:suppressLineNumbers w:val="0"/>
              <w:spacing w:before="0" w:beforeAutospacing="0" w:after="0" w:afterAutospacing="0"/>
              <w:ind w:left="0" w:right="0"/>
              <w:jc w:val="center"/>
              <w:rPr>
                <w:rFonts w:hint="default" w:ascii="宋体" w:hAnsi="宋体" w:eastAsia="宋体" w:cs="宋体"/>
                <w:b/>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EEDD198">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r>
      <w:tr w14:paraId="7A38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0E6C79C3">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3</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1BA0F3D1">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0E6B4DBD">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8FFB8FE">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4BA6B720">
            <w:pPr>
              <w:keepNext w:val="0"/>
              <w:keepLines w:val="0"/>
              <w:widowControl w:val="0"/>
              <w:suppressLineNumbers w:val="0"/>
              <w:spacing w:before="0" w:beforeAutospacing="0" w:after="0" w:afterAutospacing="0"/>
              <w:ind w:left="0" w:right="0"/>
              <w:jc w:val="center"/>
              <w:rPr>
                <w:rFonts w:hint="default" w:ascii="宋体" w:hAnsi="宋体" w:eastAsia="宋体" w:cs="宋体"/>
                <w:b/>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8227D8A">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r>
      <w:tr w14:paraId="7875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668974D6">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4</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2DD4B6B6">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47DDAD49">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D352068">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38AF7C9B">
            <w:pPr>
              <w:keepNext w:val="0"/>
              <w:keepLines w:val="0"/>
              <w:widowControl w:val="0"/>
              <w:suppressLineNumbers w:val="0"/>
              <w:spacing w:before="0" w:beforeAutospacing="0" w:after="0" w:afterAutospacing="0"/>
              <w:ind w:left="0" w:right="0"/>
              <w:jc w:val="center"/>
              <w:rPr>
                <w:rFonts w:hint="default" w:ascii="宋体" w:hAnsi="宋体" w:eastAsia="宋体" w:cs="宋体"/>
                <w:b/>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46FEFDD">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r>
      <w:tr w14:paraId="71DC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5CDC6584">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5</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67BFE5E2">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320061E2">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2652021">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2E631064">
            <w:pPr>
              <w:keepNext w:val="0"/>
              <w:keepLines w:val="0"/>
              <w:widowControl w:val="0"/>
              <w:suppressLineNumbers w:val="0"/>
              <w:spacing w:before="0" w:beforeAutospacing="0" w:after="0" w:afterAutospacing="0"/>
              <w:ind w:left="0" w:right="0"/>
              <w:jc w:val="center"/>
              <w:rPr>
                <w:rFonts w:hint="default" w:ascii="宋体" w:hAnsi="宋体" w:eastAsia="宋体" w:cs="宋体"/>
                <w:b/>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BB33A76">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r>
      <w:tr w14:paraId="6356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2A86F603">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6</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2AC5764D">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03EC5B5E">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70146D5">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7D0366D3">
            <w:pPr>
              <w:keepNext w:val="0"/>
              <w:keepLines w:val="0"/>
              <w:widowControl w:val="0"/>
              <w:suppressLineNumbers w:val="0"/>
              <w:spacing w:before="0" w:beforeAutospacing="0" w:after="0" w:afterAutospacing="0"/>
              <w:ind w:left="0" w:right="0"/>
              <w:jc w:val="center"/>
              <w:rPr>
                <w:rFonts w:hint="default" w:ascii="宋体" w:hAnsi="宋体" w:eastAsia="宋体" w:cs="宋体"/>
                <w:b/>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7CC37F1">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r>
      <w:tr w14:paraId="348C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2C454F2E">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7</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785DB014">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4AE22F11">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1E801E6">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3136B5F1">
            <w:pPr>
              <w:keepNext w:val="0"/>
              <w:keepLines w:val="0"/>
              <w:widowControl w:val="0"/>
              <w:suppressLineNumbers w:val="0"/>
              <w:spacing w:before="0" w:beforeAutospacing="0" w:after="0" w:afterAutospacing="0"/>
              <w:ind w:left="0" w:right="0"/>
              <w:jc w:val="center"/>
              <w:rPr>
                <w:rFonts w:hint="default" w:ascii="宋体" w:hAnsi="宋体" w:eastAsia="宋体" w:cs="宋体"/>
                <w:b/>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3493EBA">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r>
      <w:tr w14:paraId="7F2D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395E18F1">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8</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3E1C263F">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70B9D01E">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14:paraId="648A156D">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21A4FFDF">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B9F1FF7">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r>
      <w:tr w14:paraId="4DA7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1817BF81">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9</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3700FD5F">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6998D5B0">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14:paraId="4AFEA6D6">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7BC04D3E">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768B65F">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r>
      <w:tr w14:paraId="3E4A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680F4B40">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10</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7E5282D6">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1AEB3A50">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14:paraId="44167EFF">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79A6F596">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67031B1">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r>
      <w:tr w14:paraId="452C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395F81CD">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11</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0D379EDB">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39D00BF1">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14:paraId="2E11870F">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541F826E">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8D266DF">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r>
      <w:tr w14:paraId="5811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036CC34D">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02565626">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5BEE44B0">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14:paraId="15FA7C76">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77DC9E74">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B1C0B18">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r>
    </w:tbl>
    <w:p w14:paraId="5541F9F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trike w:val="0"/>
          <w:dstrike w:val="0"/>
          <w:color w:val="auto"/>
          <w:kern w:val="2"/>
          <w:sz w:val="24"/>
          <w:szCs w:val="24"/>
          <w:highlight w:val="none"/>
        </w:rPr>
      </w:pPr>
    </w:p>
    <w:p w14:paraId="128674E9">
      <w:pPr>
        <w:keepNext w:val="0"/>
        <w:keepLines w:val="0"/>
        <w:widowControl w:val="0"/>
        <w:suppressLineNumbers w:val="0"/>
        <w:spacing w:before="0" w:beforeAutospacing="0" w:after="0" w:afterAutospacing="0"/>
        <w:ind w:left="0" w:right="0" w:firstLine="480"/>
        <w:jc w:val="both"/>
        <w:rPr>
          <w:rFonts w:hint="eastAsia" w:ascii="宋体" w:hAnsi="宋体" w:eastAsia="宋体" w:cs="宋体"/>
          <w:strike/>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注：1.投标人按招标文件有标注的“★”、“▲”号条款进行填写。</w:t>
      </w:r>
    </w:p>
    <w:p w14:paraId="71AC1EEC">
      <w:pPr>
        <w:keepNext w:val="0"/>
        <w:keepLines w:val="0"/>
        <w:widowControl w:val="0"/>
        <w:suppressLineNumbers w:val="0"/>
        <w:spacing w:before="0" w:beforeAutospacing="0" w:after="0" w:afterAutospacing="0"/>
        <w:ind w:left="0" w:right="0" w:firstLine="480"/>
        <w:jc w:val="both"/>
        <w:rPr>
          <w:rFonts w:hint="eastAsia" w:ascii="宋体" w:hAnsi="宋体" w:eastAsia="宋体" w:cs="宋体"/>
          <w:strike w:val="0"/>
          <w:dstrike w:val="0"/>
          <w:color w:val="auto"/>
          <w:kern w:val="2"/>
          <w:sz w:val="21"/>
          <w:szCs w:val="21"/>
          <w:highlight w:val="none"/>
          <w:lang w:bidi="ar"/>
        </w:rPr>
      </w:pPr>
      <w:r>
        <w:rPr>
          <w:rFonts w:hint="eastAsia" w:ascii="宋体" w:hAnsi="宋体" w:eastAsia="宋体" w:cs="宋体"/>
          <w:strike w:val="0"/>
          <w:dstrike w:val="0"/>
          <w:color w:val="auto"/>
          <w:kern w:val="2"/>
          <w:sz w:val="21"/>
          <w:szCs w:val="21"/>
          <w:highlight w:val="none"/>
          <w:lang w:val="en-US" w:eastAsia="zh-CN" w:bidi="ar"/>
        </w:rPr>
        <w:t>2. “是否偏离”项下应按下列规定填写：优于的，填写“正偏离”；符合的，填写“无偏离”；低于的，填写“负偏离”。</w:t>
      </w:r>
    </w:p>
    <w:p w14:paraId="7691AA85">
      <w:pPr>
        <w:keepNext w:val="0"/>
        <w:keepLines w:val="0"/>
        <w:widowControl w:val="0"/>
        <w:suppressLineNumbers w:val="0"/>
        <w:spacing w:before="0" w:beforeAutospacing="0" w:after="0" w:afterAutospacing="0"/>
        <w:ind w:left="0" w:right="0" w:firstLine="480"/>
        <w:jc w:val="both"/>
        <w:rPr>
          <w:rFonts w:hint="eastAsia" w:ascii="宋体" w:hAnsi="宋体" w:eastAsia="宋体" w:cs="宋体"/>
          <w:strike w:val="0"/>
          <w:dstrike w:val="0"/>
          <w:color w:val="auto"/>
          <w:kern w:val="2"/>
          <w:sz w:val="21"/>
          <w:szCs w:val="21"/>
          <w:highlight w:val="none"/>
          <w:lang w:bidi="ar"/>
        </w:rPr>
      </w:pPr>
      <w:r>
        <w:rPr>
          <w:rFonts w:hint="eastAsia" w:ascii="宋体" w:hAnsi="宋体" w:eastAsia="宋体" w:cs="宋体"/>
          <w:strike w:val="0"/>
          <w:dstrike w:val="0"/>
          <w:color w:val="auto"/>
          <w:kern w:val="2"/>
          <w:sz w:val="21"/>
          <w:szCs w:val="21"/>
          <w:highlight w:val="none"/>
          <w:lang w:val="en-US" w:eastAsia="zh-CN" w:bidi="ar"/>
        </w:rPr>
        <w:t>3.投标人须在“偏离说明”栏内说明偏离情况，如描述不能清晰表达偏离情况，</w:t>
      </w:r>
      <w:r>
        <w:rPr>
          <w:rFonts w:hint="default" w:ascii="宋体" w:hAnsi="宋体" w:eastAsia="宋体" w:cs="宋体"/>
          <w:strike w:val="0"/>
          <w:dstrike w:val="0"/>
          <w:color w:val="auto"/>
          <w:kern w:val="2"/>
          <w:sz w:val="21"/>
          <w:szCs w:val="21"/>
          <w:highlight w:val="none"/>
          <w:lang w:eastAsia="zh-CN" w:bidi="ar"/>
        </w:rPr>
        <w:t>视为“无偏离”</w:t>
      </w:r>
      <w:r>
        <w:rPr>
          <w:rFonts w:hint="eastAsia" w:ascii="宋体" w:hAnsi="宋体" w:eastAsia="宋体" w:cs="宋体"/>
          <w:strike w:val="0"/>
          <w:dstrike w:val="0"/>
          <w:color w:val="auto"/>
          <w:kern w:val="2"/>
          <w:sz w:val="21"/>
          <w:szCs w:val="21"/>
          <w:highlight w:val="none"/>
          <w:lang w:val="en-US" w:eastAsia="zh-CN" w:bidi="ar"/>
        </w:rPr>
        <w:t>。</w:t>
      </w:r>
    </w:p>
    <w:p w14:paraId="1F6E0394">
      <w:pPr>
        <w:keepNext w:val="0"/>
        <w:keepLines w:val="0"/>
        <w:widowControl w:val="0"/>
        <w:suppressLineNumbers w:val="0"/>
        <w:spacing w:before="0" w:beforeAutospacing="0" w:after="0" w:afterAutospacing="0"/>
        <w:ind w:left="0" w:right="0" w:firstLine="480"/>
        <w:jc w:val="both"/>
        <w:rPr>
          <w:rFonts w:hint="eastAsia" w:ascii="宋体" w:hAnsi="宋体" w:eastAsia="宋体" w:cs="宋体"/>
          <w:strike w:val="0"/>
          <w:dstrike w:val="0"/>
          <w:color w:val="auto"/>
          <w:kern w:val="2"/>
          <w:sz w:val="21"/>
          <w:szCs w:val="21"/>
          <w:highlight w:val="none"/>
          <w:lang w:val="en-US" w:eastAsia="zh-CN" w:bidi="ar"/>
        </w:rPr>
      </w:pPr>
      <w:r>
        <w:rPr>
          <w:rFonts w:hint="eastAsia" w:ascii="宋体" w:hAnsi="宋体" w:eastAsia="宋体" w:cs="宋体"/>
          <w:strike w:val="0"/>
          <w:dstrike w:val="0"/>
          <w:color w:val="auto"/>
          <w:kern w:val="2"/>
          <w:sz w:val="21"/>
          <w:szCs w:val="21"/>
          <w:highlight w:val="none"/>
          <w:lang w:val="en-US" w:eastAsia="zh-CN" w:bidi="ar"/>
        </w:rPr>
        <w:t>4.投标人保证：除商务和技术偏差表列出的偏差外，投标人响应招标文件的全部要求。</w:t>
      </w:r>
    </w:p>
    <w:p w14:paraId="1BF2F4C5">
      <w:pPr>
        <w:pStyle w:val="8"/>
        <w:keepNext w:val="0"/>
        <w:keepLines w:val="0"/>
        <w:widowControl w:val="0"/>
        <w:suppressLineNumbers w:val="0"/>
        <w:spacing w:before="0" w:beforeAutospacing="1" w:after="120" w:afterAutospacing="0"/>
        <w:ind w:left="0" w:right="0"/>
        <w:jc w:val="both"/>
        <w:rPr>
          <w:rFonts w:hint="default" w:ascii="Calibri" w:hAnsi="Calibri" w:eastAsia="宋体" w:cs="宋体"/>
          <w:strike w:val="0"/>
          <w:color w:val="auto"/>
          <w:kern w:val="0"/>
          <w:sz w:val="20"/>
          <w:szCs w:val="20"/>
          <w:highlight w:val="none"/>
        </w:rPr>
      </w:pPr>
    </w:p>
    <w:p w14:paraId="2D2D3578">
      <w:pPr>
        <w:pStyle w:val="8"/>
        <w:keepNext w:val="0"/>
        <w:keepLines w:val="0"/>
        <w:widowControl w:val="0"/>
        <w:suppressLineNumbers w:val="0"/>
        <w:spacing w:before="0" w:beforeAutospacing="1" w:after="120" w:afterAutospacing="0"/>
        <w:ind w:left="0" w:right="0"/>
        <w:jc w:val="both"/>
        <w:rPr>
          <w:rFonts w:hint="eastAsia" w:ascii="Calibri" w:hAnsi="Calibri" w:eastAsia="宋体" w:cs="宋体"/>
          <w:strike w:val="0"/>
          <w:color w:val="auto"/>
          <w:kern w:val="0"/>
          <w:sz w:val="20"/>
          <w:szCs w:val="20"/>
          <w:highlight w:val="none"/>
        </w:rPr>
      </w:pPr>
      <w:r>
        <w:rPr>
          <w:rFonts w:hint="eastAsia" w:ascii="Calibri" w:hAnsi="Calibri" w:eastAsia="宋体" w:cs="宋体"/>
          <w:strike w:val="0"/>
          <w:color w:val="auto"/>
          <w:kern w:val="0"/>
          <w:sz w:val="20"/>
          <w:szCs w:val="20"/>
          <w:highlight w:val="none"/>
          <w:lang w:val="en-US" w:eastAsia="zh-CN" w:bidi="ar"/>
        </w:rPr>
        <w:t xml:space="preserve"> </w:t>
      </w:r>
    </w:p>
    <w:p w14:paraId="4C28BDC5">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strike w:val="0"/>
          <w:color w:val="auto"/>
          <w:kern w:val="2"/>
          <w:sz w:val="24"/>
          <w:szCs w:val="24"/>
          <w:highlight w:val="none"/>
        </w:rPr>
      </w:pPr>
      <w:r>
        <w:rPr>
          <w:rFonts w:hint="eastAsia" w:ascii="宋体" w:hAnsi="宋体" w:eastAsia="宋体" w:cs="宋体"/>
          <w:strike w:val="0"/>
          <w:color w:val="auto"/>
          <w:kern w:val="2"/>
          <w:sz w:val="24"/>
          <w:szCs w:val="24"/>
          <w:highlight w:val="none"/>
          <w:lang w:val="en-US" w:eastAsia="zh-CN" w:bidi="ar"/>
        </w:rPr>
        <w:t>投 标 人：</w:t>
      </w:r>
      <w:r>
        <w:rPr>
          <w:rFonts w:hint="eastAsia" w:ascii="宋体" w:hAnsi="宋体" w:eastAsia="宋体" w:cs="宋体"/>
          <w:strike w:val="0"/>
          <w:color w:val="auto"/>
          <w:kern w:val="2"/>
          <w:sz w:val="24"/>
          <w:szCs w:val="24"/>
          <w:highlight w:val="none"/>
          <w:u w:val="single"/>
          <w:lang w:val="en-US" w:eastAsia="zh-CN" w:bidi="ar"/>
        </w:rPr>
        <w:t xml:space="preserve">     </w:t>
      </w:r>
      <w:r>
        <w:rPr>
          <w:rFonts w:hint="eastAsia" w:ascii="宋体" w:hAnsi="宋体" w:eastAsia="宋体" w:cs="宋体"/>
          <w:strike w:val="0"/>
          <w:color w:val="auto"/>
          <w:kern w:val="2"/>
          <w:sz w:val="24"/>
          <w:szCs w:val="24"/>
          <w:highlight w:val="none"/>
          <w:lang w:val="en-US" w:eastAsia="zh-CN" w:bidi="ar"/>
        </w:rPr>
        <w:t>（盖单位章）</w:t>
      </w:r>
    </w:p>
    <w:p w14:paraId="034C882C">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strike w:val="0"/>
          <w:color w:val="auto"/>
          <w:kern w:val="2"/>
          <w:sz w:val="24"/>
          <w:szCs w:val="24"/>
          <w:highlight w:val="none"/>
        </w:rPr>
      </w:pPr>
      <w:r>
        <w:rPr>
          <w:rFonts w:hint="eastAsia" w:ascii="宋体" w:hAnsi="宋体" w:eastAsia="宋体" w:cs="宋体"/>
          <w:strike w:val="0"/>
          <w:color w:val="auto"/>
          <w:kern w:val="2"/>
          <w:sz w:val="24"/>
          <w:szCs w:val="24"/>
          <w:highlight w:val="none"/>
          <w:lang w:val="en-US" w:eastAsia="zh-CN" w:bidi="ar"/>
        </w:rPr>
        <w:t>法定代表人或其委托代理人：</w:t>
      </w:r>
      <w:r>
        <w:rPr>
          <w:rFonts w:hint="eastAsia" w:ascii="宋体" w:hAnsi="宋体" w:eastAsia="宋体" w:cs="宋体"/>
          <w:strike w:val="0"/>
          <w:color w:val="auto"/>
          <w:kern w:val="2"/>
          <w:sz w:val="24"/>
          <w:szCs w:val="24"/>
          <w:highlight w:val="none"/>
          <w:u w:val="single"/>
          <w:lang w:val="en-US" w:eastAsia="zh-CN" w:bidi="ar"/>
        </w:rPr>
        <w:t xml:space="preserve">     </w:t>
      </w:r>
      <w:r>
        <w:rPr>
          <w:rFonts w:hint="eastAsia" w:ascii="宋体" w:hAnsi="宋体" w:eastAsia="宋体" w:cs="宋体"/>
          <w:strike w:val="0"/>
          <w:color w:val="auto"/>
          <w:kern w:val="2"/>
          <w:sz w:val="24"/>
          <w:szCs w:val="24"/>
          <w:highlight w:val="none"/>
          <w:lang w:val="en-US" w:eastAsia="zh-CN" w:bidi="ar"/>
        </w:rPr>
        <w:t>（签字或盖章）</w:t>
      </w:r>
    </w:p>
    <w:p w14:paraId="4A273D77">
      <w:pPr>
        <w:pStyle w:val="8"/>
        <w:keepNext w:val="0"/>
        <w:keepLines w:val="0"/>
        <w:widowControl w:val="0"/>
        <w:suppressLineNumbers w:val="0"/>
        <w:spacing w:before="0" w:beforeAutospacing="1" w:after="0" w:afterAutospacing="0" w:line="360" w:lineRule="auto"/>
        <w:ind w:left="0" w:right="0" w:firstLine="0" w:firstLineChars="0"/>
        <w:jc w:val="right"/>
        <w:rPr>
          <w:rFonts w:hint="eastAsia" w:ascii="宋体" w:hAnsi="宋体" w:eastAsia="宋体" w:cs="宋体"/>
          <w:color w:val="auto"/>
          <w:kern w:val="0"/>
          <w:sz w:val="24"/>
          <w:szCs w:val="24"/>
          <w:highlight w:val="none"/>
        </w:rPr>
      </w:pPr>
      <w:r>
        <w:rPr>
          <w:rFonts w:hint="eastAsia" w:ascii="宋体" w:hAnsi="宋体" w:eastAsia="宋体" w:cs="宋体"/>
          <w:strike w:val="0"/>
          <w:color w:val="auto"/>
          <w:kern w:val="0"/>
          <w:sz w:val="24"/>
          <w:szCs w:val="24"/>
          <w:highlight w:val="none"/>
          <w:u w:val="single"/>
          <w:lang w:val="en-US" w:eastAsia="zh-CN" w:bidi="ar"/>
        </w:rPr>
        <w:t xml:space="preserve">     </w:t>
      </w:r>
      <w:r>
        <w:rPr>
          <w:rFonts w:hint="eastAsia" w:ascii="宋体" w:hAnsi="宋体" w:eastAsia="宋体" w:cs="宋体"/>
          <w:strike w:val="0"/>
          <w:color w:val="auto"/>
          <w:kern w:val="0"/>
          <w:sz w:val="24"/>
          <w:szCs w:val="24"/>
          <w:highlight w:val="none"/>
          <w:lang w:val="en-US" w:eastAsia="zh-CN" w:bidi="ar"/>
        </w:rPr>
        <w:t>年</w:t>
      </w:r>
      <w:r>
        <w:rPr>
          <w:rFonts w:hint="eastAsia" w:ascii="宋体" w:hAnsi="宋体" w:eastAsia="宋体" w:cs="宋体"/>
          <w:strike w:val="0"/>
          <w:color w:val="auto"/>
          <w:kern w:val="0"/>
          <w:sz w:val="24"/>
          <w:szCs w:val="24"/>
          <w:highlight w:val="none"/>
          <w:u w:val="single"/>
          <w:lang w:val="en-US" w:eastAsia="zh-CN" w:bidi="ar"/>
        </w:rPr>
        <w:t xml:space="preserve">     </w:t>
      </w:r>
      <w:r>
        <w:rPr>
          <w:rFonts w:hint="eastAsia" w:ascii="宋体" w:hAnsi="宋体" w:eastAsia="宋体" w:cs="宋体"/>
          <w:strike w:val="0"/>
          <w:color w:val="auto"/>
          <w:kern w:val="0"/>
          <w:sz w:val="24"/>
          <w:szCs w:val="24"/>
          <w:highlight w:val="none"/>
          <w:lang w:val="en-US" w:eastAsia="zh-CN" w:bidi="ar"/>
        </w:rPr>
        <w:t>月</w:t>
      </w:r>
      <w:r>
        <w:rPr>
          <w:rFonts w:hint="eastAsia" w:ascii="宋体" w:hAnsi="宋体" w:eastAsia="宋体" w:cs="宋体"/>
          <w:strike w:val="0"/>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14:paraId="2EA22AE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strike w:val="0"/>
          <w:dstrike w:val="0"/>
          <w:color w:val="auto"/>
          <w:kern w:val="2"/>
          <w:sz w:val="24"/>
          <w:szCs w:val="24"/>
          <w:highlight w:val="none"/>
          <w:lang w:val="en-US" w:eastAsia="zh-CN" w:bidi="ar"/>
        </w:rPr>
      </w:pPr>
      <w:r>
        <w:rPr>
          <w:rFonts w:hint="eastAsia" w:ascii="宋体" w:hAnsi="宋体" w:eastAsia="宋体" w:cs="宋体"/>
          <w:bCs/>
          <w:strike w:val="0"/>
          <w:dstrike w:val="0"/>
          <w:color w:val="auto"/>
          <w:kern w:val="2"/>
          <w:sz w:val="24"/>
          <w:szCs w:val="24"/>
          <w:highlight w:val="none"/>
          <w:lang w:val="en-US" w:eastAsia="zh-CN" w:bidi="ar"/>
        </w:rPr>
        <w:br w:type="page"/>
      </w:r>
    </w:p>
    <w:p w14:paraId="67BF0A1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strike w:val="0"/>
          <w:dstrike w:val="0"/>
          <w:color w:val="auto"/>
          <w:kern w:val="2"/>
          <w:sz w:val="24"/>
          <w:szCs w:val="24"/>
          <w:highlight w:val="none"/>
          <w:lang w:val="en-US" w:eastAsia="zh-CN" w:bidi="ar"/>
        </w:rPr>
      </w:pPr>
      <w:r>
        <w:rPr>
          <w:rFonts w:hint="eastAsia" w:ascii="宋体" w:hAnsi="宋体" w:eastAsia="宋体" w:cs="宋体"/>
          <w:bCs/>
          <w:strike w:val="0"/>
          <w:dstrike w:val="0"/>
          <w:color w:val="auto"/>
          <w:kern w:val="2"/>
          <w:sz w:val="24"/>
          <w:szCs w:val="24"/>
          <w:highlight w:val="none"/>
          <w:lang w:val="en-US" w:eastAsia="zh-CN" w:bidi="ar"/>
        </w:rPr>
        <w:t>商务和技术偏差表</w:t>
      </w:r>
    </w:p>
    <w:p w14:paraId="5B9B19F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strike w:val="0"/>
          <w:dstrike w:val="0"/>
          <w:color w:val="auto"/>
          <w:kern w:val="2"/>
          <w:sz w:val="24"/>
          <w:szCs w:val="24"/>
          <w:highlight w:val="none"/>
          <w:lang w:bidi="ar"/>
        </w:rPr>
      </w:pPr>
      <w:r>
        <w:rPr>
          <w:rFonts w:hint="eastAsia" w:ascii="宋体" w:hAnsi="宋体" w:eastAsia="宋体" w:cs="宋体"/>
          <w:bCs/>
          <w:strike w:val="0"/>
          <w:dstrike w:val="0"/>
          <w:color w:val="auto"/>
          <w:kern w:val="2"/>
          <w:sz w:val="24"/>
          <w:szCs w:val="24"/>
          <w:highlight w:val="none"/>
          <w:lang w:eastAsia="zh-CN" w:bidi="ar"/>
        </w:rPr>
        <w:t>（</w:t>
      </w:r>
      <w:r>
        <w:rPr>
          <w:rFonts w:hint="eastAsia" w:ascii="宋体" w:hAnsi="宋体" w:eastAsia="宋体" w:cs="宋体"/>
          <w:bCs/>
          <w:i w:val="0"/>
          <w:caps w:val="0"/>
          <w:color w:val="auto"/>
          <w:spacing w:val="0"/>
          <w:sz w:val="24"/>
          <w:szCs w:val="24"/>
          <w:highlight w:val="none"/>
          <w:shd w:val="clear" w:fill="auto"/>
          <w:lang w:bidi="ar"/>
        </w:rPr>
        <w:t>第十五届全运会广东省人民体育场改造项目</w:t>
      </w:r>
      <w:r>
        <w:rPr>
          <w:rFonts w:hint="eastAsia" w:ascii="宋体" w:hAnsi="宋体" w:eastAsia="宋体" w:cs="宋体"/>
          <w:bCs/>
          <w:strike w:val="0"/>
          <w:dstrike w:val="0"/>
          <w:color w:val="auto"/>
          <w:kern w:val="2"/>
          <w:sz w:val="24"/>
          <w:szCs w:val="24"/>
          <w:highlight w:val="none"/>
          <w:lang w:eastAsia="zh-CN" w:bidi="ar"/>
        </w:rPr>
        <w:t>）</w:t>
      </w:r>
    </w:p>
    <w:tbl>
      <w:tblPr>
        <w:tblStyle w:val="10"/>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8"/>
        <w:gridCol w:w="2673"/>
        <w:gridCol w:w="1630"/>
        <w:gridCol w:w="851"/>
        <w:gridCol w:w="1417"/>
        <w:gridCol w:w="1417"/>
      </w:tblGrid>
      <w:tr w14:paraId="2D6E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3"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4145006F">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序号</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58D46720">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招标文件章节及条款号</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2187C0F3">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投标文件章节及条款号</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7801329">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要求</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75DCD9B4">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是否偏离（无偏离/正偏离/负偏离）</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83BA7A1">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偏离说明</w:t>
            </w:r>
          </w:p>
        </w:tc>
      </w:tr>
      <w:tr w14:paraId="76ED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71E2F8E5">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1</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6FBF2614">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1B71E3F2">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67717B7">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2913C055">
            <w:pPr>
              <w:keepNext w:val="0"/>
              <w:keepLines w:val="0"/>
              <w:widowControl w:val="0"/>
              <w:suppressLineNumbers w:val="0"/>
              <w:spacing w:before="0" w:beforeAutospacing="0" w:after="0" w:afterAutospacing="0"/>
              <w:ind w:left="0" w:right="0"/>
              <w:jc w:val="center"/>
              <w:rPr>
                <w:rFonts w:hint="default" w:ascii="宋体" w:hAnsi="宋体" w:eastAsia="宋体" w:cs="宋体"/>
                <w:b/>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64133BB">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r>
      <w:tr w14:paraId="234B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7ABF79DF">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2</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230C9E31">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1F07D80C">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92A7352">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1B38A45A">
            <w:pPr>
              <w:keepNext w:val="0"/>
              <w:keepLines w:val="0"/>
              <w:widowControl w:val="0"/>
              <w:suppressLineNumbers w:val="0"/>
              <w:spacing w:before="0" w:beforeAutospacing="0" w:after="0" w:afterAutospacing="0"/>
              <w:ind w:left="0" w:right="0"/>
              <w:jc w:val="center"/>
              <w:rPr>
                <w:rFonts w:hint="default" w:ascii="宋体" w:hAnsi="宋体" w:eastAsia="宋体" w:cs="宋体"/>
                <w:b/>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2F3F11F">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r>
      <w:tr w14:paraId="12A3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6AF9DF7B">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3</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6C47D838">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38D33336">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3215F87">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6E8FA888">
            <w:pPr>
              <w:keepNext w:val="0"/>
              <w:keepLines w:val="0"/>
              <w:widowControl w:val="0"/>
              <w:suppressLineNumbers w:val="0"/>
              <w:spacing w:before="0" w:beforeAutospacing="0" w:after="0" w:afterAutospacing="0"/>
              <w:ind w:left="0" w:right="0"/>
              <w:jc w:val="center"/>
              <w:rPr>
                <w:rFonts w:hint="default" w:ascii="宋体" w:hAnsi="宋体" w:eastAsia="宋体" w:cs="宋体"/>
                <w:b/>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9F7DAFF">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r>
      <w:tr w14:paraId="2983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648491EB">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4</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712479C0">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7C8A394E">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369D908">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6FBE5461">
            <w:pPr>
              <w:keepNext w:val="0"/>
              <w:keepLines w:val="0"/>
              <w:widowControl w:val="0"/>
              <w:suppressLineNumbers w:val="0"/>
              <w:spacing w:before="0" w:beforeAutospacing="0" w:after="0" w:afterAutospacing="0"/>
              <w:ind w:left="0" w:right="0"/>
              <w:jc w:val="center"/>
              <w:rPr>
                <w:rFonts w:hint="default" w:ascii="宋体" w:hAnsi="宋体" w:eastAsia="宋体" w:cs="宋体"/>
                <w:b/>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C981DB3">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r>
      <w:tr w14:paraId="58C5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55431413">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5</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3F53CF84">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60356451">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D7D0ABE">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68C73303">
            <w:pPr>
              <w:keepNext w:val="0"/>
              <w:keepLines w:val="0"/>
              <w:widowControl w:val="0"/>
              <w:suppressLineNumbers w:val="0"/>
              <w:spacing w:before="0" w:beforeAutospacing="0" w:after="0" w:afterAutospacing="0"/>
              <w:ind w:left="0" w:right="0"/>
              <w:jc w:val="center"/>
              <w:rPr>
                <w:rFonts w:hint="default" w:ascii="宋体" w:hAnsi="宋体" w:eastAsia="宋体" w:cs="宋体"/>
                <w:b/>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DFAB0DC">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r>
      <w:tr w14:paraId="1FA6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1E000A57">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6</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230CF150">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1EFC71EA">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06C35B7">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1693DBB8">
            <w:pPr>
              <w:keepNext w:val="0"/>
              <w:keepLines w:val="0"/>
              <w:widowControl w:val="0"/>
              <w:suppressLineNumbers w:val="0"/>
              <w:spacing w:before="0" w:beforeAutospacing="0" w:after="0" w:afterAutospacing="0"/>
              <w:ind w:left="0" w:right="0"/>
              <w:jc w:val="center"/>
              <w:rPr>
                <w:rFonts w:hint="default" w:ascii="宋体" w:hAnsi="宋体" w:eastAsia="宋体" w:cs="宋体"/>
                <w:b/>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D0595CF">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r>
      <w:tr w14:paraId="56D3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1C6064EC">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7</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29CCF749">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0ADB4AE7">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23EC8D7">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756927A1">
            <w:pPr>
              <w:keepNext w:val="0"/>
              <w:keepLines w:val="0"/>
              <w:widowControl w:val="0"/>
              <w:suppressLineNumbers w:val="0"/>
              <w:spacing w:before="0" w:beforeAutospacing="0" w:after="0" w:afterAutospacing="0"/>
              <w:ind w:left="0" w:right="0"/>
              <w:jc w:val="center"/>
              <w:rPr>
                <w:rFonts w:hint="default" w:ascii="宋体" w:hAnsi="宋体" w:eastAsia="宋体" w:cs="宋体"/>
                <w:b/>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D811CB6">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r>
      <w:tr w14:paraId="340C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5E91991B">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8</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3723D17F">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3EAFFB29">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14:paraId="0CCB7306">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1A9F918B">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952D6F8">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r>
      <w:tr w14:paraId="2BFC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0D01B849">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9</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5DF25870">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2FE44D1E">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14:paraId="24AAF32A">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0E1EC758">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9BA66A9">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r>
      <w:tr w14:paraId="7500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53C8C10D">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10</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3F6BDCA2">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66AF43E6">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14:paraId="6766FA08">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0CFDDB6A">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5EDC858">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r>
      <w:tr w14:paraId="0B15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26D52165">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11</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52EDDB01">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69372690">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14:paraId="1515E080">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445AC1F7">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871CAD1">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r>
      <w:tr w14:paraId="38DD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4627BF68">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77AC43F8">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0EA724AC">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14:paraId="0A60979E">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44050521">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1ED5948">
            <w:pPr>
              <w:keepNext w:val="0"/>
              <w:keepLines w:val="0"/>
              <w:widowControl w:val="0"/>
              <w:suppressLineNumbers w:val="0"/>
              <w:spacing w:before="0" w:beforeAutospacing="0" w:after="0" w:afterAutospacing="0"/>
              <w:ind w:left="0" w:right="0"/>
              <w:jc w:val="both"/>
              <w:rPr>
                <w:rFonts w:hint="default" w:ascii="宋体" w:hAnsi="宋体" w:eastAsia="宋体" w:cs="宋体"/>
                <w:strike w:val="0"/>
                <w:dstrike w:val="0"/>
                <w:color w:val="auto"/>
                <w:kern w:val="2"/>
                <w:sz w:val="21"/>
                <w:szCs w:val="21"/>
                <w:highlight w:val="none"/>
              </w:rPr>
            </w:pPr>
          </w:p>
        </w:tc>
      </w:tr>
    </w:tbl>
    <w:p w14:paraId="5C1BF7A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trike w:val="0"/>
          <w:dstrike w:val="0"/>
          <w:color w:val="auto"/>
          <w:kern w:val="2"/>
          <w:sz w:val="24"/>
          <w:szCs w:val="24"/>
          <w:highlight w:val="none"/>
        </w:rPr>
      </w:pPr>
      <w:r>
        <w:rPr>
          <w:rFonts w:hint="eastAsia" w:ascii="宋体" w:hAnsi="宋体" w:eastAsia="宋体" w:cs="宋体"/>
          <w:b/>
          <w:bCs w:val="0"/>
          <w:strike w:val="0"/>
          <w:dstrike w:val="0"/>
          <w:color w:val="auto"/>
          <w:kern w:val="2"/>
          <w:sz w:val="24"/>
          <w:szCs w:val="24"/>
          <w:highlight w:val="none"/>
          <w:lang w:val="en-US" w:eastAsia="zh-CN" w:bidi="ar"/>
        </w:rPr>
        <w:t xml:space="preserve"> </w:t>
      </w:r>
    </w:p>
    <w:p w14:paraId="4EBDE649">
      <w:pPr>
        <w:keepNext w:val="0"/>
        <w:keepLines w:val="0"/>
        <w:widowControl w:val="0"/>
        <w:suppressLineNumbers w:val="0"/>
        <w:spacing w:before="0" w:beforeAutospacing="0" w:after="0" w:afterAutospacing="0"/>
        <w:ind w:left="0" w:right="0" w:firstLine="480"/>
        <w:jc w:val="both"/>
        <w:rPr>
          <w:rFonts w:hint="eastAsia"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注：1.投标人按招标文件有标注的“★”、“▲”号条款进行填写。</w:t>
      </w:r>
    </w:p>
    <w:p w14:paraId="478E9A37">
      <w:pPr>
        <w:keepNext w:val="0"/>
        <w:keepLines w:val="0"/>
        <w:widowControl w:val="0"/>
        <w:suppressLineNumbers w:val="0"/>
        <w:spacing w:before="0" w:beforeAutospacing="0" w:after="0" w:afterAutospacing="0"/>
        <w:ind w:left="0" w:right="0" w:firstLine="480"/>
        <w:jc w:val="both"/>
        <w:rPr>
          <w:rFonts w:hint="eastAsia" w:ascii="宋体" w:hAnsi="宋体" w:eastAsia="宋体" w:cs="宋体"/>
          <w:strike w:val="0"/>
          <w:dstrike w:val="0"/>
          <w:color w:val="auto"/>
          <w:kern w:val="2"/>
          <w:sz w:val="21"/>
          <w:szCs w:val="21"/>
          <w:highlight w:val="none"/>
          <w:lang w:bidi="ar"/>
        </w:rPr>
      </w:pPr>
      <w:r>
        <w:rPr>
          <w:rFonts w:hint="eastAsia" w:ascii="宋体" w:hAnsi="宋体" w:eastAsia="宋体" w:cs="宋体"/>
          <w:strike w:val="0"/>
          <w:dstrike w:val="0"/>
          <w:color w:val="auto"/>
          <w:kern w:val="2"/>
          <w:sz w:val="21"/>
          <w:szCs w:val="21"/>
          <w:highlight w:val="none"/>
          <w:lang w:val="en-US" w:eastAsia="zh-CN" w:bidi="ar"/>
        </w:rPr>
        <w:t>2. “是否偏离”项下应按下列规定填写：优于的，填写“正偏离”；符合的，填写“无偏离”；低于的，填写“负偏离”。</w:t>
      </w:r>
    </w:p>
    <w:p w14:paraId="0CFE39B3">
      <w:pPr>
        <w:keepNext w:val="0"/>
        <w:keepLines w:val="0"/>
        <w:widowControl w:val="0"/>
        <w:suppressLineNumbers w:val="0"/>
        <w:spacing w:before="0" w:beforeAutospacing="0" w:after="0" w:afterAutospacing="0"/>
        <w:ind w:left="0" w:right="0" w:firstLine="480"/>
        <w:jc w:val="both"/>
        <w:rPr>
          <w:rFonts w:hint="eastAsia" w:ascii="宋体" w:hAnsi="宋体" w:eastAsia="宋体" w:cs="宋体"/>
          <w:strike w:val="0"/>
          <w:dstrike w:val="0"/>
          <w:color w:val="auto"/>
          <w:kern w:val="2"/>
          <w:sz w:val="21"/>
          <w:szCs w:val="21"/>
          <w:highlight w:val="none"/>
          <w:lang w:bidi="ar"/>
        </w:rPr>
      </w:pPr>
      <w:r>
        <w:rPr>
          <w:rFonts w:hint="eastAsia" w:ascii="宋体" w:hAnsi="宋体" w:eastAsia="宋体" w:cs="宋体"/>
          <w:strike w:val="0"/>
          <w:dstrike w:val="0"/>
          <w:color w:val="auto"/>
          <w:kern w:val="2"/>
          <w:sz w:val="21"/>
          <w:szCs w:val="21"/>
          <w:highlight w:val="none"/>
          <w:lang w:val="en-US" w:eastAsia="zh-CN" w:bidi="ar"/>
        </w:rPr>
        <w:t>3.投标人须在“偏离说明”栏内说明偏离情况，如描述不能清晰表达偏离情况，</w:t>
      </w:r>
      <w:r>
        <w:rPr>
          <w:rFonts w:hint="default" w:ascii="宋体" w:hAnsi="宋体" w:eastAsia="宋体" w:cs="宋体"/>
          <w:strike w:val="0"/>
          <w:dstrike w:val="0"/>
          <w:color w:val="auto"/>
          <w:kern w:val="2"/>
          <w:sz w:val="21"/>
          <w:szCs w:val="21"/>
          <w:highlight w:val="none"/>
          <w:lang w:eastAsia="zh-CN" w:bidi="ar"/>
        </w:rPr>
        <w:t>视为“无偏离”</w:t>
      </w:r>
      <w:r>
        <w:rPr>
          <w:rFonts w:hint="eastAsia" w:ascii="宋体" w:hAnsi="宋体" w:eastAsia="宋体" w:cs="宋体"/>
          <w:strike w:val="0"/>
          <w:dstrike w:val="0"/>
          <w:color w:val="auto"/>
          <w:kern w:val="2"/>
          <w:sz w:val="21"/>
          <w:szCs w:val="21"/>
          <w:highlight w:val="none"/>
          <w:lang w:val="en-US" w:eastAsia="zh-CN" w:bidi="ar"/>
        </w:rPr>
        <w:t>。</w:t>
      </w:r>
    </w:p>
    <w:p w14:paraId="14E89755">
      <w:pPr>
        <w:keepNext w:val="0"/>
        <w:keepLines w:val="0"/>
        <w:widowControl w:val="0"/>
        <w:suppressLineNumbers w:val="0"/>
        <w:spacing w:before="0" w:beforeAutospacing="0" w:after="0" w:afterAutospacing="0"/>
        <w:ind w:left="0" w:right="0" w:firstLine="480"/>
        <w:jc w:val="both"/>
        <w:rPr>
          <w:rFonts w:hint="eastAsia" w:ascii="宋体" w:hAnsi="宋体" w:eastAsia="宋体" w:cs="宋体"/>
          <w:strike w:val="0"/>
          <w:dstrike w:val="0"/>
          <w:color w:val="auto"/>
          <w:kern w:val="2"/>
          <w:sz w:val="21"/>
          <w:szCs w:val="21"/>
          <w:highlight w:val="none"/>
          <w:lang w:val="en-US" w:eastAsia="zh-CN" w:bidi="ar"/>
        </w:rPr>
      </w:pPr>
      <w:r>
        <w:rPr>
          <w:rFonts w:hint="eastAsia" w:ascii="宋体" w:hAnsi="宋体" w:eastAsia="宋体" w:cs="宋体"/>
          <w:strike w:val="0"/>
          <w:dstrike w:val="0"/>
          <w:color w:val="auto"/>
          <w:kern w:val="2"/>
          <w:sz w:val="21"/>
          <w:szCs w:val="21"/>
          <w:highlight w:val="none"/>
          <w:lang w:val="en-US" w:eastAsia="zh-CN" w:bidi="ar"/>
        </w:rPr>
        <w:t>4.投标人保证：除商务和技术偏差表列出的偏差外，投标人响应招标文件的全部要求。</w:t>
      </w:r>
    </w:p>
    <w:p w14:paraId="73DEFD04">
      <w:pPr>
        <w:pStyle w:val="8"/>
        <w:keepNext w:val="0"/>
        <w:keepLines w:val="0"/>
        <w:widowControl w:val="0"/>
        <w:suppressLineNumbers w:val="0"/>
        <w:spacing w:before="0" w:beforeAutospacing="1" w:after="120" w:afterAutospacing="0"/>
        <w:ind w:left="0" w:right="0"/>
        <w:jc w:val="both"/>
        <w:rPr>
          <w:rFonts w:hint="default" w:ascii="Calibri" w:hAnsi="Calibri" w:eastAsia="宋体" w:cs="宋体"/>
          <w:strike w:val="0"/>
          <w:color w:val="auto"/>
          <w:kern w:val="0"/>
          <w:sz w:val="20"/>
          <w:szCs w:val="20"/>
          <w:highlight w:val="none"/>
        </w:rPr>
      </w:pPr>
    </w:p>
    <w:p w14:paraId="2322DC79">
      <w:pPr>
        <w:pStyle w:val="8"/>
        <w:keepNext w:val="0"/>
        <w:keepLines w:val="0"/>
        <w:widowControl w:val="0"/>
        <w:suppressLineNumbers w:val="0"/>
        <w:spacing w:before="0" w:beforeAutospacing="1" w:after="120" w:afterAutospacing="0"/>
        <w:ind w:left="0" w:right="0"/>
        <w:jc w:val="both"/>
        <w:rPr>
          <w:rFonts w:hint="eastAsia" w:ascii="Calibri" w:hAnsi="Calibri" w:eastAsia="宋体" w:cs="宋体"/>
          <w:strike w:val="0"/>
          <w:color w:val="auto"/>
          <w:kern w:val="0"/>
          <w:sz w:val="20"/>
          <w:szCs w:val="20"/>
          <w:highlight w:val="none"/>
        </w:rPr>
      </w:pPr>
      <w:r>
        <w:rPr>
          <w:rFonts w:hint="eastAsia" w:ascii="Calibri" w:hAnsi="Calibri" w:eastAsia="宋体" w:cs="宋体"/>
          <w:strike w:val="0"/>
          <w:color w:val="auto"/>
          <w:kern w:val="0"/>
          <w:sz w:val="20"/>
          <w:szCs w:val="20"/>
          <w:highlight w:val="none"/>
          <w:lang w:val="en-US" w:eastAsia="zh-CN" w:bidi="ar"/>
        </w:rPr>
        <w:t xml:space="preserve"> </w:t>
      </w:r>
    </w:p>
    <w:p w14:paraId="01FF14CD">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strike w:val="0"/>
          <w:color w:val="auto"/>
          <w:kern w:val="2"/>
          <w:sz w:val="24"/>
          <w:szCs w:val="24"/>
          <w:highlight w:val="none"/>
        </w:rPr>
      </w:pPr>
      <w:r>
        <w:rPr>
          <w:rFonts w:hint="eastAsia" w:ascii="宋体" w:hAnsi="宋体" w:eastAsia="宋体" w:cs="宋体"/>
          <w:strike w:val="0"/>
          <w:color w:val="auto"/>
          <w:kern w:val="2"/>
          <w:sz w:val="24"/>
          <w:szCs w:val="24"/>
          <w:highlight w:val="none"/>
          <w:lang w:val="en-US" w:eastAsia="zh-CN" w:bidi="ar"/>
        </w:rPr>
        <w:t>投 标 人：</w:t>
      </w:r>
      <w:r>
        <w:rPr>
          <w:rFonts w:hint="eastAsia" w:ascii="宋体" w:hAnsi="宋体" w:eastAsia="宋体" w:cs="宋体"/>
          <w:strike w:val="0"/>
          <w:color w:val="auto"/>
          <w:kern w:val="2"/>
          <w:sz w:val="24"/>
          <w:szCs w:val="24"/>
          <w:highlight w:val="none"/>
          <w:u w:val="single"/>
          <w:lang w:val="en-US" w:eastAsia="zh-CN" w:bidi="ar"/>
        </w:rPr>
        <w:t xml:space="preserve">     </w:t>
      </w:r>
      <w:r>
        <w:rPr>
          <w:rFonts w:hint="eastAsia" w:ascii="宋体" w:hAnsi="宋体" w:eastAsia="宋体" w:cs="宋体"/>
          <w:strike w:val="0"/>
          <w:color w:val="auto"/>
          <w:kern w:val="2"/>
          <w:sz w:val="24"/>
          <w:szCs w:val="24"/>
          <w:highlight w:val="none"/>
          <w:lang w:val="en-US" w:eastAsia="zh-CN" w:bidi="ar"/>
        </w:rPr>
        <w:t>（盖单位章）</w:t>
      </w:r>
    </w:p>
    <w:p w14:paraId="11CA576F">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strike w:val="0"/>
          <w:color w:val="auto"/>
          <w:kern w:val="2"/>
          <w:sz w:val="24"/>
          <w:szCs w:val="24"/>
          <w:highlight w:val="none"/>
        </w:rPr>
      </w:pPr>
      <w:r>
        <w:rPr>
          <w:rFonts w:hint="eastAsia" w:ascii="宋体" w:hAnsi="宋体" w:eastAsia="宋体" w:cs="宋体"/>
          <w:strike w:val="0"/>
          <w:color w:val="auto"/>
          <w:kern w:val="2"/>
          <w:sz w:val="24"/>
          <w:szCs w:val="24"/>
          <w:highlight w:val="none"/>
          <w:lang w:val="en-US" w:eastAsia="zh-CN" w:bidi="ar"/>
        </w:rPr>
        <w:t>法定代表人或其委托代理人：</w:t>
      </w:r>
      <w:r>
        <w:rPr>
          <w:rFonts w:hint="eastAsia" w:ascii="宋体" w:hAnsi="宋体" w:eastAsia="宋体" w:cs="宋体"/>
          <w:strike w:val="0"/>
          <w:color w:val="auto"/>
          <w:kern w:val="2"/>
          <w:sz w:val="24"/>
          <w:szCs w:val="24"/>
          <w:highlight w:val="none"/>
          <w:u w:val="single"/>
          <w:lang w:val="en-US" w:eastAsia="zh-CN" w:bidi="ar"/>
        </w:rPr>
        <w:t xml:space="preserve">     </w:t>
      </w:r>
      <w:r>
        <w:rPr>
          <w:rFonts w:hint="eastAsia" w:ascii="宋体" w:hAnsi="宋体" w:eastAsia="宋体" w:cs="宋体"/>
          <w:strike w:val="0"/>
          <w:color w:val="auto"/>
          <w:kern w:val="2"/>
          <w:sz w:val="24"/>
          <w:szCs w:val="24"/>
          <w:highlight w:val="none"/>
          <w:lang w:val="en-US" w:eastAsia="zh-CN" w:bidi="ar"/>
        </w:rPr>
        <w:t>（签字或盖章）</w:t>
      </w:r>
    </w:p>
    <w:p w14:paraId="0D75CB83">
      <w:pPr>
        <w:pStyle w:val="8"/>
        <w:keepNext w:val="0"/>
        <w:keepLines w:val="0"/>
        <w:widowControl w:val="0"/>
        <w:suppressLineNumbers w:val="0"/>
        <w:spacing w:before="0" w:beforeAutospacing="1" w:after="0" w:afterAutospacing="0" w:line="360" w:lineRule="auto"/>
        <w:ind w:left="0" w:right="0" w:firstLine="0" w:firstLineChars="0"/>
        <w:jc w:val="right"/>
        <w:rPr>
          <w:rFonts w:hint="eastAsia" w:ascii="宋体" w:hAnsi="宋体" w:eastAsia="宋体" w:cs="宋体"/>
          <w:color w:val="auto"/>
          <w:kern w:val="0"/>
          <w:sz w:val="24"/>
          <w:szCs w:val="24"/>
          <w:highlight w:val="none"/>
        </w:rPr>
      </w:pPr>
      <w:r>
        <w:rPr>
          <w:rFonts w:hint="eastAsia" w:ascii="宋体" w:hAnsi="宋体" w:eastAsia="宋体" w:cs="宋体"/>
          <w:strike w:val="0"/>
          <w:color w:val="auto"/>
          <w:kern w:val="0"/>
          <w:sz w:val="24"/>
          <w:szCs w:val="24"/>
          <w:highlight w:val="none"/>
          <w:u w:val="single"/>
          <w:lang w:val="en-US" w:eastAsia="zh-CN" w:bidi="ar"/>
        </w:rPr>
        <w:t xml:space="preserve">     </w:t>
      </w:r>
      <w:r>
        <w:rPr>
          <w:rFonts w:hint="eastAsia" w:ascii="宋体" w:hAnsi="宋体" w:eastAsia="宋体" w:cs="宋体"/>
          <w:strike w:val="0"/>
          <w:color w:val="auto"/>
          <w:kern w:val="0"/>
          <w:sz w:val="24"/>
          <w:szCs w:val="24"/>
          <w:highlight w:val="none"/>
          <w:lang w:val="en-US" w:eastAsia="zh-CN" w:bidi="ar"/>
        </w:rPr>
        <w:t>年</w:t>
      </w:r>
      <w:r>
        <w:rPr>
          <w:rFonts w:hint="eastAsia" w:ascii="宋体" w:hAnsi="宋体" w:eastAsia="宋体" w:cs="宋体"/>
          <w:strike w:val="0"/>
          <w:color w:val="auto"/>
          <w:kern w:val="0"/>
          <w:sz w:val="24"/>
          <w:szCs w:val="24"/>
          <w:highlight w:val="none"/>
          <w:u w:val="single"/>
          <w:lang w:val="en-US" w:eastAsia="zh-CN" w:bidi="ar"/>
        </w:rPr>
        <w:t xml:space="preserve">     </w:t>
      </w:r>
      <w:r>
        <w:rPr>
          <w:rFonts w:hint="eastAsia" w:ascii="宋体" w:hAnsi="宋体" w:eastAsia="宋体" w:cs="宋体"/>
          <w:strike w:val="0"/>
          <w:color w:val="auto"/>
          <w:kern w:val="0"/>
          <w:sz w:val="24"/>
          <w:szCs w:val="24"/>
          <w:highlight w:val="none"/>
          <w:lang w:val="en-US" w:eastAsia="zh-CN" w:bidi="ar"/>
        </w:rPr>
        <w:t>月</w:t>
      </w:r>
      <w:r>
        <w:rPr>
          <w:rFonts w:hint="eastAsia" w:ascii="宋体" w:hAnsi="宋体" w:eastAsia="宋体" w:cs="宋体"/>
          <w:strike w:val="0"/>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14:paraId="67CF12BC">
      <w:pPr>
        <w:keepNext w:val="0"/>
        <w:keepLines w:val="0"/>
        <w:widowControl/>
        <w:suppressLineNumbers w:val="0"/>
        <w:spacing w:before="0" w:beforeAutospacing="0" w:after="0" w:afterAutospacing="0" w:line="240" w:lineRule="auto"/>
        <w:ind w:left="0" w:right="0"/>
        <w:jc w:val="left"/>
        <w:rPr>
          <w:rFonts w:hint="default" w:ascii="宋体" w:hAnsi="宋体" w:eastAsia="宋体" w:cs="宋体"/>
          <w:bCs/>
          <w:color w:val="auto"/>
          <w:kern w:val="2"/>
          <w:sz w:val="24"/>
          <w:szCs w:val="24"/>
          <w:highlight w:val="none"/>
          <w:lang w:eastAsia="zh-CN" w:bidi="ar"/>
        </w:rPr>
      </w:pPr>
      <w:r>
        <w:rPr>
          <w:rFonts w:hint="default" w:ascii="宋体" w:hAnsi="宋体" w:eastAsia="宋体" w:cs="宋体"/>
          <w:bCs/>
          <w:color w:val="auto"/>
          <w:kern w:val="2"/>
          <w:sz w:val="24"/>
          <w:szCs w:val="24"/>
          <w:highlight w:val="none"/>
          <w:lang w:eastAsia="zh-CN" w:bidi="ar"/>
        </w:rPr>
        <w:br w:type="page"/>
      </w:r>
    </w:p>
    <w:p w14:paraId="257DE95B">
      <w:pPr>
        <w:keepNext w:val="0"/>
        <w:keepLines w:val="0"/>
        <w:widowControl/>
        <w:suppressLineNumbers w:val="0"/>
        <w:spacing w:before="0" w:beforeAutospacing="0" w:after="0" w:afterAutospacing="0" w:line="240" w:lineRule="auto"/>
        <w:ind w:left="0" w:right="0"/>
        <w:jc w:val="left"/>
        <w:rPr>
          <w:rFonts w:hint="default" w:ascii="宋体" w:hAnsi="宋体" w:eastAsia="宋体" w:cs="宋体"/>
          <w:bCs/>
          <w:color w:val="auto"/>
          <w:kern w:val="2"/>
          <w:sz w:val="24"/>
          <w:szCs w:val="24"/>
          <w:highlight w:val="none"/>
          <w:lang w:eastAsia="zh-CN" w:bidi="ar"/>
        </w:rPr>
      </w:pPr>
    </w:p>
    <w:p w14:paraId="5BD7518C">
      <w:pPr>
        <w:keepNext w:val="0"/>
        <w:keepLines w:val="0"/>
        <w:widowControl w:val="0"/>
        <w:numPr>
          <w:ilvl w:val="-1"/>
          <w:numId w:val="0"/>
        </w:numPr>
        <w:suppressLineNumbers w:val="0"/>
        <w:spacing w:before="0" w:beforeAutospacing="0" w:after="0" w:afterAutospacing="0" w:line="360" w:lineRule="auto"/>
        <w:ind w:left="0" w:right="0"/>
        <w:jc w:val="both"/>
        <w:rPr>
          <w:rFonts w:hint="eastAsia" w:ascii="宋体" w:hAnsi="宋体" w:eastAsia="宋体" w:cs="宋体"/>
          <w:color w:val="auto"/>
          <w:kern w:val="0"/>
          <w:sz w:val="32"/>
          <w:szCs w:val="32"/>
          <w:highlight w:val="none"/>
          <w:lang w:val="en-US" w:eastAsia="zh-CN" w:bidi="ar"/>
        </w:rPr>
      </w:pPr>
      <w:r>
        <w:rPr>
          <w:rFonts w:hint="default" w:ascii="宋体" w:hAnsi="宋体" w:eastAsia="宋体" w:cs="宋体"/>
          <w:color w:val="auto"/>
          <w:kern w:val="0"/>
          <w:sz w:val="32"/>
          <w:szCs w:val="32"/>
          <w:highlight w:val="none"/>
          <w:lang w:eastAsia="zh-CN" w:bidi="ar"/>
        </w:rPr>
        <w:t>五、</w:t>
      </w:r>
      <w:r>
        <w:rPr>
          <w:rFonts w:hint="eastAsia" w:ascii="宋体" w:hAnsi="宋体" w:eastAsia="宋体" w:cs="宋体"/>
          <w:color w:val="auto"/>
          <w:kern w:val="0"/>
          <w:sz w:val="32"/>
          <w:szCs w:val="32"/>
          <w:highlight w:val="none"/>
          <w:lang w:val="en-US" w:eastAsia="zh-CN" w:bidi="ar"/>
        </w:rPr>
        <w:t>商务部分（含资格审查部分）</w:t>
      </w:r>
    </w:p>
    <w:p w14:paraId="1DE25286">
      <w:pPr>
        <w:keepNext w:val="0"/>
        <w:keepLines w:val="0"/>
        <w:widowControl w:val="0"/>
        <w:numPr>
          <w:ilvl w:val="-1"/>
          <w:numId w:val="0"/>
        </w:numPr>
        <w:suppressLineNumbers w:val="0"/>
        <w:spacing w:before="0" w:beforeAutospacing="0" w:after="0" w:afterAutospacing="0" w:line="360" w:lineRule="auto"/>
        <w:ind w:left="0" w:right="0"/>
        <w:jc w:val="both"/>
        <w:rPr>
          <w:rFonts w:hint="eastAsia" w:ascii="宋体" w:hAnsi="宋体" w:eastAsia="宋体" w:cs="宋体"/>
          <w:color w:val="auto"/>
          <w:kern w:val="0"/>
          <w:sz w:val="32"/>
          <w:szCs w:val="32"/>
          <w:highlight w:val="none"/>
          <w:lang w:bidi="ar"/>
        </w:rPr>
      </w:pPr>
      <w:r>
        <w:rPr>
          <w:rFonts w:hint="default" w:ascii="宋体" w:hAnsi="宋体" w:eastAsia="宋体" w:cs="宋体"/>
          <w:color w:val="auto"/>
          <w:kern w:val="0"/>
          <w:sz w:val="32"/>
          <w:szCs w:val="32"/>
          <w:highlight w:val="none"/>
          <w:lang w:eastAsia="zh-CN" w:bidi="ar"/>
        </w:rPr>
        <w:t>（一）</w:t>
      </w:r>
      <w:r>
        <w:rPr>
          <w:rFonts w:hint="eastAsia" w:ascii="宋体" w:hAnsi="宋体" w:eastAsia="宋体" w:cs="宋体"/>
          <w:color w:val="auto"/>
          <w:kern w:val="0"/>
          <w:sz w:val="32"/>
          <w:szCs w:val="32"/>
          <w:highlight w:val="none"/>
          <w:lang w:val="en-US" w:eastAsia="zh-CN" w:bidi="ar"/>
        </w:rPr>
        <w:t>资格审查资料</w:t>
      </w:r>
    </w:p>
    <w:p w14:paraId="6EED9D3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bookmarkStart w:id="144" w:name="_Toc7454679"/>
      <w:bookmarkEnd w:id="144"/>
      <w:bookmarkStart w:id="145" w:name="_Toc19280"/>
      <w:bookmarkEnd w:id="145"/>
      <w:r>
        <w:rPr>
          <w:rFonts w:hint="default" w:ascii="宋体" w:hAnsi="宋体" w:eastAsia="宋体" w:cs="宋体"/>
          <w:color w:val="auto"/>
          <w:kern w:val="2"/>
          <w:sz w:val="24"/>
          <w:szCs w:val="24"/>
          <w:highlight w:val="none"/>
          <w:lang w:eastAsia="zh-CN" w:bidi="ar"/>
        </w:rPr>
        <w:t>1.</w:t>
      </w:r>
      <w:r>
        <w:rPr>
          <w:rFonts w:hint="eastAsia" w:ascii="宋体" w:hAnsi="宋体" w:eastAsia="宋体" w:cs="宋体"/>
          <w:color w:val="auto"/>
          <w:kern w:val="2"/>
          <w:sz w:val="24"/>
          <w:szCs w:val="24"/>
          <w:highlight w:val="none"/>
          <w:lang w:val="en-US" w:eastAsia="zh-CN" w:bidi="ar"/>
        </w:rPr>
        <w:t>基本情况表</w:t>
      </w:r>
    </w:p>
    <w:tbl>
      <w:tblPr>
        <w:tblStyle w:val="10"/>
        <w:tblW w:w="973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242"/>
        <w:gridCol w:w="982"/>
        <w:gridCol w:w="2534"/>
        <w:gridCol w:w="1409"/>
        <w:gridCol w:w="2565"/>
      </w:tblGrid>
      <w:tr w14:paraId="7DA1EF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42" w:type="dxa"/>
            <w:tcBorders>
              <w:top w:val="single" w:color="auto" w:sz="4" w:space="0"/>
              <w:left w:val="single" w:color="auto" w:sz="4" w:space="0"/>
              <w:bottom w:val="single" w:color="auto" w:sz="4" w:space="0"/>
              <w:right w:val="single" w:color="auto" w:sz="4" w:space="0"/>
            </w:tcBorders>
            <w:shd w:val="clear" w:color="auto" w:fill="auto"/>
            <w:vAlign w:val="center"/>
          </w:tcPr>
          <w:p w14:paraId="792E83A9">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投标人名称</w:t>
            </w:r>
          </w:p>
        </w:tc>
        <w:tc>
          <w:tcPr>
            <w:tcW w:w="7490" w:type="dxa"/>
            <w:gridSpan w:val="4"/>
            <w:tcBorders>
              <w:top w:val="single" w:color="auto" w:sz="4" w:space="0"/>
              <w:left w:val="nil"/>
              <w:bottom w:val="single" w:color="auto" w:sz="4" w:space="0"/>
              <w:right w:val="single" w:color="auto" w:sz="4" w:space="0"/>
            </w:tcBorders>
            <w:shd w:val="clear" w:color="auto" w:fill="auto"/>
            <w:vAlign w:val="center"/>
          </w:tcPr>
          <w:p w14:paraId="0D7A9FD1">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25A716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42" w:type="dxa"/>
            <w:tcBorders>
              <w:top w:val="single" w:color="auto" w:sz="4" w:space="0"/>
              <w:left w:val="single" w:color="auto" w:sz="4" w:space="0"/>
              <w:bottom w:val="single" w:color="auto" w:sz="4" w:space="0"/>
              <w:right w:val="single" w:color="auto" w:sz="4" w:space="0"/>
            </w:tcBorders>
            <w:shd w:val="clear" w:color="auto" w:fill="auto"/>
            <w:vAlign w:val="center"/>
          </w:tcPr>
          <w:p w14:paraId="4E504054">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注册资金</w:t>
            </w:r>
          </w:p>
        </w:tc>
        <w:tc>
          <w:tcPr>
            <w:tcW w:w="3516" w:type="dxa"/>
            <w:gridSpan w:val="2"/>
            <w:tcBorders>
              <w:top w:val="single" w:color="auto" w:sz="4" w:space="0"/>
              <w:left w:val="nil"/>
              <w:bottom w:val="single" w:color="auto" w:sz="4" w:space="0"/>
              <w:right w:val="single" w:color="auto" w:sz="4" w:space="0"/>
            </w:tcBorders>
            <w:shd w:val="clear" w:color="auto" w:fill="auto"/>
            <w:vAlign w:val="center"/>
          </w:tcPr>
          <w:p w14:paraId="400993F6">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409" w:type="dxa"/>
            <w:tcBorders>
              <w:top w:val="single" w:color="auto" w:sz="4" w:space="0"/>
              <w:left w:val="nil"/>
              <w:bottom w:val="single" w:color="auto" w:sz="4" w:space="0"/>
              <w:right w:val="single" w:color="auto" w:sz="4" w:space="0"/>
            </w:tcBorders>
            <w:shd w:val="clear" w:color="auto" w:fill="auto"/>
            <w:vAlign w:val="center"/>
          </w:tcPr>
          <w:p w14:paraId="21B2F014">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成立时间</w:t>
            </w:r>
          </w:p>
        </w:tc>
        <w:tc>
          <w:tcPr>
            <w:tcW w:w="2565" w:type="dxa"/>
            <w:tcBorders>
              <w:top w:val="single" w:color="auto" w:sz="4" w:space="0"/>
              <w:left w:val="nil"/>
              <w:bottom w:val="single" w:color="auto" w:sz="4" w:space="0"/>
              <w:right w:val="single" w:color="auto" w:sz="4" w:space="0"/>
            </w:tcBorders>
            <w:shd w:val="clear" w:color="auto" w:fill="auto"/>
            <w:vAlign w:val="center"/>
          </w:tcPr>
          <w:p w14:paraId="54A3E842">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530C87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42" w:type="dxa"/>
            <w:tcBorders>
              <w:top w:val="single" w:color="auto" w:sz="4" w:space="0"/>
              <w:left w:val="single" w:color="auto" w:sz="4" w:space="0"/>
              <w:bottom w:val="single" w:color="auto" w:sz="4" w:space="0"/>
              <w:right w:val="single" w:color="auto" w:sz="4" w:space="0"/>
            </w:tcBorders>
            <w:shd w:val="clear" w:color="auto" w:fill="auto"/>
            <w:vAlign w:val="center"/>
          </w:tcPr>
          <w:p w14:paraId="4DC70AFC">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注册地址</w:t>
            </w:r>
          </w:p>
        </w:tc>
        <w:tc>
          <w:tcPr>
            <w:tcW w:w="7490" w:type="dxa"/>
            <w:gridSpan w:val="4"/>
            <w:tcBorders>
              <w:top w:val="single" w:color="auto" w:sz="4" w:space="0"/>
              <w:left w:val="nil"/>
              <w:bottom w:val="single" w:color="auto" w:sz="4" w:space="0"/>
              <w:right w:val="single" w:color="auto" w:sz="4" w:space="0"/>
            </w:tcBorders>
            <w:shd w:val="clear" w:color="auto" w:fill="auto"/>
            <w:vAlign w:val="center"/>
          </w:tcPr>
          <w:p w14:paraId="66DD317F">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134C81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42" w:type="dxa"/>
            <w:tcBorders>
              <w:top w:val="single" w:color="auto" w:sz="4" w:space="0"/>
              <w:left w:val="single" w:color="auto" w:sz="4" w:space="0"/>
              <w:bottom w:val="single" w:color="auto" w:sz="4" w:space="0"/>
              <w:right w:val="single" w:color="auto" w:sz="4" w:space="0"/>
            </w:tcBorders>
            <w:shd w:val="clear" w:color="auto" w:fill="auto"/>
            <w:vAlign w:val="center"/>
          </w:tcPr>
          <w:p w14:paraId="1EDFCC24">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邮政编码</w:t>
            </w:r>
          </w:p>
        </w:tc>
        <w:tc>
          <w:tcPr>
            <w:tcW w:w="3516" w:type="dxa"/>
            <w:gridSpan w:val="2"/>
            <w:tcBorders>
              <w:top w:val="single" w:color="auto" w:sz="4" w:space="0"/>
              <w:left w:val="nil"/>
              <w:bottom w:val="single" w:color="auto" w:sz="4" w:space="0"/>
              <w:right w:val="single" w:color="auto" w:sz="4" w:space="0"/>
            </w:tcBorders>
            <w:shd w:val="clear" w:color="auto" w:fill="auto"/>
            <w:vAlign w:val="center"/>
          </w:tcPr>
          <w:p w14:paraId="1A6B8F40">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409" w:type="dxa"/>
            <w:tcBorders>
              <w:top w:val="single" w:color="auto" w:sz="4" w:space="0"/>
              <w:left w:val="nil"/>
              <w:bottom w:val="single" w:color="auto" w:sz="4" w:space="0"/>
              <w:right w:val="single" w:color="auto" w:sz="4" w:space="0"/>
            </w:tcBorders>
            <w:shd w:val="clear" w:color="auto" w:fill="auto"/>
            <w:vAlign w:val="center"/>
          </w:tcPr>
          <w:p w14:paraId="48115B30">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员工总数</w:t>
            </w:r>
          </w:p>
        </w:tc>
        <w:tc>
          <w:tcPr>
            <w:tcW w:w="2565" w:type="dxa"/>
            <w:tcBorders>
              <w:top w:val="single" w:color="auto" w:sz="4" w:space="0"/>
              <w:left w:val="nil"/>
              <w:bottom w:val="single" w:color="auto" w:sz="4" w:space="0"/>
              <w:right w:val="single" w:color="auto" w:sz="4" w:space="0"/>
            </w:tcBorders>
            <w:shd w:val="clear" w:color="auto" w:fill="auto"/>
            <w:vAlign w:val="center"/>
          </w:tcPr>
          <w:p w14:paraId="26332602">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22349E7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42" w:type="dxa"/>
            <w:vMerge w:val="restart"/>
            <w:tcBorders>
              <w:top w:val="nil"/>
              <w:left w:val="single" w:color="auto" w:sz="4" w:space="0"/>
              <w:bottom w:val="single" w:color="auto" w:sz="4" w:space="0"/>
              <w:right w:val="single" w:color="auto" w:sz="4" w:space="0"/>
            </w:tcBorders>
            <w:shd w:val="clear" w:color="auto" w:fill="auto"/>
            <w:vAlign w:val="center"/>
          </w:tcPr>
          <w:p w14:paraId="179C8983">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联系方式</w:t>
            </w:r>
          </w:p>
        </w:tc>
        <w:tc>
          <w:tcPr>
            <w:tcW w:w="982" w:type="dxa"/>
            <w:tcBorders>
              <w:top w:val="single" w:color="auto" w:sz="4" w:space="0"/>
              <w:left w:val="nil"/>
              <w:bottom w:val="single" w:color="auto" w:sz="4" w:space="0"/>
              <w:right w:val="single" w:color="auto" w:sz="4" w:space="0"/>
            </w:tcBorders>
            <w:shd w:val="clear" w:color="auto" w:fill="auto"/>
            <w:vAlign w:val="center"/>
          </w:tcPr>
          <w:p w14:paraId="6A5EF89B">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w:t>
            </w:r>
          </w:p>
        </w:tc>
        <w:tc>
          <w:tcPr>
            <w:tcW w:w="2534" w:type="dxa"/>
            <w:tcBorders>
              <w:top w:val="single" w:color="auto" w:sz="4" w:space="0"/>
              <w:left w:val="nil"/>
              <w:bottom w:val="single" w:color="auto" w:sz="4" w:space="0"/>
              <w:right w:val="single" w:color="auto" w:sz="4" w:space="0"/>
            </w:tcBorders>
            <w:shd w:val="clear" w:color="auto" w:fill="auto"/>
            <w:vAlign w:val="center"/>
          </w:tcPr>
          <w:p w14:paraId="1489A182">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409" w:type="dxa"/>
            <w:tcBorders>
              <w:top w:val="single" w:color="auto" w:sz="4" w:space="0"/>
              <w:left w:val="nil"/>
              <w:bottom w:val="single" w:color="auto" w:sz="4" w:space="0"/>
              <w:right w:val="single" w:color="auto" w:sz="4" w:space="0"/>
            </w:tcBorders>
            <w:shd w:val="clear" w:color="auto" w:fill="auto"/>
            <w:vAlign w:val="center"/>
          </w:tcPr>
          <w:p w14:paraId="314C29D0">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 话</w:t>
            </w:r>
          </w:p>
        </w:tc>
        <w:tc>
          <w:tcPr>
            <w:tcW w:w="2565" w:type="dxa"/>
            <w:tcBorders>
              <w:top w:val="single" w:color="auto" w:sz="4" w:space="0"/>
              <w:left w:val="nil"/>
              <w:bottom w:val="single" w:color="auto" w:sz="4" w:space="0"/>
              <w:right w:val="single" w:color="auto" w:sz="4" w:space="0"/>
            </w:tcBorders>
            <w:shd w:val="clear" w:color="auto" w:fill="auto"/>
            <w:vAlign w:val="center"/>
          </w:tcPr>
          <w:p w14:paraId="2D215F49">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3EABE4A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9" w:hRule="atLeast"/>
          <w:jc w:val="center"/>
        </w:trPr>
        <w:tc>
          <w:tcPr>
            <w:tcW w:w="2242" w:type="dxa"/>
            <w:vMerge w:val="continue"/>
            <w:tcBorders>
              <w:top w:val="nil"/>
              <w:left w:val="single" w:color="auto" w:sz="4" w:space="0"/>
              <w:bottom w:val="single" w:color="auto" w:sz="4" w:space="0"/>
              <w:right w:val="single" w:color="auto" w:sz="4" w:space="0"/>
            </w:tcBorders>
            <w:shd w:val="clear" w:color="auto" w:fill="auto"/>
            <w:vAlign w:val="center"/>
          </w:tcPr>
          <w:p w14:paraId="59A90B8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982" w:type="dxa"/>
            <w:tcBorders>
              <w:top w:val="single" w:color="auto" w:sz="4" w:space="0"/>
              <w:left w:val="nil"/>
              <w:bottom w:val="single" w:color="auto" w:sz="4" w:space="0"/>
              <w:right w:val="single" w:color="auto" w:sz="4" w:space="0"/>
            </w:tcBorders>
            <w:shd w:val="clear" w:color="auto" w:fill="auto"/>
            <w:vAlign w:val="center"/>
          </w:tcPr>
          <w:p w14:paraId="7502348F">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网 址</w:t>
            </w:r>
          </w:p>
        </w:tc>
        <w:tc>
          <w:tcPr>
            <w:tcW w:w="2534" w:type="dxa"/>
            <w:tcBorders>
              <w:top w:val="single" w:color="auto" w:sz="4" w:space="0"/>
              <w:left w:val="nil"/>
              <w:bottom w:val="single" w:color="auto" w:sz="4" w:space="0"/>
              <w:right w:val="single" w:color="auto" w:sz="4" w:space="0"/>
            </w:tcBorders>
            <w:shd w:val="clear" w:color="auto" w:fill="auto"/>
            <w:vAlign w:val="center"/>
          </w:tcPr>
          <w:p w14:paraId="3A967A5A">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409" w:type="dxa"/>
            <w:tcBorders>
              <w:top w:val="single" w:color="auto" w:sz="4" w:space="0"/>
              <w:left w:val="nil"/>
              <w:bottom w:val="single" w:color="auto" w:sz="4" w:space="0"/>
              <w:right w:val="single" w:color="auto" w:sz="4" w:space="0"/>
            </w:tcBorders>
            <w:shd w:val="clear" w:color="auto" w:fill="auto"/>
            <w:vAlign w:val="center"/>
          </w:tcPr>
          <w:p w14:paraId="02A493B6">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传  真</w:t>
            </w:r>
          </w:p>
        </w:tc>
        <w:tc>
          <w:tcPr>
            <w:tcW w:w="2565" w:type="dxa"/>
            <w:tcBorders>
              <w:top w:val="single" w:color="auto" w:sz="4" w:space="0"/>
              <w:left w:val="nil"/>
              <w:bottom w:val="single" w:color="auto" w:sz="4" w:space="0"/>
              <w:right w:val="single" w:color="auto" w:sz="4" w:space="0"/>
            </w:tcBorders>
            <w:shd w:val="clear" w:color="auto" w:fill="auto"/>
            <w:vAlign w:val="center"/>
          </w:tcPr>
          <w:p w14:paraId="2C46F9A6">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52EFB7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42" w:type="dxa"/>
            <w:tcBorders>
              <w:top w:val="single" w:color="auto" w:sz="4" w:space="0"/>
              <w:left w:val="single" w:color="auto" w:sz="4" w:space="0"/>
              <w:bottom w:val="single" w:color="auto" w:sz="4" w:space="0"/>
              <w:right w:val="single" w:color="auto" w:sz="4" w:space="0"/>
            </w:tcBorders>
            <w:shd w:val="clear" w:color="auto" w:fill="auto"/>
            <w:vAlign w:val="center"/>
          </w:tcPr>
          <w:p w14:paraId="68086710">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p>
        </w:tc>
        <w:tc>
          <w:tcPr>
            <w:tcW w:w="982" w:type="dxa"/>
            <w:tcBorders>
              <w:top w:val="single" w:color="auto" w:sz="4" w:space="0"/>
              <w:left w:val="nil"/>
              <w:bottom w:val="single" w:color="auto" w:sz="4" w:space="0"/>
              <w:right w:val="single" w:color="auto" w:sz="4" w:space="0"/>
            </w:tcBorders>
            <w:shd w:val="clear" w:color="auto" w:fill="auto"/>
            <w:vAlign w:val="center"/>
          </w:tcPr>
          <w:p w14:paraId="58D4F258">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姓名</w:t>
            </w:r>
          </w:p>
        </w:tc>
        <w:tc>
          <w:tcPr>
            <w:tcW w:w="2534" w:type="dxa"/>
            <w:tcBorders>
              <w:top w:val="single" w:color="auto" w:sz="4" w:space="0"/>
              <w:left w:val="nil"/>
              <w:bottom w:val="single" w:color="auto" w:sz="4" w:space="0"/>
              <w:right w:val="single" w:color="auto" w:sz="4" w:space="0"/>
            </w:tcBorders>
            <w:shd w:val="clear" w:color="auto" w:fill="auto"/>
            <w:vAlign w:val="center"/>
          </w:tcPr>
          <w:p w14:paraId="21CE9BB6">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409" w:type="dxa"/>
            <w:tcBorders>
              <w:top w:val="single" w:color="auto" w:sz="4" w:space="0"/>
              <w:left w:val="nil"/>
              <w:bottom w:val="single" w:color="auto" w:sz="4" w:space="0"/>
              <w:right w:val="single" w:color="auto" w:sz="4" w:space="0"/>
            </w:tcBorders>
            <w:shd w:val="clear" w:color="auto" w:fill="auto"/>
            <w:vAlign w:val="center"/>
          </w:tcPr>
          <w:p w14:paraId="0FEAD83C">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电话</w:t>
            </w:r>
          </w:p>
        </w:tc>
        <w:tc>
          <w:tcPr>
            <w:tcW w:w="2565" w:type="dxa"/>
            <w:tcBorders>
              <w:top w:val="single" w:color="auto" w:sz="4" w:space="0"/>
              <w:left w:val="nil"/>
              <w:bottom w:val="single" w:color="auto" w:sz="4" w:space="0"/>
              <w:right w:val="single" w:color="auto" w:sz="4" w:space="0"/>
            </w:tcBorders>
            <w:shd w:val="clear" w:color="auto" w:fill="auto"/>
            <w:vAlign w:val="center"/>
          </w:tcPr>
          <w:p w14:paraId="45C433BE">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3345F64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42" w:type="dxa"/>
            <w:tcBorders>
              <w:top w:val="single" w:color="auto" w:sz="4" w:space="0"/>
              <w:left w:val="single" w:color="auto" w:sz="4" w:space="0"/>
              <w:bottom w:val="single" w:color="auto" w:sz="4" w:space="0"/>
              <w:right w:val="single" w:color="auto" w:sz="4" w:space="0"/>
            </w:tcBorders>
            <w:shd w:val="clear" w:color="auto" w:fill="auto"/>
            <w:vAlign w:val="top"/>
          </w:tcPr>
          <w:p w14:paraId="1B7F420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基本账户开户银行</w:t>
            </w:r>
          </w:p>
        </w:tc>
        <w:tc>
          <w:tcPr>
            <w:tcW w:w="7490" w:type="dxa"/>
            <w:gridSpan w:val="4"/>
            <w:tcBorders>
              <w:top w:val="single" w:color="auto" w:sz="4" w:space="0"/>
              <w:left w:val="nil"/>
              <w:bottom w:val="single" w:color="auto" w:sz="4" w:space="0"/>
              <w:right w:val="single" w:color="auto" w:sz="4" w:space="0"/>
            </w:tcBorders>
            <w:shd w:val="clear" w:color="auto" w:fill="auto"/>
            <w:vAlign w:val="center"/>
          </w:tcPr>
          <w:p w14:paraId="032CACB2">
            <w:pPr>
              <w:keepNext w:val="0"/>
              <w:keepLines w:val="0"/>
              <w:widowControl w:val="0"/>
              <w:suppressLineNumbers w:val="0"/>
              <w:topLinePunct/>
              <w:spacing w:before="0" w:beforeAutospacing="0" w:after="0" w:afterAutospacing="0"/>
              <w:ind w:left="0" w:right="0" w:firstLine="105" w:firstLineChars="50"/>
              <w:jc w:val="center"/>
              <w:rPr>
                <w:rFonts w:hint="eastAsia" w:ascii="宋体" w:hAnsi="宋体" w:eastAsia="宋体" w:cs="宋体"/>
                <w:color w:val="auto"/>
                <w:kern w:val="2"/>
                <w:sz w:val="21"/>
                <w:szCs w:val="21"/>
                <w:highlight w:val="none"/>
              </w:rPr>
            </w:pPr>
          </w:p>
        </w:tc>
      </w:tr>
      <w:tr w14:paraId="186BB4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42" w:type="dxa"/>
            <w:tcBorders>
              <w:top w:val="single" w:color="auto" w:sz="4" w:space="0"/>
              <w:left w:val="single" w:color="auto" w:sz="4" w:space="0"/>
              <w:bottom w:val="single" w:color="auto" w:sz="4" w:space="0"/>
              <w:right w:val="single" w:color="auto" w:sz="4" w:space="0"/>
            </w:tcBorders>
            <w:shd w:val="clear" w:color="auto" w:fill="auto"/>
            <w:vAlign w:val="top"/>
          </w:tcPr>
          <w:p w14:paraId="5B584D9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基本账户银行账号</w:t>
            </w:r>
          </w:p>
        </w:tc>
        <w:tc>
          <w:tcPr>
            <w:tcW w:w="7490" w:type="dxa"/>
            <w:gridSpan w:val="4"/>
            <w:tcBorders>
              <w:top w:val="single" w:color="auto" w:sz="4" w:space="0"/>
              <w:left w:val="nil"/>
              <w:bottom w:val="single" w:color="auto" w:sz="4" w:space="0"/>
              <w:right w:val="single" w:color="auto" w:sz="4" w:space="0"/>
            </w:tcBorders>
            <w:shd w:val="clear" w:color="auto" w:fill="auto"/>
            <w:vAlign w:val="center"/>
          </w:tcPr>
          <w:p w14:paraId="6B87C70F">
            <w:pPr>
              <w:keepNext w:val="0"/>
              <w:keepLines w:val="0"/>
              <w:widowControl w:val="0"/>
              <w:suppressLineNumbers w:val="0"/>
              <w:topLinePunct/>
              <w:spacing w:before="0" w:beforeAutospacing="0" w:after="0" w:afterAutospacing="0"/>
              <w:ind w:left="0" w:right="0" w:firstLine="105" w:firstLineChars="50"/>
              <w:jc w:val="center"/>
              <w:rPr>
                <w:rFonts w:hint="eastAsia" w:ascii="宋体" w:hAnsi="宋体" w:eastAsia="宋体" w:cs="宋体"/>
                <w:color w:val="auto"/>
                <w:kern w:val="2"/>
                <w:sz w:val="21"/>
                <w:szCs w:val="21"/>
                <w:highlight w:val="none"/>
              </w:rPr>
            </w:pPr>
          </w:p>
        </w:tc>
      </w:tr>
      <w:tr w14:paraId="3881A9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42" w:type="dxa"/>
            <w:tcBorders>
              <w:top w:val="single" w:color="auto" w:sz="4" w:space="0"/>
              <w:left w:val="single" w:color="auto" w:sz="4" w:space="0"/>
              <w:bottom w:val="nil"/>
              <w:right w:val="single" w:color="auto" w:sz="4" w:space="0"/>
            </w:tcBorders>
            <w:shd w:val="clear" w:color="auto" w:fill="auto"/>
            <w:vAlign w:val="top"/>
          </w:tcPr>
          <w:p w14:paraId="0F6F6DD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投标人关联企业情况（包括但不限于：母公司、全资子公司或与投</w:t>
            </w:r>
          </w:p>
          <w:p w14:paraId="2626542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标人法定代表人（单</w:t>
            </w:r>
          </w:p>
          <w:p w14:paraId="07FABF1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位负责人）为同一人或存在控股管理关系的不同单位）</w:t>
            </w:r>
          </w:p>
        </w:tc>
        <w:tc>
          <w:tcPr>
            <w:tcW w:w="7490" w:type="dxa"/>
            <w:gridSpan w:val="4"/>
            <w:tcBorders>
              <w:top w:val="single" w:color="auto" w:sz="4" w:space="0"/>
              <w:left w:val="nil"/>
              <w:bottom w:val="nil"/>
              <w:right w:val="single" w:color="auto" w:sz="4" w:space="0"/>
            </w:tcBorders>
            <w:shd w:val="clear" w:color="auto" w:fill="auto"/>
            <w:vAlign w:val="center"/>
          </w:tcPr>
          <w:p w14:paraId="3779AEB1">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61F1BD6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8" w:hRule="atLeast"/>
          <w:jc w:val="center"/>
        </w:trPr>
        <w:tc>
          <w:tcPr>
            <w:tcW w:w="2242" w:type="dxa"/>
            <w:tcBorders>
              <w:top w:val="single" w:color="auto" w:sz="4" w:space="0"/>
              <w:left w:val="single" w:color="auto" w:sz="4" w:space="0"/>
              <w:bottom w:val="single" w:color="auto" w:sz="4" w:space="0"/>
              <w:right w:val="single" w:color="auto" w:sz="4" w:space="0"/>
            </w:tcBorders>
            <w:shd w:val="clear" w:color="auto" w:fill="auto"/>
            <w:vAlign w:val="center"/>
          </w:tcPr>
          <w:p w14:paraId="535479EC">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c>
          <w:tcPr>
            <w:tcW w:w="7490" w:type="dxa"/>
            <w:gridSpan w:val="4"/>
            <w:tcBorders>
              <w:top w:val="single" w:color="auto" w:sz="4" w:space="0"/>
              <w:left w:val="nil"/>
              <w:bottom w:val="single" w:color="auto" w:sz="4" w:space="0"/>
              <w:right w:val="single" w:color="auto" w:sz="4" w:space="0"/>
            </w:tcBorders>
            <w:shd w:val="clear" w:color="auto" w:fill="auto"/>
            <w:vAlign w:val="center"/>
          </w:tcPr>
          <w:p w14:paraId="0F754F10">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color w:val="auto"/>
                <w:kern w:val="2"/>
                <w:sz w:val="21"/>
                <w:szCs w:val="21"/>
                <w:highlight w:val="none"/>
              </w:rPr>
            </w:pPr>
          </w:p>
        </w:tc>
      </w:tr>
    </w:tbl>
    <w:p w14:paraId="38B9E25A">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注：投标人应根据</w:t>
      </w:r>
      <w:r>
        <w:rPr>
          <w:rFonts w:hint="eastAsia" w:ascii="宋体" w:hAnsi="宋体" w:eastAsia="宋体" w:cs="宋体"/>
          <w:b/>
          <w:bCs w:val="0"/>
          <w:color w:val="auto"/>
          <w:kern w:val="2"/>
          <w:sz w:val="24"/>
          <w:szCs w:val="24"/>
          <w:highlight w:val="none"/>
          <w:u w:val="single"/>
          <w:lang w:val="en-US" w:eastAsia="zh-CN" w:bidi="ar"/>
        </w:rPr>
        <w:t>投标人资格要求</w:t>
      </w:r>
      <w:r>
        <w:rPr>
          <w:rFonts w:hint="eastAsia" w:ascii="宋体" w:hAnsi="宋体" w:eastAsia="宋体" w:cs="宋体"/>
          <w:color w:val="auto"/>
          <w:kern w:val="2"/>
          <w:sz w:val="24"/>
          <w:szCs w:val="24"/>
          <w:highlight w:val="none"/>
          <w:lang w:val="en-US" w:eastAsia="zh-CN" w:bidi="ar"/>
        </w:rPr>
        <w:t>在本表后附相关证明材料。</w:t>
      </w:r>
    </w:p>
    <w:p w14:paraId="5535E021">
      <w:pPr>
        <w:keepNext w:val="0"/>
        <w:keepLines w:val="0"/>
        <w:widowControl w:val="0"/>
        <w:suppressLineNumbers w:val="0"/>
        <w:spacing w:before="20" w:beforeAutospacing="0" w:after="0" w:afterAutospacing="0" w:line="410" w:lineRule="auto"/>
        <w:ind w:left="0" w:right="0"/>
        <w:jc w:val="center"/>
        <w:outlineLvl w:val="2"/>
        <w:rPr>
          <w:rFonts w:hint="eastAsia" w:ascii="宋体" w:hAnsi="宋体" w:eastAsia="宋体" w:cs="宋体"/>
          <w:b w:val="0"/>
          <w:bCs w:val="0"/>
          <w:color w:val="auto"/>
          <w:kern w:val="2"/>
          <w:sz w:val="24"/>
          <w:szCs w:val="24"/>
          <w:highlight w:val="none"/>
          <w:lang w:bidi="ar"/>
        </w:rPr>
      </w:pPr>
      <w:r>
        <w:rPr>
          <w:rFonts w:hint="eastAsia" w:ascii="宋体" w:hAnsi="宋体" w:eastAsia="宋体" w:cs="宋体"/>
          <w:b/>
          <w:color w:val="auto"/>
          <w:kern w:val="2"/>
          <w:sz w:val="32"/>
          <w:szCs w:val="32"/>
          <w:highlight w:val="none"/>
          <w:lang w:val="en-US" w:eastAsia="zh-CN" w:bidi="ar"/>
        </w:rPr>
        <w:br w:type="page"/>
      </w:r>
      <w:r>
        <w:rPr>
          <w:rFonts w:hint="eastAsia" w:ascii="宋体" w:hAnsi="宋体" w:eastAsia="宋体" w:cs="宋体"/>
          <w:b w:val="0"/>
          <w:color w:val="auto"/>
          <w:kern w:val="2"/>
          <w:sz w:val="24"/>
          <w:szCs w:val="24"/>
          <w:highlight w:val="none"/>
          <w:lang w:eastAsia="zh-CN" w:bidi="ar"/>
        </w:rPr>
        <w:t>2.</w:t>
      </w:r>
      <w:r>
        <w:rPr>
          <w:rFonts w:hint="eastAsia" w:ascii="宋体" w:hAnsi="宋体" w:eastAsia="宋体" w:cs="宋体"/>
          <w:b w:val="0"/>
          <w:color w:val="auto"/>
          <w:kern w:val="2"/>
          <w:sz w:val="24"/>
          <w:szCs w:val="24"/>
          <w:highlight w:val="none"/>
          <w:lang w:val="en-US" w:eastAsia="zh-CN" w:bidi="ar"/>
        </w:rPr>
        <w:t>承揽的类似项目情况表（资格审查）（格式可自定）</w:t>
      </w:r>
    </w:p>
    <w:tbl>
      <w:tblPr>
        <w:tblStyle w:val="10"/>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10"/>
        <w:gridCol w:w="6092"/>
      </w:tblGrid>
      <w:tr w14:paraId="76ED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713BC24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项目名称</w:t>
            </w:r>
          </w:p>
        </w:tc>
        <w:tc>
          <w:tcPr>
            <w:tcW w:w="6092" w:type="dxa"/>
            <w:tcBorders>
              <w:top w:val="single" w:color="auto" w:sz="4" w:space="0"/>
              <w:left w:val="nil"/>
              <w:bottom w:val="single" w:color="auto" w:sz="4" w:space="0"/>
              <w:right w:val="single" w:color="auto" w:sz="4" w:space="0"/>
            </w:tcBorders>
            <w:shd w:val="clear" w:color="auto" w:fill="auto"/>
            <w:vAlign w:val="top"/>
          </w:tcPr>
          <w:p w14:paraId="19DEC0B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2385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267FE9DF">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项目所在地</w:t>
            </w:r>
          </w:p>
        </w:tc>
        <w:tc>
          <w:tcPr>
            <w:tcW w:w="6092" w:type="dxa"/>
            <w:tcBorders>
              <w:top w:val="single" w:color="auto" w:sz="4" w:space="0"/>
              <w:left w:val="nil"/>
              <w:bottom w:val="single" w:color="auto" w:sz="4" w:space="0"/>
              <w:right w:val="single" w:color="auto" w:sz="4" w:space="0"/>
            </w:tcBorders>
            <w:shd w:val="clear" w:color="auto" w:fill="auto"/>
            <w:vAlign w:val="top"/>
          </w:tcPr>
          <w:p w14:paraId="55FB1B0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273A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179A772F">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委托人名称</w:t>
            </w:r>
          </w:p>
        </w:tc>
        <w:tc>
          <w:tcPr>
            <w:tcW w:w="6092" w:type="dxa"/>
            <w:tcBorders>
              <w:top w:val="single" w:color="auto" w:sz="4" w:space="0"/>
              <w:left w:val="nil"/>
              <w:bottom w:val="single" w:color="auto" w:sz="4" w:space="0"/>
              <w:right w:val="single" w:color="auto" w:sz="4" w:space="0"/>
            </w:tcBorders>
            <w:shd w:val="clear" w:color="auto" w:fill="auto"/>
            <w:vAlign w:val="top"/>
          </w:tcPr>
          <w:p w14:paraId="7C2182B2">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72C7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452ED42E">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委托人地址</w:t>
            </w:r>
          </w:p>
        </w:tc>
        <w:tc>
          <w:tcPr>
            <w:tcW w:w="6092" w:type="dxa"/>
            <w:tcBorders>
              <w:top w:val="single" w:color="auto" w:sz="4" w:space="0"/>
              <w:left w:val="nil"/>
              <w:bottom w:val="single" w:color="auto" w:sz="4" w:space="0"/>
              <w:right w:val="single" w:color="auto" w:sz="4" w:space="0"/>
            </w:tcBorders>
            <w:shd w:val="clear" w:color="auto" w:fill="auto"/>
            <w:vAlign w:val="top"/>
          </w:tcPr>
          <w:p w14:paraId="0AC71D2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27EC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256521F5">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委托人电话</w:t>
            </w:r>
          </w:p>
        </w:tc>
        <w:tc>
          <w:tcPr>
            <w:tcW w:w="6092" w:type="dxa"/>
            <w:tcBorders>
              <w:top w:val="single" w:color="auto" w:sz="4" w:space="0"/>
              <w:left w:val="nil"/>
              <w:bottom w:val="single" w:color="auto" w:sz="4" w:space="0"/>
              <w:right w:val="single" w:color="auto" w:sz="4" w:space="0"/>
            </w:tcBorders>
            <w:shd w:val="clear" w:color="auto" w:fill="auto"/>
            <w:vAlign w:val="top"/>
          </w:tcPr>
          <w:p w14:paraId="7085AE13">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CA1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1E09B694">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合同签订时间</w:t>
            </w:r>
          </w:p>
        </w:tc>
        <w:tc>
          <w:tcPr>
            <w:tcW w:w="6092" w:type="dxa"/>
            <w:tcBorders>
              <w:top w:val="single" w:color="auto" w:sz="4" w:space="0"/>
              <w:left w:val="nil"/>
              <w:bottom w:val="single" w:color="auto" w:sz="4" w:space="0"/>
              <w:right w:val="single" w:color="auto" w:sz="4" w:space="0"/>
            </w:tcBorders>
            <w:shd w:val="clear" w:color="auto" w:fill="auto"/>
            <w:vAlign w:val="top"/>
          </w:tcPr>
          <w:p w14:paraId="6EB9DF0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226D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0336A3C5">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合同价格</w:t>
            </w:r>
          </w:p>
        </w:tc>
        <w:tc>
          <w:tcPr>
            <w:tcW w:w="6092" w:type="dxa"/>
            <w:tcBorders>
              <w:top w:val="single" w:color="auto" w:sz="4" w:space="0"/>
              <w:left w:val="nil"/>
              <w:bottom w:val="single" w:color="auto" w:sz="4" w:space="0"/>
              <w:right w:val="single" w:color="auto" w:sz="4" w:space="0"/>
            </w:tcBorders>
            <w:shd w:val="clear" w:color="auto" w:fill="auto"/>
            <w:vAlign w:val="top"/>
          </w:tcPr>
          <w:p w14:paraId="2E15DCB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022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12A86150">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服务期限</w:t>
            </w:r>
          </w:p>
        </w:tc>
        <w:tc>
          <w:tcPr>
            <w:tcW w:w="6092" w:type="dxa"/>
            <w:tcBorders>
              <w:top w:val="single" w:color="auto" w:sz="4" w:space="0"/>
              <w:left w:val="nil"/>
              <w:bottom w:val="single" w:color="auto" w:sz="4" w:space="0"/>
              <w:right w:val="single" w:color="auto" w:sz="4" w:space="0"/>
            </w:tcBorders>
            <w:shd w:val="clear" w:color="auto" w:fill="auto"/>
            <w:vAlign w:val="top"/>
          </w:tcPr>
          <w:p w14:paraId="7D686F5B">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3D3A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28075E18">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采购内容</w:t>
            </w:r>
          </w:p>
        </w:tc>
        <w:tc>
          <w:tcPr>
            <w:tcW w:w="6092" w:type="dxa"/>
            <w:tcBorders>
              <w:top w:val="single" w:color="auto" w:sz="4" w:space="0"/>
              <w:left w:val="nil"/>
              <w:bottom w:val="single" w:color="auto" w:sz="4" w:space="0"/>
              <w:right w:val="single" w:color="auto" w:sz="4" w:space="0"/>
            </w:tcBorders>
            <w:shd w:val="clear" w:color="auto" w:fill="auto"/>
            <w:vAlign w:val="top"/>
          </w:tcPr>
          <w:p w14:paraId="674CC023">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6BA3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65FB8EC2">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项目描述</w:t>
            </w:r>
          </w:p>
        </w:tc>
        <w:tc>
          <w:tcPr>
            <w:tcW w:w="6092" w:type="dxa"/>
            <w:tcBorders>
              <w:top w:val="single" w:color="auto" w:sz="4" w:space="0"/>
              <w:left w:val="nil"/>
              <w:bottom w:val="single" w:color="auto" w:sz="4" w:space="0"/>
              <w:right w:val="single" w:color="auto" w:sz="4" w:space="0"/>
            </w:tcBorders>
            <w:shd w:val="clear" w:color="auto" w:fill="auto"/>
            <w:vAlign w:val="top"/>
          </w:tcPr>
          <w:p w14:paraId="068554C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p w14:paraId="7F8C32F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3BA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63FEE11E">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c>
          <w:tcPr>
            <w:tcW w:w="6092" w:type="dxa"/>
            <w:tcBorders>
              <w:top w:val="single" w:color="auto" w:sz="4" w:space="0"/>
              <w:left w:val="nil"/>
              <w:bottom w:val="single" w:color="auto" w:sz="4" w:space="0"/>
              <w:right w:val="single" w:color="auto" w:sz="4" w:space="0"/>
            </w:tcBorders>
            <w:shd w:val="clear" w:color="auto" w:fill="auto"/>
            <w:vAlign w:val="top"/>
          </w:tcPr>
          <w:p w14:paraId="124A100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bl>
    <w:p w14:paraId="7BC42CC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注：投标人应根据资格审查要求在本表后附相关证明材料。</w:t>
      </w:r>
      <w:r>
        <w:rPr>
          <w:rFonts w:hint="default" w:ascii="Times New Roman" w:hAnsi="Times New Roman" w:eastAsia="宋体" w:cs="Times New Roman"/>
          <w:color w:val="auto"/>
          <w:kern w:val="2"/>
          <w:sz w:val="21"/>
          <w:szCs w:val="21"/>
          <w:highlight w:val="none"/>
          <w:lang w:val="en-US" w:eastAsia="zh-CN" w:bidi="ar"/>
        </w:rPr>
        <w:t xml:space="preserve"> </w:t>
      </w:r>
    </w:p>
    <w:p w14:paraId="10C8573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lang w:val="en-US" w:eastAsia="zh-CN" w:bidi="ar"/>
        </w:rPr>
        <w:t xml:space="preserve"> </w:t>
      </w:r>
    </w:p>
    <w:p w14:paraId="42FA31A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lang w:val="en-US" w:eastAsia="zh-CN" w:bidi="ar"/>
        </w:rPr>
        <w:t xml:space="preserve"> </w:t>
      </w:r>
    </w:p>
    <w:p w14:paraId="6275AB44">
      <w:pPr>
        <w:keepNext w:val="0"/>
        <w:keepLines w:val="0"/>
        <w:widowControl w:val="0"/>
        <w:suppressLineNumbers w:val="0"/>
        <w:spacing w:before="20" w:beforeAutospacing="0" w:after="0" w:afterAutospacing="0" w:line="410" w:lineRule="auto"/>
        <w:ind w:left="0" w:right="0"/>
        <w:jc w:val="left"/>
        <w:outlineLvl w:val="2"/>
        <w:rPr>
          <w:rFonts w:hint="eastAsia" w:ascii="宋体" w:hAnsi="宋体" w:eastAsia="宋体" w:cs="宋体"/>
          <w:b w:val="0"/>
          <w:color w:val="auto"/>
          <w:kern w:val="2"/>
          <w:sz w:val="24"/>
          <w:szCs w:val="24"/>
          <w:highlight w:val="none"/>
          <w:lang w:eastAsia="zh-CN" w:bidi="ar"/>
        </w:rPr>
      </w:pPr>
      <w:r>
        <w:rPr>
          <w:rFonts w:hint="default" w:ascii="宋体" w:hAnsi="宋体" w:eastAsia="宋体" w:cs="宋体"/>
          <w:b w:val="0"/>
          <w:color w:val="auto"/>
          <w:kern w:val="2"/>
          <w:sz w:val="24"/>
          <w:szCs w:val="24"/>
          <w:highlight w:val="none"/>
          <w:lang w:eastAsia="zh-CN" w:bidi="ar"/>
        </w:rPr>
        <w:t xml:space="preserve">         </w:t>
      </w:r>
      <w:r>
        <w:rPr>
          <w:rFonts w:hint="eastAsia" w:ascii="宋体" w:hAnsi="宋体" w:eastAsia="宋体" w:cs="宋体"/>
          <w:b w:val="0"/>
          <w:color w:val="auto"/>
          <w:kern w:val="2"/>
          <w:sz w:val="24"/>
          <w:szCs w:val="24"/>
          <w:highlight w:val="none"/>
          <w:lang w:eastAsia="zh-CN" w:bidi="ar"/>
        </w:rPr>
        <w:t>3.其他</w:t>
      </w:r>
      <w:r>
        <w:rPr>
          <w:rFonts w:hint="default" w:ascii="宋体" w:hAnsi="宋体" w:eastAsia="宋体" w:cs="宋体"/>
          <w:b w:val="0"/>
          <w:color w:val="auto"/>
          <w:kern w:val="2"/>
          <w:sz w:val="24"/>
          <w:szCs w:val="24"/>
          <w:highlight w:val="none"/>
          <w:lang w:eastAsia="zh-CN" w:bidi="ar"/>
        </w:rPr>
        <w:t>资格审查</w:t>
      </w:r>
      <w:r>
        <w:rPr>
          <w:rFonts w:hint="eastAsia" w:ascii="宋体" w:hAnsi="宋体" w:eastAsia="宋体" w:cs="宋体"/>
          <w:b w:val="0"/>
          <w:color w:val="auto"/>
          <w:kern w:val="2"/>
          <w:sz w:val="24"/>
          <w:szCs w:val="24"/>
          <w:highlight w:val="none"/>
          <w:lang w:eastAsia="zh-CN" w:bidi="ar"/>
        </w:rPr>
        <w:t>资料</w:t>
      </w:r>
    </w:p>
    <w:p w14:paraId="3BE3A34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val="0"/>
          <w:color w:val="auto"/>
          <w:kern w:val="2"/>
          <w:sz w:val="24"/>
          <w:szCs w:val="24"/>
          <w:highlight w:val="none"/>
        </w:rPr>
      </w:pPr>
      <w:r>
        <w:rPr>
          <w:rFonts w:hint="eastAsia" w:ascii="宋体" w:hAnsi="宋体" w:eastAsia="宋体" w:cs="宋体"/>
          <w:b/>
          <w:color w:val="auto"/>
          <w:kern w:val="2"/>
          <w:sz w:val="32"/>
          <w:szCs w:val="32"/>
          <w:highlight w:val="none"/>
          <w:lang w:val="en-US" w:eastAsia="zh-CN" w:bidi="ar"/>
        </w:rPr>
        <w:br w:type="page"/>
      </w:r>
      <w:bookmarkStart w:id="146" w:name="_Toc520184757"/>
      <w:bookmarkEnd w:id="146"/>
    </w:p>
    <w:p w14:paraId="79FB582D">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auto"/>
          <w:kern w:val="0"/>
          <w:sz w:val="32"/>
          <w:szCs w:val="32"/>
          <w:highlight w:val="none"/>
        </w:rPr>
      </w:pPr>
      <w:r>
        <w:rPr>
          <w:rFonts w:hint="default" w:ascii="宋体" w:hAnsi="宋体" w:eastAsia="宋体" w:cs="宋体"/>
          <w:color w:val="auto"/>
          <w:kern w:val="0"/>
          <w:sz w:val="32"/>
          <w:szCs w:val="32"/>
          <w:highlight w:val="none"/>
          <w:lang w:eastAsia="zh-CN" w:bidi="ar"/>
        </w:rPr>
        <w:t>（二）</w:t>
      </w:r>
      <w:r>
        <w:rPr>
          <w:rFonts w:hint="eastAsia" w:ascii="宋体" w:hAnsi="宋体" w:eastAsia="宋体" w:cs="宋体"/>
          <w:color w:val="auto"/>
          <w:kern w:val="0"/>
          <w:sz w:val="32"/>
          <w:szCs w:val="32"/>
          <w:highlight w:val="none"/>
          <w:lang w:val="en-US" w:eastAsia="zh-CN" w:bidi="ar"/>
        </w:rPr>
        <w:t>承揽的类似项目情况表</w:t>
      </w:r>
    </w:p>
    <w:p w14:paraId="64B32BF3">
      <w:pPr>
        <w:keepNext w:val="0"/>
        <w:keepLines w:val="0"/>
        <w:widowControl w:val="0"/>
        <w:suppressLineNumbers w:val="0"/>
        <w:spacing w:before="20" w:beforeAutospacing="0" w:after="0" w:afterAutospacing="0" w:line="410" w:lineRule="auto"/>
        <w:ind w:left="0" w:right="0"/>
        <w:jc w:val="center"/>
        <w:outlineLvl w:val="2"/>
        <w:rPr>
          <w:rFonts w:hint="eastAsia" w:ascii="宋体" w:hAnsi="宋体" w:eastAsia="宋体" w:cs="Times New Roman"/>
          <w:b w:val="0"/>
          <w:color w:val="auto"/>
          <w:kern w:val="2"/>
          <w:sz w:val="24"/>
          <w:szCs w:val="24"/>
          <w:highlight w:val="none"/>
        </w:rPr>
      </w:pPr>
      <w:r>
        <w:rPr>
          <w:rFonts w:hint="eastAsia" w:ascii="宋体" w:hAnsi="宋体" w:eastAsia="宋体" w:cs="Times New Roman"/>
          <w:b w:val="0"/>
          <w:color w:val="auto"/>
          <w:kern w:val="2"/>
          <w:sz w:val="24"/>
          <w:szCs w:val="24"/>
          <w:highlight w:val="none"/>
          <w:lang w:val="en-US" w:eastAsia="zh-CN" w:bidi="ar"/>
        </w:rPr>
        <w:t xml:space="preserve"> </w:t>
      </w:r>
    </w:p>
    <w:p w14:paraId="70046E66">
      <w:pPr>
        <w:keepNext w:val="0"/>
        <w:keepLines w:val="0"/>
        <w:widowControl w:val="0"/>
        <w:suppressLineNumbers w:val="0"/>
        <w:spacing w:before="20" w:beforeAutospacing="0" w:after="0" w:afterAutospacing="0" w:line="410" w:lineRule="auto"/>
        <w:ind w:left="0" w:right="0"/>
        <w:jc w:val="center"/>
        <w:outlineLvl w:val="2"/>
        <w:rPr>
          <w:rFonts w:hint="default" w:ascii="Times New Roman" w:hAnsi="Times New Roman" w:eastAsia="宋体" w:cs="Times New Roman"/>
          <w:b/>
          <w:bCs w:val="0"/>
          <w:color w:val="auto"/>
          <w:kern w:val="2"/>
          <w:sz w:val="28"/>
          <w:szCs w:val="28"/>
          <w:highlight w:val="none"/>
        </w:rPr>
      </w:pPr>
      <w:r>
        <w:rPr>
          <w:rFonts w:hint="eastAsia" w:ascii="宋体" w:hAnsi="宋体" w:eastAsia="宋体" w:cs="宋体"/>
          <w:b w:val="0"/>
          <w:color w:val="auto"/>
          <w:kern w:val="2"/>
          <w:sz w:val="24"/>
          <w:szCs w:val="24"/>
          <w:highlight w:val="none"/>
          <w:lang w:val="en-US" w:eastAsia="zh-CN" w:bidi="ar"/>
        </w:rPr>
        <w:t>承揽的类似项目情况表（综合评分）（格式可自定）</w:t>
      </w:r>
    </w:p>
    <w:tbl>
      <w:tblPr>
        <w:tblStyle w:val="10"/>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10"/>
        <w:gridCol w:w="6092"/>
      </w:tblGrid>
      <w:tr w14:paraId="62B2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0FA89E04">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项目名称</w:t>
            </w:r>
          </w:p>
        </w:tc>
        <w:tc>
          <w:tcPr>
            <w:tcW w:w="6092" w:type="dxa"/>
            <w:tcBorders>
              <w:top w:val="single" w:color="auto" w:sz="4" w:space="0"/>
              <w:left w:val="nil"/>
              <w:bottom w:val="single" w:color="auto" w:sz="4" w:space="0"/>
              <w:right w:val="single" w:color="auto" w:sz="4" w:space="0"/>
            </w:tcBorders>
            <w:shd w:val="clear" w:color="auto" w:fill="auto"/>
            <w:vAlign w:val="top"/>
          </w:tcPr>
          <w:p w14:paraId="30F6843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38E1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409AADF8">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项目所在地</w:t>
            </w:r>
          </w:p>
        </w:tc>
        <w:tc>
          <w:tcPr>
            <w:tcW w:w="6092" w:type="dxa"/>
            <w:tcBorders>
              <w:top w:val="single" w:color="auto" w:sz="4" w:space="0"/>
              <w:left w:val="nil"/>
              <w:bottom w:val="single" w:color="auto" w:sz="4" w:space="0"/>
              <w:right w:val="single" w:color="auto" w:sz="4" w:space="0"/>
            </w:tcBorders>
            <w:shd w:val="clear" w:color="auto" w:fill="auto"/>
            <w:vAlign w:val="top"/>
          </w:tcPr>
          <w:p w14:paraId="5056E378">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2F8E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5765632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委托人名称</w:t>
            </w:r>
          </w:p>
        </w:tc>
        <w:tc>
          <w:tcPr>
            <w:tcW w:w="6092" w:type="dxa"/>
            <w:tcBorders>
              <w:top w:val="single" w:color="auto" w:sz="4" w:space="0"/>
              <w:left w:val="nil"/>
              <w:bottom w:val="single" w:color="auto" w:sz="4" w:space="0"/>
              <w:right w:val="single" w:color="auto" w:sz="4" w:space="0"/>
            </w:tcBorders>
            <w:shd w:val="clear" w:color="auto" w:fill="auto"/>
            <w:vAlign w:val="top"/>
          </w:tcPr>
          <w:p w14:paraId="5E4E933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4F61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04D996E2">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委托人地址</w:t>
            </w:r>
          </w:p>
        </w:tc>
        <w:tc>
          <w:tcPr>
            <w:tcW w:w="6092" w:type="dxa"/>
            <w:tcBorders>
              <w:top w:val="single" w:color="auto" w:sz="4" w:space="0"/>
              <w:left w:val="nil"/>
              <w:bottom w:val="single" w:color="auto" w:sz="4" w:space="0"/>
              <w:right w:val="single" w:color="auto" w:sz="4" w:space="0"/>
            </w:tcBorders>
            <w:shd w:val="clear" w:color="auto" w:fill="auto"/>
            <w:vAlign w:val="top"/>
          </w:tcPr>
          <w:p w14:paraId="65D1C61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34CC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789DBE12">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委托人电话</w:t>
            </w:r>
          </w:p>
        </w:tc>
        <w:tc>
          <w:tcPr>
            <w:tcW w:w="6092" w:type="dxa"/>
            <w:tcBorders>
              <w:top w:val="single" w:color="auto" w:sz="4" w:space="0"/>
              <w:left w:val="nil"/>
              <w:bottom w:val="single" w:color="auto" w:sz="4" w:space="0"/>
              <w:right w:val="single" w:color="auto" w:sz="4" w:space="0"/>
            </w:tcBorders>
            <w:shd w:val="clear" w:color="auto" w:fill="auto"/>
            <w:vAlign w:val="top"/>
          </w:tcPr>
          <w:p w14:paraId="5A8295D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C0D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4514D9A0">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合同签订时间</w:t>
            </w:r>
          </w:p>
        </w:tc>
        <w:tc>
          <w:tcPr>
            <w:tcW w:w="6092" w:type="dxa"/>
            <w:tcBorders>
              <w:top w:val="single" w:color="auto" w:sz="4" w:space="0"/>
              <w:left w:val="nil"/>
              <w:bottom w:val="single" w:color="auto" w:sz="4" w:space="0"/>
              <w:right w:val="single" w:color="auto" w:sz="4" w:space="0"/>
            </w:tcBorders>
            <w:shd w:val="clear" w:color="auto" w:fill="auto"/>
            <w:vAlign w:val="top"/>
          </w:tcPr>
          <w:p w14:paraId="2DFA61C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2C9C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3005EF00">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合同价格</w:t>
            </w:r>
          </w:p>
        </w:tc>
        <w:tc>
          <w:tcPr>
            <w:tcW w:w="6092" w:type="dxa"/>
            <w:tcBorders>
              <w:top w:val="single" w:color="auto" w:sz="4" w:space="0"/>
              <w:left w:val="nil"/>
              <w:bottom w:val="single" w:color="auto" w:sz="4" w:space="0"/>
              <w:right w:val="single" w:color="auto" w:sz="4" w:space="0"/>
            </w:tcBorders>
            <w:shd w:val="clear" w:color="auto" w:fill="auto"/>
            <w:vAlign w:val="top"/>
          </w:tcPr>
          <w:p w14:paraId="07FF91F3">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3F41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7C5B7232">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服务期限</w:t>
            </w:r>
          </w:p>
        </w:tc>
        <w:tc>
          <w:tcPr>
            <w:tcW w:w="6092" w:type="dxa"/>
            <w:tcBorders>
              <w:top w:val="single" w:color="auto" w:sz="4" w:space="0"/>
              <w:left w:val="nil"/>
              <w:bottom w:val="single" w:color="auto" w:sz="4" w:space="0"/>
              <w:right w:val="single" w:color="auto" w:sz="4" w:space="0"/>
            </w:tcBorders>
            <w:shd w:val="clear" w:color="auto" w:fill="auto"/>
            <w:vAlign w:val="top"/>
          </w:tcPr>
          <w:p w14:paraId="44D6FE31">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12E0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6AA52AF4">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采购内容</w:t>
            </w:r>
          </w:p>
        </w:tc>
        <w:tc>
          <w:tcPr>
            <w:tcW w:w="6092" w:type="dxa"/>
            <w:tcBorders>
              <w:top w:val="single" w:color="auto" w:sz="4" w:space="0"/>
              <w:left w:val="nil"/>
              <w:bottom w:val="single" w:color="auto" w:sz="4" w:space="0"/>
              <w:right w:val="single" w:color="auto" w:sz="4" w:space="0"/>
            </w:tcBorders>
            <w:shd w:val="clear" w:color="auto" w:fill="auto"/>
            <w:vAlign w:val="top"/>
          </w:tcPr>
          <w:p w14:paraId="1371F23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BF5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0DCE740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项目描述</w:t>
            </w:r>
          </w:p>
        </w:tc>
        <w:tc>
          <w:tcPr>
            <w:tcW w:w="6092" w:type="dxa"/>
            <w:tcBorders>
              <w:top w:val="single" w:color="auto" w:sz="4" w:space="0"/>
              <w:left w:val="nil"/>
              <w:bottom w:val="single" w:color="auto" w:sz="4" w:space="0"/>
              <w:right w:val="single" w:color="auto" w:sz="4" w:space="0"/>
            </w:tcBorders>
            <w:shd w:val="clear" w:color="auto" w:fill="auto"/>
            <w:vAlign w:val="top"/>
          </w:tcPr>
          <w:p w14:paraId="2618F272">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p w14:paraId="5336E60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1006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4AA4B3F8">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c>
          <w:tcPr>
            <w:tcW w:w="6092" w:type="dxa"/>
            <w:tcBorders>
              <w:top w:val="single" w:color="auto" w:sz="4" w:space="0"/>
              <w:left w:val="nil"/>
              <w:bottom w:val="single" w:color="auto" w:sz="4" w:space="0"/>
              <w:right w:val="single" w:color="auto" w:sz="4" w:space="0"/>
            </w:tcBorders>
            <w:shd w:val="clear" w:color="auto" w:fill="auto"/>
            <w:vAlign w:val="top"/>
          </w:tcPr>
          <w:p w14:paraId="25BD0C7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bl>
    <w:p w14:paraId="03F86D7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注：投标人应根据评标办法的要求在本表后附相关证明材料。</w:t>
      </w:r>
      <w:r>
        <w:rPr>
          <w:rFonts w:hint="default" w:ascii="Times New Roman" w:hAnsi="Times New Roman" w:eastAsia="宋体" w:cs="Times New Roman"/>
          <w:color w:val="auto"/>
          <w:kern w:val="2"/>
          <w:sz w:val="21"/>
          <w:szCs w:val="21"/>
          <w:highlight w:val="none"/>
          <w:lang w:val="en-US" w:eastAsia="zh-CN" w:bidi="ar"/>
        </w:rPr>
        <w:t xml:space="preserve"> </w:t>
      </w:r>
    </w:p>
    <w:p w14:paraId="074F3773">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lang w:val="en-US" w:eastAsia="zh-CN" w:bidi="ar"/>
        </w:rPr>
        <w:br w:type="page"/>
      </w:r>
      <w:r>
        <w:rPr>
          <w:rFonts w:hint="default" w:ascii="宋体" w:hAnsi="宋体" w:eastAsia="宋体" w:cs="宋体"/>
          <w:color w:val="auto"/>
          <w:kern w:val="0"/>
          <w:sz w:val="32"/>
          <w:szCs w:val="32"/>
          <w:highlight w:val="none"/>
          <w:lang w:eastAsia="zh-CN" w:bidi="ar"/>
        </w:rPr>
        <w:t>（三）投标人</w:t>
      </w:r>
      <w:r>
        <w:rPr>
          <w:rFonts w:hint="eastAsia" w:ascii="宋体" w:hAnsi="宋体" w:eastAsia="宋体" w:cs="宋体"/>
          <w:color w:val="auto"/>
          <w:kern w:val="0"/>
          <w:sz w:val="32"/>
          <w:szCs w:val="32"/>
          <w:highlight w:val="none"/>
          <w:lang w:val="en-US" w:eastAsia="zh-CN" w:bidi="ar"/>
        </w:rPr>
        <w:t>资信证明材料（如有）</w:t>
      </w:r>
    </w:p>
    <w:p w14:paraId="50D6FB6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0"/>
          <w:sz w:val="32"/>
          <w:szCs w:val="32"/>
          <w:highlight w:val="none"/>
        </w:rPr>
      </w:pPr>
      <w:r>
        <w:rPr>
          <w:rFonts w:hint="eastAsia" w:ascii="宋体" w:hAnsi="宋体" w:eastAsia="宋体" w:cs="宋体"/>
          <w:color w:val="auto"/>
          <w:kern w:val="2"/>
          <w:sz w:val="24"/>
          <w:szCs w:val="24"/>
          <w:highlight w:val="none"/>
          <w:lang w:val="en-US" w:eastAsia="zh-CN" w:bidi="ar"/>
        </w:rPr>
        <w:t>投标人应根据评标办法的要求后附相关证明材料。</w:t>
      </w:r>
    </w:p>
    <w:p w14:paraId="0426D50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b w:val="0"/>
          <w:color w:val="auto"/>
          <w:kern w:val="2"/>
          <w:sz w:val="24"/>
          <w:szCs w:val="24"/>
          <w:highlight w:val="none"/>
        </w:rPr>
      </w:pPr>
    </w:p>
    <w:p w14:paraId="6912360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lang w:val="en-US" w:eastAsia="zh-CN" w:bidi="ar"/>
        </w:rPr>
        <w:t xml:space="preserve"> </w:t>
      </w:r>
    </w:p>
    <w:p w14:paraId="2B25A68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bookmarkStart w:id="147" w:name="_Toc7454681"/>
      <w:bookmarkEnd w:id="147"/>
      <w:bookmarkStart w:id="148" w:name="_Toc6823"/>
      <w:r>
        <w:rPr>
          <w:rFonts w:hint="eastAsia" w:ascii="宋体" w:hAnsi="宋体" w:eastAsia="宋体" w:cs="宋体"/>
          <w:color w:val="auto"/>
          <w:kern w:val="0"/>
          <w:sz w:val="32"/>
          <w:szCs w:val="32"/>
          <w:highlight w:val="none"/>
          <w:lang w:val="en-US" w:eastAsia="zh-CN" w:bidi="ar"/>
        </w:rPr>
        <w:br w:type="page"/>
      </w:r>
      <w:bookmarkEnd w:id="148"/>
    </w:p>
    <w:p w14:paraId="7707C31F">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color w:val="auto"/>
          <w:kern w:val="0"/>
          <w:sz w:val="32"/>
          <w:szCs w:val="32"/>
          <w:highlight w:val="none"/>
          <w:lang w:eastAsia="zh-CN" w:bidi="ar"/>
        </w:rPr>
      </w:pPr>
      <w:r>
        <w:rPr>
          <w:rFonts w:hint="default" w:ascii="宋体" w:hAnsi="宋体" w:eastAsia="宋体" w:cs="宋体"/>
          <w:color w:val="auto"/>
          <w:kern w:val="0"/>
          <w:sz w:val="32"/>
          <w:szCs w:val="32"/>
          <w:highlight w:val="none"/>
          <w:lang w:eastAsia="zh-CN" w:bidi="ar"/>
        </w:rPr>
        <w:t>（四）</w:t>
      </w:r>
      <w:r>
        <w:rPr>
          <w:rFonts w:hint="default" w:ascii="宋体" w:hAnsi="宋体" w:eastAsia="宋体" w:cs="宋体"/>
          <w:color w:val="auto"/>
          <w:kern w:val="0"/>
          <w:sz w:val="32"/>
          <w:szCs w:val="32"/>
          <w:highlight w:val="none"/>
          <w:lang w:val="en-US" w:eastAsia="zh-CN" w:bidi="ar"/>
        </w:rPr>
        <w:t>投入主要人员汇总表</w:t>
      </w:r>
    </w:p>
    <w:p w14:paraId="7CB5F1F2">
      <w:pPr>
        <w:keepNext w:val="0"/>
        <w:keepLines w:val="0"/>
        <w:widowControl/>
        <w:suppressLineNumbers w:val="0"/>
        <w:topLinePunct/>
        <w:adjustRightInd w:val="0"/>
        <w:snapToGrid w:val="0"/>
        <w:spacing w:before="156" w:beforeAutospacing="0" w:after="156" w:afterAutospacing="0" w:line="360" w:lineRule="auto"/>
        <w:ind w:left="0" w:right="0"/>
        <w:jc w:val="center"/>
        <w:rPr>
          <w:rFonts w:hint="eastAsia" w:ascii="宋体" w:hAnsi="宋体" w:eastAsia="宋体" w:cs="宋体"/>
          <w:b/>
          <w:bCs w:val="0"/>
          <w:color w:val="auto"/>
          <w:spacing w:val="4"/>
          <w:kern w:val="0"/>
          <w:sz w:val="32"/>
          <w:szCs w:val="32"/>
          <w:highlight w:val="none"/>
        </w:rPr>
      </w:pPr>
      <w:bookmarkStart w:id="149" w:name="_Toc7454683"/>
      <w:bookmarkEnd w:id="149"/>
      <w:bookmarkStart w:id="150" w:name="_Toc6971"/>
      <w:r>
        <w:rPr>
          <w:rFonts w:hint="eastAsia" w:ascii="宋体" w:hAnsi="宋体" w:eastAsia="宋体" w:cs="宋体"/>
          <w:b/>
          <w:bCs w:val="0"/>
          <w:color w:val="auto"/>
          <w:spacing w:val="4"/>
          <w:kern w:val="0"/>
          <w:sz w:val="32"/>
          <w:szCs w:val="32"/>
          <w:highlight w:val="none"/>
          <w:lang w:val="en-US" w:eastAsia="zh-CN" w:bidi="ar"/>
        </w:rPr>
        <w:t>投入主要人员汇总表</w:t>
      </w:r>
    </w:p>
    <w:p w14:paraId="1C1DDFDD">
      <w:pPr>
        <w:keepNext w:val="0"/>
        <w:keepLines w:val="0"/>
        <w:widowControl/>
        <w:suppressLineNumbers w:val="0"/>
        <w:topLinePunct/>
        <w:adjustRightInd w:val="0"/>
        <w:snapToGrid w:val="0"/>
        <w:spacing w:before="156" w:beforeAutospacing="0" w:after="156" w:afterAutospacing="0" w:line="360" w:lineRule="auto"/>
        <w:ind w:left="0" w:right="0"/>
        <w:jc w:val="center"/>
        <w:rPr>
          <w:rFonts w:hint="eastAsia" w:ascii="宋体" w:hAnsi="宋体" w:eastAsia="宋体" w:cs="Times New Roman"/>
          <w:b/>
          <w:bCs w:val="0"/>
          <w:color w:val="auto"/>
          <w:spacing w:val="4"/>
          <w:kern w:val="0"/>
          <w:sz w:val="32"/>
          <w:szCs w:val="32"/>
          <w:highlight w:val="none"/>
        </w:rPr>
      </w:pPr>
      <w:r>
        <w:rPr>
          <w:rFonts w:hint="eastAsia" w:ascii="宋体" w:hAnsi="宋体" w:eastAsia="宋体" w:cs="宋体"/>
          <w:b/>
          <w:bCs w:val="0"/>
          <w:color w:val="auto"/>
          <w:spacing w:val="4"/>
          <w:kern w:val="0"/>
          <w:sz w:val="32"/>
          <w:szCs w:val="32"/>
          <w:highlight w:val="none"/>
          <w:lang w:val="en-US" w:eastAsia="zh-CN" w:bidi="ar"/>
        </w:rPr>
        <w:t>（第十五届全运会广东奥林匹克体育中心升级改造项目）</w:t>
      </w:r>
    </w:p>
    <w:tbl>
      <w:tblPr>
        <w:tblStyle w:val="10"/>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5"/>
        <w:gridCol w:w="420"/>
        <w:gridCol w:w="458"/>
        <w:gridCol w:w="356"/>
        <w:gridCol w:w="644"/>
        <w:gridCol w:w="425"/>
        <w:gridCol w:w="446"/>
        <w:gridCol w:w="1353"/>
        <w:gridCol w:w="923"/>
        <w:gridCol w:w="2729"/>
        <w:gridCol w:w="1335"/>
      </w:tblGrid>
      <w:tr w14:paraId="0440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5933D40C">
            <w:pPr>
              <w:pStyle w:val="8"/>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b/>
                <w:bCs w:val="0"/>
                <w:color w:val="auto"/>
                <w:kern w:val="2"/>
                <w:sz w:val="21"/>
                <w:szCs w:val="21"/>
                <w:highlight w:val="none"/>
                <w:lang w:val="en-US" w:eastAsia="zh-CN" w:bidi="ar"/>
              </w:rPr>
              <w:t>序号</w:t>
            </w:r>
          </w:p>
        </w:tc>
        <w:tc>
          <w:tcPr>
            <w:tcW w:w="420" w:type="dxa"/>
            <w:tcBorders>
              <w:top w:val="single" w:color="auto" w:sz="4" w:space="0"/>
              <w:left w:val="nil"/>
              <w:bottom w:val="single" w:color="auto" w:sz="4" w:space="0"/>
              <w:right w:val="single" w:color="auto" w:sz="4" w:space="0"/>
            </w:tcBorders>
            <w:shd w:val="clear" w:color="auto" w:fill="auto"/>
            <w:vAlign w:val="center"/>
          </w:tcPr>
          <w:p w14:paraId="645EDBB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姓名</w:t>
            </w:r>
          </w:p>
        </w:tc>
        <w:tc>
          <w:tcPr>
            <w:tcW w:w="458" w:type="dxa"/>
            <w:tcBorders>
              <w:top w:val="single" w:color="auto" w:sz="4" w:space="0"/>
              <w:left w:val="nil"/>
              <w:bottom w:val="single" w:color="auto" w:sz="4" w:space="0"/>
              <w:right w:val="single" w:color="auto" w:sz="4" w:space="0"/>
            </w:tcBorders>
            <w:shd w:val="clear" w:color="auto" w:fill="auto"/>
            <w:vAlign w:val="center"/>
          </w:tcPr>
          <w:p w14:paraId="76B6BF5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年龄</w:t>
            </w:r>
          </w:p>
        </w:tc>
        <w:tc>
          <w:tcPr>
            <w:tcW w:w="356" w:type="dxa"/>
            <w:tcBorders>
              <w:top w:val="single" w:color="auto" w:sz="4" w:space="0"/>
              <w:left w:val="nil"/>
              <w:bottom w:val="single" w:color="auto" w:sz="4" w:space="0"/>
              <w:right w:val="single" w:color="auto" w:sz="4" w:space="0"/>
            </w:tcBorders>
            <w:shd w:val="clear" w:color="auto" w:fill="auto"/>
            <w:vAlign w:val="center"/>
          </w:tcPr>
          <w:p w14:paraId="44BEAFB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工作年限</w:t>
            </w:r>
          </w:p>
        </w:tc>
        <w:tc>
          <w:tcPr>
            <w:tcW w:w="644" w:type="dxa"/>
            <w:tcBorders>
              <w:top w:val="single" w:color="auto" w:sz="4" w:space="0"/>
              <w:left w:val="nil"/>
              <w:bottom w:val="single" w:color="auto" w:sz="4" w:space="0"/>
              <w:right w:val="single" w:color="auto" w:sz="4" w:space="0"/>
            </w:tcBorders>
            <w:shd w:val="clear" w:color="auto" w:fill="auto"/>
            <w:vAlign w:val="center"/>
          </w:tcPr>
          <w:p w14:paraId="5777697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所学专业</w:t>
            </w:r>
          </w:p>
        </w:tc>
        <w:tc>
          <w:tcPr>
            <w:tcW w:w="425" w:type="dxa"/>
            <w:tcBorders>
              <w:top w:val="single" w:color="auto" w:sz="4" w:space="0"/>
              <w:left w:val="nil"/>
              <w:bottom w:val="single" w:color="auto" w:sz="4" w:space="0"/>
              <w:right w:val="single" w:color="auto" w:sz="4" w:space="0"/>
            </w:tcBorders>
            <w:shd w:val="clear" w:color="auto" w:fill="auto"/>
            <w:vAlign w:val="center"/>
          </w:tcPr>
          <w:p w14:paraId="6E26F50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职称、资格证书</w:t>
            </w:r>
          </w:p>
        </w:tc>
        <w:tc>
          <w:tcPr>
            <w:tcW w:w="446" w:type="dxa"/>
            <w:tcBorders>
              <w:top w:val="single" w:color="auto" w:sz="4" w:space="0"/>
              <w:left w:val="nil"/>
              <w:bottom w:val="single" w:color="auto" w:sz="4" w:space="0"/>
              <w:right w:val="single" w:color="auto" w:sz="4" w:space="0"/>
            </w:tcBorders>
            <w:shd w:val="clear" w:color="auto" w:fill="auto"/>
            <w:vAlign w:val="center"/>
          </w:tcPr>
          <w:p w14:paraId="0E6CF15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原任职务</w:t>
            </w:r>
          </w:p>
        </w:tc>
        <w:tc>
          <w:tcPr>
            <w:tcW w:w="1353" w:type="dxa"/>
            <w:tcBorders>
              <w:top w:val="single" w:color="auto" w:sz="4" w:space="0"/>
              <w:left w:val="nil"/>
              <w:bottom w:val="single" w:color="auto" w:sz="4" w:space="0"/>
              <w:right w:val="single" w:color="auto" w:sz="4" w:space="0"/>
            </w:tcBorders>
            <w:shd w:val="clear" w:color="auto" w:fill="auto"/>
            <w:vAlign w:val="center"/>
          </w:tcPr>
          <w:p w14:paraId="7EA9726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在本项目任职</w:t>
            </w:r>
          </w:p>
        </w:tc>
        <w:tc>
          <w:tcPr>
            <w:tcW w:w="923" w:type="dxa"/>
            <w:tcBorders>
              <w:top w:val="single" w:color="auto" w:sz="4" w:space="0"/>
              <w:left w:val="nil"/>
              <w:bottom w:val="single" w:color="auto" w:sz="4" w:space="0"/>
              <w:right w:val="single" w:color="auto" w:sz="4" w:space="0"/>
            </w:tcBorders>
            <w:shd w:val="clear" w:color="auto" w:fill="auto"/>
            <w:vAlign w:val="center"/>
          </w:tcPr>
          <w:p w14:paraId="0F57457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数量（人）</w:t>
            </w:r>
          </w:p>
        </w:tc>
        <w:tc>
          <w:tcPr>
            <w:tcW w:w="2729" w:type="dxa"/>
            <w:tcBorders>
              <w:top w:val="single" w:color="auto" w:sz="4" w:space="0"/>
              <w:left w:val="nil"/>
              <w:bottom w:val="single" w:color="auto" w:sz="4" w:space="0"/>
              <w:right w:val="single" w:color="auto" w:sz="4" w:space="0"/>
            </w:tcBorders>
            <w:shd w:val="clear" w:color="auto" w:fill="auto"/>
            <w:vAlign w:val="center"/>
          </w:tcPr>
          <w:p w14:paraId="03D10B3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基本要求</w:t>
            </w:r>
          </w:p>
        </w:tc>
        <w:tc>
          <w:tcPr>
            <w:tcW w:w="1335" w:type="dxa"/>
            <w:tcBorders>
              <w:top w:val="single" w:color="auto" w:sz="4" w:space="0"/>
              <w:left w:val="nil"/>
              <w:bottom w:val="single" w:color="auto" w:sz="4" w:space="0"/>
              <w:right w:val="single" w:color="auto" w:sz="4" w:space="0"/>
            </w:tcBorders>
            <w:shd w:val="clear" w:color="auto" w:fill="auto"/>
            <w:vAlign w:val="center"/>
          </w:tcPr>
          <w:p w14:paraId="432576C1">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备注</w:t>
            </w:r>
          </w:p>
        </w:tc>
      </w:tr>
      <w:tr w14:paraId="2E64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0EED8EBE">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420" w:type="dxa"/>
            <w:tcBorders>
              <w:top w:val="single" w:color="auto" w:sz="4" w:space="0"/>
              <w:left w:val="nil"/>
              <w:bottom w:val="single" w:color="auto" w:sz="4" w:space="0"/>
              <w:right w:val="single" w:color="auto" w:sz="4" w:space="0"/>
            </w:tcBorders>
            <w:shd w:val="clear" w:color="auto" w:fill="auto"/>
            <w:vAlign w:val="center"/>
          </w:tcPr>
          <w:p w14:paraId="17C9B7F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7D34D9A4">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0EBDAF18">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50BB2F70">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3A856BE6">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5B9EC4C7">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auto"/>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797D2ED8">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053DF27F">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2729" w:type="dxa"/>
            <w:tcBorders>
              <w:top w:val="single" w:color="auto" w:sz="4" w:space="0"/>
              <w:left w:val="nil"/>
              <w:bottom w:val="single" w:color="auto" w:sz="4" w:space="0"/>
              <w:right w:val="single" w:color="auto" w:sz="4" w:space="0"/>
            </w:tcBorders>
            <w:shd w:val="clear" w:color="auto" w:fill="auto"/>
            <w:vAlign w:val="center"/>
          </w:tcPr>
          <w:p w14:paraId="1581741B">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p>
        </w:tc>
        <w:tc>
          <w:tcPr>
            <w:tcW w:w="1335" w:type="dxa"/>
            <w:tcBorders>
              <w:top w:val="single" w:color="auto" w:sz="4" w:space="0"/>
              <w:left w:val="nil"/>
              <w:bottom w:val="single" w:color="auto" w:sz="4" w:space="0"/>
              <w:right w:val="single" w:color="auto" w:sz="4" w:space="0"/>
            </w:tcBorders>
            <w:shd w:val="clear" w:color="auto" w:fill="auto"/>
            <w:vAlign w:val="center"/>
          </w:tcPr>
          <w:p w14:paraId="7084CD95">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17AA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2A2B3D5C">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420" w:type="dxa"/>
            <w:tcBorders>
              <w:top w:val="single" w:color="auto" w:sz="4" w:space="0"/>
              <w:left w:val="nil"/>
              <w:bottom w:val="single" w:color="auto" w:sz="4" w:space="0"/>
              <w:right w:val="single" w:color="auto" w:sz="4" w:space="0"/>
            </w:tcBorders>
            <w:shd w:val="clear" w:color="auto" w:fill="auto"/>
            <w:vAlign w:val="center"/>
          </w:tcPr>
          <w:p w14:paraId="458CC02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4262439B">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0C338D2A">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216F7838">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0CF5A3C1">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46DED0D5">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auto"/>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5A378682">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29BADC9F">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2729" w:type="dxa"/>
            <w:tcBorders>
              <w:top w:val="single" w:color="auto" w:sz="4" w:space="0"/>
              <w:left w:val="nil"/>
              <w:bottom w:val="single" w:color="auto" w:sz="4" w:space="0"/>
              <w:right w:val="single" w:color="auto" w:sz="4" w:space="0"/>
            </w:tcBorders>
            <w:shd w:val="clear" w:color="auto" w:fill="auto"/>
            <w:vAlign w:val="center"/>
          </w:tcPr>
          <w:p w14:paraId="34E376B9">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p>
        </w:tc>
        <w:tc>
          <w:tcPr>
            <w:tcW w:w="1335" w:type="dxa"/>
            <w:tcBorders>
              <w:top w:val="single" w:color="auto" w:sz="4" w:space="0"/>
              <w:left w:val="nil"/>
              <w:bottom w:val="single" w:color="auto" w:sz="4" w:space="0"/>
              <w:right w:val="single" w:color="auto" w:sz="4" w:space="0"/>
            </w:tcBorders>
            <w:shd w:val="clear" w:color="auto" w:fill="auto"/>
            <w:vAlign w:val="center"/>
          </w:tcPr>
          <w:p w14:paraId="6E11C9EE">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r>
      <w:tr w14:paraId="7B53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4845C412">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420" w:type="dxa"/>
            <w:tcBorders>
              <w:top w:val="single" w:color="auto" w:sz="4" w:space="0"/>
              <w:left w:val="nil"/>
              <w:bottom w:val="single" w:color="auto" w:sz="4" w:space="0"/>
              <w:right w:val="single" w:color="auto" w:sz="4" w:space="0"/>
            </w:tcBorders>
            <w:shd w:val="clear" w:color="auto" w:fill="auto"/>
            <w:vAlign w:val="center"/>
          </w:tcPr>
          <w:p w14:paraId="3CB2301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67A88B7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4C53C1A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573B78D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1F6F56A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398AF3DD">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auto"/>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050E43D7">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52EE30EA">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2729" w:type="dxa"/>
            <w:tcBorders>
              <w:top w:val="single" w:color="auto" w:sz="4" w:space="0"/>
              <w:left w:val="nil"/>
              <w:bottom w:val="single" w:color="auto" w:sz="4" w:space="0"/>
              <w:right w:val="single" w:color="auto" w:sz="4" w:space="0"/>
            </w:tcBorders>
            <w:shd w:val="clear" w:color="auto" w:fill="auto"/>
            <w:vAlign w:val="center"/>
          </w:tcPr>
          <w:p w14:paraId="6A7D347A">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p>
        </w:tc>
        <w:tc>
          <w:tcPr>
            <w:tcW w:w="1335" w:type="dxa"/>
            <w:tcBorders>
              <w:top w:val="single" w:color="auto" w:sz="4" w:space="0"/>
              <w:left w:val="nil"/>
              <w:bottom w:val="single" w:color="auto" w:sz="4" w:space="0"/>
              <w:right w:val="single" w:color="auto" w:sz="4" w:space="0"/>
            </w:tcBorders>
            <w:shd w:val="clear" w:color="auto" w:fill="auto"/>
            <w:vAlign w:val="center"/>
          </w:tcPr>
          <w:p w14:paraId="614BB0F2">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r>
      <w:tr w14:paraId="08DD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41EB8880">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420" w:type="dxa"/>
            <w:tcBorders>
              <w:top w:val="single" w:color="auto" w:sz="4" w:space="0"/>
              <w:left w:val="nil"/>
              <w:bottom w:val="single" w:color="auto" w:sz="4" w:space="0"/>
              <w:right w:val="single" w:color="auto" w:sz="4" w:space="0"/>
            </w:tcBorders>
            <w:shd w:val="clear" w:color="auto" w:fill="auto"/>
            <w:vAlign w:val="center"/>
          </w:tcPr>
          <w:p w14:paraId="175348C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00F922C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43F3040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3CD5E33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79AD5E6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2AF86DA9">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auto"/>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02DB194E">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487A2D3B">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2729" w:type="dxa"/>
            <w:tcBorders>
              <w:top w:val="single" w:color="auto" w:sz="4" w:space="0"/>
              <w:left w:val="nil"/>
              <w:bottom w:val="single" w:color="auto" w:sz="4" w:space="0"/>
              <w:right w:val="single" w:color="auto" w:sz="4" w:space="0"/>
            </w:tcBorders>
            <w:shd w:val="clear" w:color="auto" w:fill="auto"/>
            <w:vAlign w:val="center"/>
          </w:tcPr>
          <w:p w14:paraId="3FCCF68F">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p>
        </w:tc>
        <w:tc>
          <w:tcPr>
            <w:tcW w:w="1335" w:type="dxa"/>
            <w:tcBorders>
              <w:top w:val="single" w:color="auto" w:sz="4" w:space="0"/>
              <w:left w:val="nil"/>
              <w:bottom w:val="single" w:color="auto" w:sz="4" w:space="0"/>
              <w:right w:val="single" w:color="auto" w:sz="4" w:space="0"/>
            </w:tcBorders>
            <w:shd w:val="clear" w:color="auto" w:fill="auto"/>
            <w:vAlign w:val="center"/>
          </w:tcPr>
          <w:p w14:paraId="27A443B3">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6B7B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616877D3">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420" w:type="dxa"/>
            <w:tcBorders>
              <w:top w:val="single" w:color="auto" w:sz="4" w:space="0"/>
              <w:left w:val="nil"/>
              <w:bottom w:val="single" w:color="auto" w:sz="4" w:space="0"/>
              <w:right w:val="single" w:color="auto" w:sz="4" w:space="0"/>
            </w:tcBorders>
            <w:shd w:val="clear" w:color="auto" w:fill="auto"/>
            <w:vAlign w:val="center"/>
          </w:tcPr>
          <w:p w14:paraId="1226A76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3F19309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15FC2CC6">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36D9500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15F7703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61E7BD21">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auto"/>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566F4C57">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5ED74C1A">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2729" w:type="dxa"/>
            <w:tcBorders>
              <w:top w:val="single" w:color="auto" w:sz="4" w:space="0"/>
              <w:left w:val="nil"/>
              <w:bottom w:val="single" w:color="auto" w:sz="4" w:space="0"/>
              <w:right w:val="single" w:color="auto" w:sz="4" w:space="0"/>
            </w:tcBorders>
            <w:shd w:val="clear" w:color="auto" w:fill="auto"/>
            <w:vAlign w:val="center"/>
          </w:tcPr>
          <w:p w14:paraId="27252109">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0"/>
                <w:sz w:val="21"/>
                <w:szCs w:val="21"/>
                <w:highlight w:val="none"/>
              </w:rPr>
            </w:pPr>
          </w:p>
        </w:tc>
        <w:tc>
          <w:tcPr>
            <w:tcW w:w="1335" w:type="dxa"/>
            <w:tcBorders>
              <w:top w:val="single" w:color="auto" w:sz="4" w:space="0"/>
              <w:left w:val="nil"/>
              <w:bottom w:val="single" w:color="auto" w:sz="4" w:space="0"/>
              <w:right w:val="single" w:color="auto" w:sz="4" w:space="0"/>
            </w:tcBorders>
            <w:shd w:val="clear" w:color="auto" w:fill="auto"/>
            <w:vAlign w:val="center"/>
          </w:tcPr>
          <w:p w14:paraId="629BEE05">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66CB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2EA7BAF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420" w:type="dxa"/>
            <w:tcBorders>
              <w:top w:val="single" w:color="auto" w:sz="4" w:space="0"/>
              <w:left w:val="nil"/>
              <w:bottom w:val="single" w:color="auto" w:sz="4" w:space="0"/>
              <w:right w:val="single" w:color="auto" w:sz="4" w:space="0"/>
            </w:tcBorders>
            <w:shd w:val="clear" w:color="auto" w:fill="auto"/>
            <w:vAlign w:val="center"/>
          </w:tcPr>
          <w:p w14:paraId="4D4984B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4F3463A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1578648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7A29E72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6F79534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0E1E04EC">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auto"/>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4FF22325">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06D29C80">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2729" w:type="dxa"/>
            <w:tcBorders>
              <w:top w:val="single" w:color="auto" w:sz="4" w:space="0"/>
              <w:left w:val="nil"/>
              <w:bottom w:val="single" w:color="auto" w:sz="4" w:space="0"/>
              <w:right w:val="single" w:color="auto" w:sz="4" w:space="0"/>
            </w:tcBorders>
            <w:shd w:val="clear" w:color="auto" w:fill="auto"/>
            <w:vAlign w:val="center"/>
          </w:tcPr>
          <w:p w14:paraId="7EDBFAED">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0"/>
                <w:sz w:val="21"/>
                <w:szCs w:val="21"/>
                <w:highlight w:val="none"/>
              </w:rPr>
            </w:pPr>
          </w:p>
        </w:tc>
        <w:tc>
          <w:tcPr>
            <w:tcW w:w="1335" w:type="dxa"/>
            <w:tcBorders>
              <w:top w:val="single" w:color="auto" w:sz="4" w:space="0"/>
              <w:left w:val="nil"/>
              <w:bottom w:val="single" w:color="auto" w:sz="4" w:space="0"/>
              <w:right w:val="single" w:color="auto" w:sz="4" w:space="0"/>
            </w:tcBorders>
            <w:shd w:val="clear" w:color="auto" w:fill="auto"/>
            <w:vAlign w:val="center"/>
          </w:tcPr>
          <w:p w14:paraId="502B98D1">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p>
        </w:tc>
      </w:tr>
      <w:tr w14:paraId="08C6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0ED0FC06">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420" w:type="dxa"/>
            <w:tcBorders>
              <w:top w:val="single" w:color="auto" w:sz="4" w:space="0"/>
              <w:left w:val="nil"/>
              <w:bottom w:val="single" w:color="auto" w:sz="4" w:space="0"/>
              <w:right w:val="single" w:color="auto" w:sz="4" w:space="0"/>
            </w:tcBorders>
            <w:shd w:val="clear" w:color="auto" w:fill="auto"/>
            <w:vAlign w:val="center"/>
          </w:tcPr>
          <w:p w14:paraId="4678E1D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4EEC08E5">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69DE77C1">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65253CF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1BF9065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0042D46D">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auto"/>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4F71C9E8">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4FC4BFD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2729" w:type="dxa"/>
            <w:tcBorders>
              <w:top w:val="single" w:color="auto" w:sz="4" w:space="0"/>
              <w:left w:val="nil"/>
              <w:bottom w:val="single" w:color="auto" w:sz="4" w:space="0"/>
              <w:right w:val="single" w:color="auto" w:sz="4" w:space="0"/>
            </w:tcBorders>
            <w:shd w:val="clear" w:color="auto" w:fill="auto"/>
            <w:vAlign w:val="center"/>
          </w:tcPr>
          <w:p w14:paraId="198ACDE1">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0"/>
                <w:sz w:val="21"/>
                <w:szCs w:val="21"/>
                <w:highlight w:val="none"/>
              </w:rPr>
            </w:pPr>
          </w:p>
        </w:tc>
        <w:tc>
          <w:tcPr>
            <w:tcW w:w="1335" w:type="dxa"/>
            <w:tcBorders>
              <w:top w:val="single" w:color="auto" w:sz="4" w:space="0"/>
              <w:left w:val="nil"/>
              <w:bottom w:val="single" w:color="auto" w:sz="4" w:space="0"/>
              <w:right w:val="single" w:color="auto" w:sz="4" w:space="0"/>
            </w:tcBorders>
            <w:shd w:val="clear" w:color="auto" w:fill="auto"/>
            <w:vAlign w:val="center"/>
          </w:tcPr>
          <w:p w14:paraId="0A67375B">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p>
        </w:tc>
      </w:tr>
      <w:tr w14:paraId="515F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51C993A2">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420" w:type="dxa"/>
            <w:tcBorders>
              <w:top w:val="single" w:color="auto" w:sz="4" w:space="0"/>
              <w:left w:val="nil"/>
              <w:bottom w:val="single" w:color="auto" w:sz="4" w:space="0"/>
              <w:right w:val="single" w:color="auto" w:sz="4" w:space="0"/>
            </w:tcBorders>
            <w:shd w:val="clear" w:color="auto" w:fill="auto"/>
            <w:vAlign w:val="center"/>
          </w:tcPr>
          <w:p w14:paraId="5D209F9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061756C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615C744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2750DF0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5CDBB95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0826421C">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auto"/>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6C02E7EB">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05F99430">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2729" w:type="dxa"/>
            <w:tcBorders>
              <w:top w:val="single" w:color="auto" w:sz="4" w:space="0"/>
              <w:left w:val="nil"/>
              <w:bottom w:val="single" w:color="auto" w:sz="4" w:space="0"/>
              <w:right w:val="single" w:color="auto" w:sz="4" w:space="0"/>
            </w:tcBorders>
            <w:shd w:val="clear" w:color="auto" w:fill="auto"/>
            <w:vAlign w:val="center"/>
          </w:tcPr>
          <w:p w14:paraId="5EABBB14">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2"/>
                <w:sz w:val="20"/>
                <w:szCs w:val="20"/>
                <w:highlight w:val="none"/>
              </w:rPr>
            </w:pPr>
          </w:p>
        </w:tc>
        <w:tc>
          <w:tcPr>
            <w:tcW w:w="1335" w:type="dxa"/>
            <w:tcBorders>
              <w:top w:val="single" w:color="auto" w:sz="4" w:space="0"/>
              <w:left w:val="nil"/>
              <w:bottom w:val="single" w:color="auto" w:sz="4" w:space="0"/>
              <w:right w:val="single" w:color="auto" w:sz="4" w:space="0"/>
            </w:tcBorders>
            <w:shd w:val="clear" w:color="auto" w:fill="auto"/>
            <w:vAlign w:val="center"/>
          </w:tcPr>
          <w:p w14:paraId="1E562CEC">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2"/>
                <w:sz w:val="20"/>
                <w:szCs w:val="20"/>
                <w:highlight w:val="none"/>
              </w:rPr>
            </w:pPr>
          </w:p>
        </w:tc>
      </w:tr>
    </w:tbl>
    <w:p w14:paraId="49E8D76C">
      <w:pPr>
        <w:keepNext w:val="0"/>
        <w:keepLines w:val="0"/>
        <w:widowControl w:val="0"/>
        <w:suppressLineNumbers w:val="0"/>
        <w:shd w:val="clear" w:fill="FFFFFF"/>
        <w:adjustRightInd w:val="0"/>
        <w:spacing w:before="0" w:beforeAutospacing="0" w:after="0" w:afterAutospacing="0"/>
        <w:ind w:left="0" w:right="0" w:firstLine="361" w:firstLineChars="200"/>
        <w:jc w:val="both"/>
        <w:rPr>
          <w:rFonts w:hint="eastAsia" w:ascii="宋体" w:hAnsi="宋体" w:eastAsia="宋体" w:cs="Times New Roman"/>
          <w:color w:val="auto"/>
          <w:kern w:val="2"/>
          <w:sz w:val="18"/>
          <w:szCs w:val="18"/>
          <w:highlight w:val="none"/>
          <w:shd w:val="clear" w:fill="FFFFFF"/>
        </w:rPr>
      </w:pPr>
      <w:r>
        <w:rPr>
          <w:rFonts w:hint="eastAsia" w:ascii="宋体" w:hAnsi="宋体" w:eastAsia="宋体" w:cs="宋体"/>
          <w:b/>
          <w:bCs w:val="0"/>
          <w:color w:val="auto"/>
          <w:kern w:val="0"/>
          <w:sz w:val="18"/>
          <w:szCs w:val="18"/>
          <w:highlight w:val="none"/>
          <w:shd w:val="clear" w:fill="FFFFFF"/>
          <w:lang w:val="en-US" w:eastAsia="zh-CN" w:bidi="ar"/>
        </w:rPr>
        <w:t>备注</w:t>
      </w:r>
      <w:r>
        <w:rPr>
          <w:rFonts w:hint="eastAsia" w:ascii="宋体" w:hAnsi="宋体" w:eastAsia="宋体" w:cs="宋体"/>
          <w:color w:val="auto"/>
          <w:kern w:val="0"/>
          <w:sz w:val="18"/>
          <w:szCs w:val="18"/>
          <w:highlight w:val="none"/>
          <w:shd w:val="clear" w:fill="FFFFFF"/>
          <w:lang w:val="en-US" w:eastAsia="zh-CN" w:bidi="ar"/>
        </w:rPr>
        <w:t>：1、</w:t>
      </w:r>
      <w:r>
        <w:rPr>
          <w:rFonts w:hint="eastAsia" w:ascii="宋体" w:hAnsi="宋体" w:eastAsia="宋体" w:cs="宋体"/>
          <w:color w:val="auto"/>
          <w:kern w:val="2"/>
          <w:sz w:val="18"/>
          <w:szCs w:val="18"/>
          <w:highlight w:val="none"/>
          <w:lang w:val="en-US" w:eastAsia="zh-CN" w:bidi="ar"/>
        </w:rPr>
        <w:t>本表为项目经理部主要人员的基本要求，投标单位根据招标文件项目管理要求中项目管理部相关人员配备表及根据自身情况填报《投入主要人员汇总表》和《主要人员简历表》，各岗位人员不得相互兼职。</w:t>
      </w:r>
    </w:p>
    <w:p w14:paraId="5F0FEAA0">
      <w:pPr>
        <w:keepNext w:val="0"/>
        <w:keepLines w:val="0"/>
        <w:widowControl/>
        <w:suppressLineNumbers w:val="0"/>
        <w:shd w:val="clear" w:fill="FFFFFF"/>
        <w:adjustRightInd w:val="0"/>
        <w:spacing w:before="0" w:beforeAutospacing="0" w:after="0" w:afterAutospacing="0"/>
        <w:ind w:left="0" w:right="0" w:firstLine="360" w:firstLineChars="200"/>
        <w:jc w:val="left"/>
        <w:rPr>
          <w:rFonts w:hint="eastAsia" w:ascii="宋体" w:hAnsi="宋体" w:eastAsia="宋体" w:cs="宋体"/>
          <w:color w:val="auto"/>
          <w:kern w:val="0"/>
          <w:sz w:val="18"/>
          <w:szCs w:val="18"/>
          <w:highlight w:val="none"/>
          <w:shd w:val="clear" w:fill="FFFFFF"/>
        </w:rPr>
      </w:pPr>
      <w:r>
        <w:rPr>
          <w:rFonts w:hint="eastAsia" w:ascii="宋体" w:hAnsi="宋体" w:eastAsia="宋体" w:cs="宋体"/>
          <w:color w:val="auto"/>
          <w:kern w:val="0"/>
          <w:sz w:val="18"/>
          <w:szCs w:val="18"/>
          <w:highlight w:val="none"/>
          <w:shd w:val="clear" w:fill="FFFFFF"/>
          <w:lang w:val="en-US" w:eastAsia="zh-CN" w:bidi="ar"/>
        </w:rPr>
        <w:t>2、本表项目经理部主要人员需提供</w:t>
      </w:r>
      <w:r>
        <w:rPr>
          <w:rFonts w:hint="eastAsia" w:ascii="宋体" w:hAnsi="宋体" w:eastAsia="宋体" w:cs="宋体"/>
          <w:b/>
          <w:bCs w:val="0"/>
          <w:color w:val="auto"/>
          <w:kern w:val="0"/>
          <w:sz w:val="18"/>
          <w:szCs w:val="18"/>
          <w:highlight w:val="none"/>
          <w:u w:val="single"/>
          <w:shd w:val="clear" w:fill="FFFFFF"/>
          <w:lang w:val="en-US" w:eastAsia="zh-CN" w:bidi="ar"/>
        </w:rPr>
        <w:t>2024年</w:t>
      </w:r>
      <w:r>
        <w:rPr>
          <w:rFonts w:hint="default" w:ascii="宋体" w:hAnsi="宋体" w:eastAsia="宋体" w:cs="宋体"/>
          <w:b/>
          <w:bCs w:val="0"/>
          <w:color w:val="auto"/>
          <w:kern w:val="0"/>
          <w:sz w:val="18"/>
          <w:szCs w:val="18"/>
          <w:highlight w:val="none"/>
          <w:u w:val="single"/>
          <w:shd w:val="clear" w:fill="FFFFFF"/>
          <w:lang w:eastAsia="zh-CN" w:bidi="ar"/>
        </w:rPr>
        <w:t>8</w:t>
      </w:r>
      <w:r>
        <w:rPr>
          <w:rFonts w:hint="eastAsia" w:ascii="宋体" w:hAnsi="宋体" w:eastAsia="宋体" w:cs="宋体"/>
          <w:b/>
          <w:bCs w:val="0"/>
          <w:color w:val="auto"/>
          <w:kern w:val="0"/>
          <w:sz w:val="18"/>
          <w:szCs w:val="18"/>
          <w:highlight w:val="none"/>
          <w:u w:val="single"/>
          <w:shd w:val="clear" w:fill="FFFFFF"/>
          <w:lang w:val="en-US" w:eastAsia="zh-CN" w:bidi="ar"/>
        </w:rPr>
        <w:t>月</w:t>
      </w:r>
      <w:r>
        <w:rPr>
          <w:rFonts w:hint="eastAsia" w:ascii="宋体" w:hAnsi="宋体" w:eastAsia="宋体" w:cs="宋体"/>
          <w:color w:val="auto"/>
          <w:kern w:val="0"/>
          <w:sz w:val="18"/>
          <w:szCs w:val="18"/>
          <w:highlight w:val="none"/>
          <w:shd w:val="clear" w:fill="FFFFFF"/>
          <w:lang w:val="en-US" w:eastAsia="zh-CN" w:bidi="ar"/>
        </w:rPr>
        <w:t>的社保证明文件扫描件，项目经理部主要人员需提供的其他证明文件详见基本要求及备注。</w:t>
      </w:r>
    </w:p>
    <w:p w14:paraId="3F0C586E">
      <w:pPr>
        <w:keepNext w:val="0"/>
        <w:keepLines w:val="0"/>
        <w:widowControl/>
        <w:suppressLineNumbers w:val="0"/>
        <w:shd w:val="clear" w:fill="FFFFFF"/>
        <w:adjustRightInd w:val="0"/>
        <w:spacing w:before="0" w:beforeAutospacing="0" w:after="0" w:afterAutospacing="0"/>
        <w:ind w:left="0" w:right="0" w:firstLine="360" w:firstLineChars="200"/>
        <w:jc w:val="left"/>
        <w:rPr>
          <w:rFonts w:hint="eastAsia" w:ascii="宋体" w:hAnsi="宋体" w:eastAsia="宋体" w:cs="宋体"/>
          <w:color w:val="auto"/>
          <w:kern w:val="0"/>
          <w:sz w:val="18"/>
          <w:szCs w:val="18"/>
          <w:highlight w:val="none"/>
          <w:shd w:val="clear" w:fill="FFFFFF"/>
        </w:rPr>
      </w:pPr>
      <w:r>
        <w:rPr>
          <w:rFonts w:hint="eastAsia" w:ascii="宋体" w:hAnsi="宋体" w:eastAsia="宋体" w:cs="宋体"/>
          <w:color w:val="auto"/>
          <w:kern w:val="0"/>
          <w:sz w:val="18"/>
          <w:szCs w:val="18"/>
          <w:highlight w:val="none"/>
          <w:shd w:val="clear" w:fill="FFFFFF"/>
          <w:lang w:val="en-US" w:eastAsia="zh-CN" w:bidi="ar"/>
        </w:rPr>
        <w:t>3、人员仅指投标人自身人员，如投标申请人为集团公司，则不含集团下属具有独立法人的子公司的人员，但包含非独立法人的分公司人员；同样下属具有独立法人的子公司也不得使用集团公司的人员。</w:t>
      </w:r>
    </w:p>
    <w:p w14:paraId="378AEC77">
      <w:pPr>
        <w:keepNext w:val="0"/>
        <w:keepLines w:val="0"/>
        <w:widowControl/>
        <w:suppressLineNumbers w:val="0"/>
        <w:shd w:val="clear" w:fill="FFFFFF"/>
        <w:adjustRightInd w:val="0"/>
        <w:spacing w:before="0" w:beforeAutospacing="0" w:after="0" w:afterAutospacing="0"/>
        <w:ind w:left="0" w:right="0" w:firstLine="360" w:firstLineChars="200"/>
        <w:jc w:val="left"/>
        <w:rPr>
          <w:rFonts w:hint="eastAsia" w:ascii="宋体" w:hAnsi="宋体" w:eastAsia="宋体" w:cs="宋体"/>
          <w:color w:val="auto"/>
          <w:kern w:val="0"/>
          <w:sz w:val="18"/>
          <w:szCs w:val="18"/>
          <w:highlight w:val="none"/>
          <w:shd w:val="clear" w:fill="FFFFFF"/>
        </w:rPr>
      </w:pPr>
      <w:r>
        <w:rPr>
          <w:rFonts w:hint="eastAsia" w:ascii="宋体" w:hAnsi="宋体" w:eastAsia="宋体" w:cs="宋体"/>
          <w:color w:val="auto"/>
          <w:kern w:val="0"/>
          <w:sz w:val="18"/>
          <w:szCs w:val="18"/>
          <w:highlight w:val="none"/>
          <w:shd w:val="clear" w:fill="FFFFFF"/>
          <w:lang w:val="en-US" w:eastAsia="zh-CN" w:bidi="ar"/>
        </w:rPr>
        <w:t>4、拟投入的项目部人员，未经招标人同意，中标后不得更换，否则按合同约定承担违约责任。</w:t>
      </w:r>
    </w:p>
    <w:p w14:paraId="43867957">
      <w:pPr>
        <w:keepNext w:val="0"/>
        <w:keepLines w:val="0"/>
        <w:widowControl/>
        <w:suppressLineNumbers w:val="0"/>
        <w:shd w:val="clear" w:fill="FFFFFF"/>
        <w:adjustRightInd w:val="0"/>
        <w:spacing w:before="0" w:beforeAutospacing="0" w:after="0" w:afterAutospacing="0"/>
        <w:ind w:left="0" w:right="0" w:firstLine="360" w:firstLineChars="200"/>
        <w:jc w:val="left"/>
        <w:rPr>
          <w:rFonts w:hint="eastAsia" w:ascii="宋体" w:hAnsi="宋体" w:eastAsia="宋体" w:cs="宋体"/>
          <w:color w:val="auto"/>
          <w:kern w:val="0"/>
          <w:sz w:val="18"/>
          <w:szCs w:val="18"/>
          <w:highlight w:val="none"/>
          <w:shd w:val="clear" w:fill="FFFFFF"/>
        </w:rPr>
      </w:pPr>
      <w:r>
        <w:rPr>
          <w:rFonts w:hint="eastAsia" w:ascii="宋体" w:hAnsi="宋体" w:eastAsia="宋体" w:cs="宋体"/>
          <w:color w:val="auto"/>
          <w:kern w:val="0"/>
          <w:sz w:val="18"/>
          <w:szCs w:val="18"/>
          <w:highlight w:val="none"/>
          <w:shd w:val="clear" w:fill="FFFFFF"/>
          <w:lang w:val="en-US" w:eastAsia="zh-CN" w:bidi="ar"/>
        </w:rPr>
        <w:t>5、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w:t>
      </w:r>
    </w:p>
    <w:p w14:paraId="1221A0CC">
      <w:pPr>
        <w:keepNext w:val="0"/>
        <w:keepLines w:val="0"/>
        <w:widowControl/>
        <w:suppressLineNumbers w:val="0"/>
        <w:shd w:val="clear" w:fill="FFFFFF"/>
        <w:adjustRightInd w:val="0"/>
        <w:spacing w:before="0" w:beforeAutospacing="0" w:after="0" w:afterAutospacing="0"/>
        <w:ind w:left="0" w:right="0" w:firstLine="361" w:firstLineChars="200"/>
        <w:jc w:val="left"/>
        <w:rPr>
          <w:rFonts w:hint="eastAsia" w:ascii="宋体" w:hAnsi="宋体" w:eastAsia="宋体" w:cs="宋体"/>
          <w:b/>
          <w:color w:val="auto"/>
          <w:spacing w:val="0"/>
          <w:kern w:val="0"/>
          <w:sz w:val="18"/>
          <w:szCs w:val="18"/>
          <w:highlight w:val="none"/>
          <w:shd w:val="clear" w:fill="FFFFFF"/>
          <w:lang w:bidi="ar"/>
        </w:rPr>
      </w:pPr>
      <w:r>
        <w:rPr>
          <w:rFonts w:hint="eastAsia" w:ascii="宋体" w:hAnsi="宋体" w:eastAsia="宋体" w:cs="宋体"/>
          <w:b/>
          <w:color w:val="auto"/>
          <w:kern w:val="0"/>
          <w:sz w:val="18"/>
          <w:szCs w:val="18"/>
          <w:highlight w:val="none"/>
          <w:shd w:val="clear" w:fill="FFFFFF"/>
          <w:lang w:val="en-US" w:eastAsia="zh-CN" w:bidi="ar"/>
        </w:rPr>
        <w:t>6、</w:t>
      </w:r>
      <w:r>
        <w:rPr>
          <w:rFonts w:hint="eastAsia" w:ascii="宋体" w:hAnsi="宋体" w:eastAsia="宋体" w:cs="宋体"/>
          <w:b/>
          <w:color w:val="auto"/>
          <w:spacing w:val="0"/>
          <w:kern w:val="0"/>
          <w:sz w:val="18"/>
          <w:szCs w:val="18"/>
          <w:highlight w:val="none"/>
          <w:shd w:val="clear" w:fill="FFFFFF"/>
          <w:lang w:val="en-US" w:eastAsia="zh-CN" w:bidi="ar"/>
        </w:rPr>
        <w:t>第十五届全运会广东奥林匹克体育中心升级改造项目、</w:t>
      </w:r>
      <w:r>
        <w:rPr>
          <w:rFonts w:hint="eastAsia" w:ascii="宋体" w:hAnsi="宋体" w:eastAsia="宋体" w:cs="宋体"/>
          <w:b/>
          <w:i w:val="0"/>
          <w:caps w:val="0"/>
          <w:color w:val="auto"/>
          <w:spacing w:val="0"/>
          <w:kern w:val="0"/>
          <w:sz w:val="18"/>
          <w:szCs w:val="18"/>
          <w:highlight w:val="none"/>
          <w:shd w:val="clear" w:fill="FFFFFF"/>
          <w:lang w:bidi="ar"/>
        </w:rPr>
        <w:t>第十五届全运会广东省人民体育场改造项目</w:t>
      </w:r>
      <w:r>
        <w:rPr>
          <w:rFonts w:hint="eastAsia" w:ascii="宋体" w:hAnsi="宋体" w:eastAsia="宋体" w:cs="宋体"/>
          <w:b/>
          <w:color w:val="auto"/>
          <w:kern w:val="0"/>
          <w:sz w:val="18"/>
          <w:szCs w:val="18"/>
          <w:highlight w:val="none"/>
          <w:shd w:val="clear" w:fill="FFFFFF"/>
          <w:lang w:bidi="ar"/>
        </w:rPr>
        <w:t xml:space="preserve"> </w:t>
      </w:r>
      <w:r>
        <w:rPr>
          <w:rFonts w:hint="eastAsia" w:ascii="宋体" w:hAnsi="宋体" w:eastAsia="宋体" w:cs="宋体"/>
          <w:b/>
          <w:color w:val="auto"/>
          <w:spacing w:val="0"/>
          <w:kern w:val="0"/>
          <w:sz w:val="18"/>
          <w:szCs w:val="18"/>
          <w:highlight w:val="none"/>
          <w:shd w:val="clear" w:fill="FFFFFF"/>
          <w:lang w:val="en-US" w:eastAsia="zh-CN" w:bidi="ar"/>
        </w:rPr>
        <w:t>《投入主要人员汇总表》内的人员</w:t>
      </w:r>
      <w:r>
        <w:rPr>
          <w:rFonts w:hint="eastAsia" w:ascii="宋体" w:hAnsi="宋体" w:eastAsia="宋体" w:cs="宋体"/>
          <w:b/>
          <w:color w:val="auto"/>
          <w:kern w:val="0"/>
          <w:sz w:val="18"/>
          <w:szCs w:val="18"/>
          <w:highlight w:val="none"/>
          <w:shd w:val="clear" w:fill="FFFFFF"/>
          <w:lang w:val="en-US" w:eastAsia="zh-CN" w:bidi="ar"/>
        </w:rPr>
        <w:t>不得相互兼职。</w:t>
      </w:r>
    </w:p>
    <w:p w14:paraId="395BB1C1">
      <w:pPr>
        <w:keepNext w:val="0"/>
        <w:keepLines w:val="0"/>
        <w:widowControl w:val="0"/>
        <w:suppressLineNumbers w:val="0"/>
        <w:topLinePunct/>
        <w:adjustRightInd w:val="0"/>
        <w:snapToGrid w:val="0"/>
        <w:spacing w:before="0" w:beforeAutospacing="0" w:after="0" w:afterAutospacing="0" w:line="360" w:lineRule="auto"/>
        <w:ind w:left="0" w:right="0" w:firstLine="3596" w:firstLineChars="1450"/>
        <w:jc w:val="both"/>
        <w:rPr>
          <w:rFonts w:hint="eastAsia" w:ascii="宋体" w:hAnsi="宋体" w:eastAsia="宋体" w:cs="Times New Roman"/>
          <w:color w:val="auto"/>
          <w:spacing w:val="4"/>
          <w:kern w:val="0"/>
          <w:sz w:val="24"/>
          <w:szCs w:val="24"/>
          <w:highlight w:val="none"/>
        </w:rPr>
      </w:pPr>
      <w:r>
        <w:rPr>
          <w:rFonts w:hint="eastAsia" w:ascii="宋体" w:hAnsi="宋体" w:eastAsia="宋体" w:cs="Times New Roman"/>
          <w:color w:val="auto"/>
          <w:spacing w:val="4"/>
          <w:kern w:val="0"/>
          <w:sz w:val="24"/>
          <w:szCs w:val="24"/>
          <w:highlight w:val="none"/>
          <w:lang w:val="en-US" w:eastAsia="zh-CN" w:bidi="ar"/>
        </w:rPr>
        <w:t xml:space="preserve"> </w:t>
      </w:r>
    </w:p>
    <w:p w14:paraId="1FA2F1A0">
      <w:pPr>
        <w:keepNext w:val="0"/>
        <w:keepLines w:val="0"/>
        <w:widowControl w:val="0"/>
        <w:suppressLineNumbers w:val="0"/>
        <w:topLinePunct/>
        <w:adjustRightInd w:val="0"/>
        <w:snapToGrid w:val="0"/>
        <w:spacing w:before="0" w:beforeAutospacing="0" w:after="0" w:afterAutospacing="0" w:line="360" w:lineRule="auto"/>
        <w:ind w:left="0" w:right="0" w:firstLine="3596" w:firstLineChars="1450"/>
        <w:jc w:val="both"/>
        <w:rPr>
          <w:rFonts w:hint="eastAsia" w:ascii="宋体" w:hAnsi="宋体"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val="en-US" w:eastAsia="zh-CN" w:bidi="ar"/>
        </w:rPr>
        <w:t>投标人：  （盖章）</w:t>
      </w:r>
    </w:p>
    <w:p w14:paraId="30BCBBF0">
      <w:pPr>
        <w:keepNext w:val="0"/>
        <w:keepLines w:val="0"/>
        <w:widowControl w:val="0"/>
        <w:suppressLineNumbers w:val="0"/>
        <w:topLinePunct/>
        <w:adjustRightInd w:val="0"/>
        <w:snapToGrid w:val="0"/>
        <w:spacing w:before="0" w:beforeAutospacing="0" w:after="0" w:afterAutospacing="0" w:line="360" w:lineRule="auto"/>
        <w:ind w:left="0" w:right="0" w:firstLine="3596" w:firstLineChars="1450"/>
        <w:jc w:val="both"/>
        <w:rPr>
          <w:rFonts w:hint="eastAsia" w:ascii="宋体" w:hAnsi="宋体"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val="en-US" w:eastAsia="zh-CN" w:bidi="ar"/>
        </w:rPr>
        <w:t>法定代表人或授权代理人(签字或盖章)：</w:t>
      </w:r>
    </w:p>
    <w:p w14:paraId="58FF3781">
      <w:pPr>
        <w:keepNext w:val="0"/>
        <w:keepLines w:val="0"/>
        <w:widowControl w:val="0"/>
        <w:suppressLineNumbers w:val="0"/>
        <w:spacing w:before="0" w:beforeAutospacing="0" w:after="0" w:afterAutospacing="0"/>
        <w:ind w:left="0" w:right="0" w:firstLine="3600" w:firstLineChars="1500"/>
        <w:jc w:val="both"/>
        <w:rPr>
          <w:rFonts w:hint="default" w:ascii="Calibri" w:hAnsi="Calibri" w:eastAsia="宋体" w:cs="Times New Roman"/>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3E353CA5">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br w:type="page"/>
      </w:r>
    </w:p>
    <w:p w14:paraId="61519A03">
      <w:pPr>
        <w:keepNext w:val="0"/>
        <w:keepLines w:val="0"/>
        <w:widowControl/>
        <w:suppressLineNumbers w:val="0"/>
        <w:topLinePunct/>
        <w:adjustRightInd w:val="0"/>
        <w:snapToGrid w:val="0"/>
        <w:spacing w:before="156" w:beforeAutospacing="0" w:after="156" w:afterAutospacing="0" w:line="360" w:lineRule="auto"/>
        <w:ind w:left="0" w:right="0"/>
        <w:jc w:val="center"/>
        <w:rPr>
          <w:rFonts w:hint="eastAsia" w:ascii="宋体" w:hAnsi="宋体" w:eastAsia="宋体" w:cs="宋体"/>
          <w:b/>
          <w:bCs w:val="0"/>
          <w:color w:val="auto"/>
          <w:spacing w:val="4"/>
          <w:kern w:val="0"/>
          <w:sz w:val="32"/>
          <w:szCs w:val="32"/>
          <w:highlight w:val="none"/>
        </w:rPr>
      </w:pPr>
      <w:r>
        <w:rPr>
          <w:rFonts w:hint="eastAsia" w:ascii="宋体" w:hAnsi="宋体" w:eastAsia="宋体" w:cs="宋体"/>
          <w:b/>
          <w:bCs w:val="0"/>
          <w:color w:val="auto"/>
          <w:spacing w:val="4"/>
          <w:kern w:val="0"/>
          <w:sz w:val="32"/>
          <w:szCs w:val="32"/>
          <w:highlight w:val="none"/>
          <w:lang w:val="en-US" w:eastAsia="zh-CN" w:bidi="ar"/>
        </w:rPr>
        <w:t>投入主要人员汇总表</w:t>
      </w:r>
    </w:p>
    <w:p w14:paraId="6DB3B885">
      <w:pPr>
        <w:keepNext w:val="0"/>
        <w:keepLines w:val="0"/>
        <w:widowControl/>
        <w:suppressLineNumbers w:val="0"/>
        <w:topLinePunct/>
        <w:adjustRightInd w:val="0"/>
        <w:snapToGrid w:val="0"/>
        <w:spacing w:before="156" w:beforeAutospacing="0" w:after="156" w:afterAutospacing="0" w:line="360" w:lineRule="auto"/>
        <w:ind w:left="0" w:right="0"/>
        <w:jc w:val="center"/>
        <w:rPr>
          <w:rFonts w:hint="eastAsia" w:ascii="宋体" w:hAnsi="宋体" w:eastAsia="宋体" w:cs="Times New Roman"/>
          <w:b/>
          <w:bCs w:val="0"/>
          <w:color w:val="auto"/>
          <w:spacing w:val="4"/>
          <w:kern w:val="0"/>
          <w:sz w:val="32"/>
          <w:szCs w:val="32"/>
          <w:highlight w:val="none"/>
        </w:rPr>
      </w:pPr>
      <w:r>
        <w:rPr>
          <w:rFonts w:hint="eastAsia" w:ascii="宋体" w:hAnsi="宋体" w:eastAsia="宋体" w:cs="宋体"/>
          <w:b/>
          <w:bCs w:val="0"/>
          <w:color w:val="auto"/>
          <w:spacing w:val="4"/>
          <w:kern w:val="0"/>
          <w:sz w:val="32"/>
          <w:szCs w:val="32"/>
          <w:highlight w:val="none"/>
          <w:lang w:val="en-US" w:eastAsia="zh-CN" w:bidi="ar"/>
        </w:rPr>
        <w:t>（</w:t>
      </w:r>
      <w:r>
        <w:rPr>
          <w:rFonts w:hint="default" w:ascii="宋体" w:hAnsi="宋体" w:eastAsia="宋体" w:cs="宋体"/>
          <w:b/>
          <w:bCs w:val="0"/>
          <w:color w:val="auto"/>
          <w:spacing w:val="4"/>
          <w:kern w:val="0"/>
          <w:sz w:val="32"/>
          <w:szCs w:val="32"/>
          <w:highlight w:val="none"/>
          <w:lang w:eastAsia="zh-CN" w:bidi="ar"/>
        </w:rPr>
        <w:t>第十五届全运会广东省人民体育场改造项目</w:t>
      </w:r>
      <w:r>
        <w:rPr>
          <w:rFonts w:hint="eastAsia" w:ascii="宋体" w:hAnsi="宋体" w:eastAsia="宋体" w:cs="宋体"/>
          <w:b/>
          <w:bCs w:val="0"/>
          <w:color w:val="auto"/>
          <w:spacing w:val="4"/>
          <w:kern w:val="0"/>
          <w:sz w:val="32"/>
          <w:szCs w:val="32"/>
          <w:highlight w:val="none"/>
          <w:lang w:val="en-US" w:eastAsia="zh-CN" w:bidi="ar"/>
        </w:rPr>
        <w:t>）</w:t>
      </w:r>
    </w:p>
    <w:tbl>
      <w:tblPr>
        <w:tblStyle w:val="10"/>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5"/>
        <w:gridCol w:w="420"/>
        <w:gridCol w:w="458"/>
        <w:gridCol w:w="356"/>
        <w:gridCol w:w="644"/>
        <w:gridCol w:w="425"/>
        <w:gridCol w:w="446"/>
        <w:gridCol w:w="1353"/>
        <w:gridCol w:w="923"/>
        <w:gridCol w:w="2729"/>
        <w:gridCol w:w="1335"/>
      </w:tblGrid>
      <w:tr w14:paraId="61E3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72B614D5">
            <w:pPr>
              <w:pStyle w:val="8"/>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b/>
                <w:bCs w:val="0"/>
                <w:color w:val="auto"/>
                <w:kern w:val="2"/>
                <w:sz w:val="21"/>
                <w:szCs w:val="21"/>
                <w:highlight w:val="none"/>
                <w:lang w:val="en-US" w:eastAsia="zh-CN" w:bidi="ar"/>
              </w:rPr>
              <w:t>序号</w:t>
            </w:r>
          </w:p>
        </w:tc>
        <w:tc>
          <w:tcPr>
            <w:tcW w:w="420" w:type="dxa"/>
            <w:tcBorders>
              <w:top w:val="single" w:color="auto" w:sz="4" w:space="0"/>
              <w:left w:val="nil"/>
              <w:bottom w:val="single" w:color="auto" w:sz="4" w:space="0"/>
              <w:right w:val="single" w:color="auto" w:sz="4" w:space="0"/>
            </w:tcBorders>
            <w:shd w:val="clear" w:color="auto" w:fill="auto"/>
            <w:vAlign w:val="center"/>
          </w:tcPr>
          <w:p w14:paraId="065F0F36">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姓名</w:t>
            </w:r>
          </w:p>
        </w:tc>
        <w:tc>
          <w:tcPr>
            <w:tcW w:w="458" w:type="dxa"/>
            <w:tcBorders>
              <w:top w:val="single" w:color="auto" w:sz="4" w:space="0"/>
              <w:left w:val="nil"/>
              <w:bottom w:val="single" w:color="auto" w:sz="4" w:space="0"/>
              <w:right w:val="single" w:color="auto" w:sz="4" w:space="0"/>
            </w:tcBorders>
            <w:shd w:val="clear" w:color="auto" w:fill="auto"/>
            <w:vAlign w:val="center"/>
          </w:tcPr>
          <w:p w14:paraId="42BC265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年龄</w:t>
            </w:r>
          </w:p>
        </w:tc>
        <w:tc>
          <w:tcPr>
            <w:tcW w:w="356" w:type="dxa"/>
            <w:tcBorders>
              <w:top w:val="single" w:color="auto" w:sz="4" w:space="0"/>
              <w:left w:val="nil"/>
              <w:bottom w:val="single" w:color="auto" w:sz="4" w:space="0"/>
              <w:right w:val="single" w:color="auto" w:sz="4" w:space="0"/>
            </w:tcBorders>
            <w:shd w:val="clear" w:color="auto" w:fill="auto"/>
            <w:vAlign w:val="center"/>
          </w:tcPr>
          <w:p w14:paraId="5EFAD90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工作年限</w:t>
            </w:r>
          </w:p>
        </w:tc>
        <w:tc>
          <w:tcPr>
            <w:tcW w:w="644" w:type="dxa"/>
            <w:tcBorders>
              <w:top w:val="single" w:color="auto" w:sz="4" w:space="0"/>
              <w:left w:val="nil"/>
              <w:bottom w:val="single" w:color="auto" w:sz="4" w:space="0"/>
              <w:right w:val="single" w:color="auto" w:sz="4" w:space="0"/>
            </w:tcBorders>
            <w:shd w:val="clear" w:color="auto" w:fill="auto"/>
            <w:vAlign w:val="center"/>
          </w:tcPr>
          <w:p w14:paraId="3917A2B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所学专业</w:t>
            </w:r>
          </w:p>
        </w:tc>
        <w:tc>
          <w:tcPr>
            <w:tcW w:w="425" w:type="dxa"/>
            <w:tcBorders>
              <w:top w:val="single" w:color="auto" w:sz="4" w:space="0"/>
              <w:left w:val="nil"/>
              <w:bottom w:val="single" w:color="auto" w:sz="4" w:space="0"/>
              <w:right w:val="single" w:color="auto" w:sz="4" w:space="0"/>
            </w:tcBorders>
            <w:shd w:val="clear" w:color="auto" w:fill="auto"/>
            <w:vAlign w:val="center"/>
          </w:tcPr>
          <w:p w14:paraId="525DA13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职称、资格证书</w:t>
            </w:r>
          </w:p>
        </w:tc>
        <w:tc>
          <w:tcPr>
            <w:tcW w:w="446" w:type="dxa"/>
            <w:tcBorders>
              <w:top w:val="single" w:color="auto" w:sz="4" w:space="0"/>
              <w:left w:val="nil"/>
              <w:bottom w:val="single" w:color="auto" w:sz="4" w:space="0"/>
              <w:right w:val="single" w:color="auto" w:sz="4" w:space="0"/>
            </w:tcBorders>
            <w:shd w:val="clear" w:color="auto" w:fill="auto"/>
            <w:vAlign w:val="center"/>
          </w:tcPr>
          <w:p w14:paraId="479BBD0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原任职务</w:t>
            </w:r>
          </w:p>
        </w:tc>
        <w:tc>
          <w:tcPr>
            <w:tcW w:w="1353" w:type="dxa"/>
            <w:tcBorders>
              <w:top w:val="single" w:color="auto" w:sz="4" w:space="0"/>
              <w:left w:val="nil"/>
              <w:bottom w:val="single" w:color="auto" w:sz="4" w:space="0"/>
              <w:right w:val="single" w:color="auto" w:sz="4" w:space="0"/>
            </w:tcBorders>
            <w:shd w:val="clear" w:color="auto" w:fill="auto"/>
            <w:vAlign w:val="center"/>
          </w:tcPr>
          <w:p w14:paraId="53991C7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在本项目任职</w:t>
            </w:r>
          </w:p>
        </w:tc>
        <w:tc>
          <w:tcPr>
            <w:tcW w:w="923" w:type="dxa"/>
            <w:tcBorders>
              <w:top w:val="single" w:color="auto" w:sz="4" w:space="0"/>
              <w:left w:val="nil"/>
              <w:bottom w:val="single" w:color="auto" w:sz="4" w:space="0"/>
              <w:right w:val="single" w:color="auto" w:sz="4" w:space="0"/>
            </w:tcBorders>
            <w:shd w:val="clear" w:color="auto" w:fill="auto"/>
            <w:vAlign w:val="center"/>
          </w:tcPr>
          <w:p w14:paraId="6C7DCAA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数量（人）</w:t>
            </w:r>
          </w:p>
        </w:tc>
        <w:tc>
          <w:tcPr>
            <w:tcW w:w="2729" w:type="dxa"/>
            <w:tcBorders>
              <w:top w:val="single" w:color="auto" w:sz="4" w:space="0"/>
              <w:left w:val="nil"/>
              <w:bottom w:val="single" w:color="auto" w:sz="4" w:space="0"/>
              <w:right w:val="single" w:color="auto" w:sz="4" w:space="0"/>
            </w:tcBorders>
            <w:shd w:val="clear" w:color="auto" w:fill="auto"/>
            <w:vAlign w:val="center"/>
          </w:tcPr>
          <w:p w14:paraId="46CD89D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基本要求</w:t>
            </w:r>
          </w:p>
        </w:tc>
        <w:tc>
          <w:tcPr>
            <w:tcW w:w="1335" w:type="dxa"/>
            <w:tcBorders>
              <w:top w:val="single" w:color="auto" w:sz="4" w:space="0"/>
              <w:left w:val="nil"/>
              <w:bottom w:val="single" w:color="auto" w:sz="4" w:space="0"/>
              <w:right w:val="single" w:color="auto" w:sz="4" w:space="0"/>
            </w:tcBorders>
            <w:shd w:val="clear" w:color="auto" w:fill="auto"/>
            <w:vAlign w:val="center"/>
          </w:tcPr>
          <w:p w14:paraId="548BB2E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备注</w:t>
            </w:r>
          </w:p>
        </w:tc>
      </w:tr>
      <w:tr w14:paraId="3110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057C2A37">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420" w:type="dxa"/>
            <w:tcBorders>
              <w:top w:val="single" w:color="auto" w:sz="4" w:space="0"/>
              <w:left w:val="nil"/>
              <w:bottom w:val="single" w:color="auto" w:sz="4" w:space="0"/>
              <w:right w:val="single" w:color="auto" w:sz="4" w:space="0"/>
            </w:tcBorders>
            <w:shd w:val="clear" w:color="auto" w:fill="auto"/>
            <w:vAlign w:val="center"/>
          </w:tcPr>
          <w:p w14:paraId="61D0D67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2BB00E01">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54EDEE24">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5812FB6F">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6C8AA4CB">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040E4DFD">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auto"/>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18689A22">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0E483F43">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2729" w:type="dxa"/>
            <w:tcBorders>
              <w:top w:val="single" w:color="auto" w:sz="4" w:space="0"/>
              <w:left w:val="nil"/>
              <w:bottom w:val="single" w:color="auto" w:sz="4" w:space="0"/>
              <w:right w:val="single" w:color="auto" w:sz="4" w:space="0"/>
            </w:tcBorders>
            <w:shd w:val="clear" w:color="auto" w:fill="auto"/>
            <w:vAlign w:val="center"/>
          </w:tcPr>
          <w:p w14:paraId="60670A36">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p>
        </w:tc>
        <w:tc>
          <w:tcPr>
            <w:tcW w:w="1335" w:type="dxa"/>
            <w:tcBorders>
              <w:top w:val="single" w:color="auto" w:sz="4" w:space="0"/>
              <w:left w:val="nil"/>
              <w:bottom w:val="single" w:color="auto" w:sz="4" w:space="0"/>
              <w:right w:val="single" w:color="auto" w:sz="4" w:space="0"/>
            </w:tcBorders>
            <w:shd w:val="clear" w:color="auto" w:fill="auto"/>
            <w:vAlign w:val="center"/>
          </w:tcPr>
          <w:p w14:paraId="5320AB9C">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650A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41FC805E">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420" w:type="dxa"/>
            <w:tcBorders>
              <w:top w:val="single" w:color="auto" w:sz="4" w:space="0"/>
              <w:left w:val="nil"/>
              <w:bottom w:val="single" w:color="auto" w:sz="4" w:space="0"/>
              <w:right w:val="single" w:color="auto" w:sz="4" w:space="0"/>
            </w:tcBorders>
            <w:shd w:val="clear" w:color="auto" w:fill="auto"/>
            <w:vAlign w:val="center"/>
          </w:tcPr>
          <w:p w14:paraId="09300D1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6C23036A">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072DD087">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4446E6CD">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6EDAAFF0">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0B7CDB17">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auto"/>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5A993800">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1AEE8A7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2729" w:type="dxa"/>
            <w:tcBorders>
              <w:top w:val="single" w:color="auto" w:sz="4" w:space="0"/>
              <w:left w:val="nil"/>
              <w:bottom w:val="single" w:color="auto" w:sz="4" w:space="0"/>
              <w:right w:val="single" w:color="auto" w:sz="4" w:space="0"/>
            </w:tcBorders>
            <w:shd w:val="clear" w:color="auto" w:fill="auto"/>
            <w:vAlign w:val="center"/>
          </w:tcPr>
          <w:p w14:paraId="20367AE8">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p>
        </w:tc>
        <w:tc>
          <w:tcPr>
            <w:tcW w:w="1335" w:type="dxa"/>
            <w:tcBorders>
              <w:top w:val="single" w:color="auto" w:sz="4" w:space="0"/>
              <w:left w:val="nil"/>
              <w:bottom w:val="single" w:color="auto" w:sz="4" w:space="0"/>
              <w:right w:val="single" w:color="auto" w:sz="4" w:space="0"/>
            </w:tcBorders>
            <w:shd w:val="clear" w:color="auto" w:fill="auto"/>
            <w:vAlign w:val="center"/>
          </w:tcPr>
          <w:p w14:paraId="3E483A74">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r>
      <w:tr w14:paraId="0C98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497B9AB2">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420" w:type="dxa"/>
            <w:tcBorders>
              <w:top w:val="single" w:color="auto" w:sz="4" w:space="0"/>
              <w:left w:val="nil"/>
              <w:bottom w:val="single" w:color="auto" w:sz="4" w:space="0"/>
              <w:right w:val="single" w:color="auto" w:sz="4" w:space="0"/>
            </w:tcBorders>
            <w:shd w:val="clear" w:color="auto" w:fill="auto"/>
            <w:vAlign w:val="center"/>
          </w:tcPr>
          <w:p w14:paraId="5657DCD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375F4841">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66A849B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72BCD136">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002CF701">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626403D4">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auto"/>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10E16213">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47F5EA9E">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2729" w:type="dxa"/>
            <w:tcBorders>
              <w:top w:val="single" w:color="auto" w:sz="4" w:space="0"/>
              <w:left w:val="nil"/>
              <w:bottom w:val="single" w:color="auto" w:sz="4" w:space="0"/>
              <w:right w:val="single" w:color="auto" w:sz="4" w:space="0"/>
            </w:tcBorders>
            <w:shd w:val="clear" w:color="auto" w:fill="auto"/>
            <w:vAlign w:val="center"/>
          </w:tcPr>
          <w:p w14:paraId="0E5BCC8B">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p>
        </w:tc>
        <w:tc>
          <w:tcPr>
            <w:tcW w:w="1335" w:type="dxa"/>
            <w:tcBorders>
              <w:top w:val="single" w:color="auto" w:sz="4" w:space="0"/>
              <w:left w:val="nil"/>
              <w:bottom w:val="single" w:color="auto" w:sz="4" w:space="0"/>
              <w:right w:val="single" w:color="auto" w:sz="4" w:space="0"/>
            </w:tcBorders>
            <w:shd w:val="clear" w:color="auto" w:fill="auto"/>
            <w:vAlign w:val="center"/>
          </w:tcPr>
          <w:p w14:paraId="3E169D0E">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r>
      <w:tr w14:paraId="06FD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15A2AC4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420" w:type="dxa"/>
            <w:tcBorders>
              <w:top w:val="single" w:color="auto" w:sz="4" w:space="0"/>
              <w:left w:val="nil"/>
              <w:bottom w:val="single" w:color="auto" w:sz="4" w:space="0"/>
              <w:right w:val="single" w:color="auto" w:sz="4" w:space="0"/>
            </w:tcBorders>
            <w:shd w:val="clear" w:color="auto" w:fill="auto"/>
            <w:vAlign w:val="center"/>
          </w:tcPr>
          <w:p w14:paraId="69E0FD2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6B106EB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49CD96A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23A5CB4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7FA8DD8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5D0DFEA8">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auto"/>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170F4C09">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4A0138A2">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2729" w:type="dxa"/>
            <w:tcBorders>
              <w:top w:val="single" w:color="auto" w:sz="4" w:space="0"/>
              <w:left w:val="nil"/>
              <w:bottom w:val="single" w:color="auto" w:sz="4" w:space="0"/>
              <w:right w:val="single" w:color="auto" w:sz="4" w:space="0"/>
            </w:tcBorders>
            <w:shd w:val="clear" w:color="auto" w:fill="auto"/>
            <w:vAlign w:val="center"/>
          </w:tcPr>
          <w:p w14:paraId="5868F568">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p>
        </w:tc>
        <w:tc>
          <w:tcPr>
            <w:tcW w:w="1335" w:type="dxa"/>
            <w:tcBorders>
              <w:top w:val="single" w:color="auto" w:sz="4" w:space="0"/>
              <w:left w:val="nil"/>
              <w:bottom w:val="single" w:color="auto" w:sz="4" w:space="0"/>
              <w:right w:val="single" w:color="auto" w:sz="4" w:space="0"/>
            </w:tcBorders>
            <w:shd w:val="clear" w:color="auto" w:fill="auto"/>
            <w:vAlign w:val="center"/>
          </w:tcPr>
          <w:p w14:paraId="103C041F">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27B6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01D4023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420" w:type="dxa"/>
            <w:tcBorders>
              <w:top w:val="single" w:color="auto" w:sz="4" w:space="0"/>
              <w:left w:val="nil"/>
              <w:bottom w:val="single" w:color="auto" w:sz="4" w:space="0"/>
              <w:right w:val="single" w:color="auto" w:sz="4" w:space="0"/>
            </w:tcBorders>
            <w:shd w:val="clear" w:color="auto" w:fill="auto"/>
            <w:vAlign w:val="center"/>
          </w:tcPr>
          <w:p w14:paraId="35B556A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23BA063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0755304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7A00014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1E67AD2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350CE064">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auto"/>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7E1611AB">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1A8A469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2729" w:type="dxa"/>
            <w:tcBorders>
              <w:top w:val="single" w:color="auto" w:sz="4" w:space="0"/>
              <w:left w:val="nil"/>
              <w:bottom w:val="single" w:color="auto" w:sz="4" w:space="0"/>
              <w:right w:val="single" w:color="auto" w:sz="4" w:space="0"/>
            </w:tcBorders>
            <w:shd w:val="clear" w:color="auto" w:fill="auto"/>
            <w:vAlign w:val="center"/>
          </w:tcPr>
          <w:p w14:paraId="0AA2EA5A">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0"/>
                <w:sz w:val="21"/>
                <w:szCs w:val="21"/>
                <w:highlight w:val="none"/>
              </w:rPr>
            </w:pPr>
          </w:p>
        </w:tc>
        <w:tc>
          <w:tcPr>
            <w:tcW w:w="1335" w:type="dxa"/>
            <w:tcBorders>
              <w:top w:val="single" w:color="auto" w:sz="4" w:space="0"/>
              <w:left w:val="nil"/>
              <w:bottom w:val="single" w:color="auto" w:sz="4" w:space="0"/>
              <w:right w:val="single" w:color="auto" w:sz="4" w:space="0"/>
            </w:tcBorders>
            <w:shd w:val="clear" w:color="auto" w:fill="auto"/>
            <w:vAlign w:val="center"/>
          </w:tcPr>
          <w:p w14:paraId="744E5EA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7B4D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301FF594">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420" w:type="dxa"/>
            <w:tcBorders>
              <w:top w:val="single" w:color="auto" w:sz="4" w:space="0"/>
              <w:left w:val="nil"/>
              <w:bottom w:val="single" w:color="auto" w:sz="4" w:space="0"/>
              <w:right w:val="single" w:color="auto" w:sz="4" w:space="0"/>
            </w:tcBorders>
            <w:shd w:val="clear" w:color="auto" w:fill="auto"/>
            <w:vAlign w:val="center"/>
          </w:tcPr>
          <w:p w14:paraId="4C02BCF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43A82641">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5FF7D501">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5ACFF70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06BF6F7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430D23D1">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auto"/>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792B59C5">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77DA1711">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2729" w:type="dxa"/>
            <w:tcBorders>
              <w:top w:val="single" w:color="auto" w:sz="4" w:space="0"/>
              <w:left w:val="nil"/>
              <w:bottom w:val="single" w:color="auto" w:sz="4" w:space="0"/>
              <w:right w:val="single" w:color="auto" w:sz="4" w:space="0"/>
            </w:tcBorders>
            <w:shd w:val="clear" w:color="auto" w:fill="auto"/>
            <w:vAlign w:val="center"/>
          </w:tcPr>
          <w:p w14:paraId="641A6871">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0"/>
                <w:sz w:val="21"/>
                <w:szCs w:val="21"/>
                <w:highlight w:val="none"/>
              </w:rPr>
            </w:pPr>
          </w:p>
        </w:tc>
        <w:tc>
          <w:tcPr>
            <w:tcW w:w="1335" w:type="dxa"/>
            <w:tcBorders>
              <w:top w:val="single" w:color="auto" w:sz="4" w:space="0"/>
              <w:left w:val="nil"/>
              <w:bottom w:val="single" w:color="auto" w:sz="4" w:space="0"/>
              <w:right w:val="single" w:color="auto" w:sz="4" w:space="0"/>
            </w:tcBorders>
            <w:shd w:val="clear" w:color="auto" w:fill="auto"/>
            <w:vAlign w:val="center"/>
          </w:tcPr>
          <w:p w14:paraId="44261363">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p>
        </w:tc>
      </w:tr>
      <w:tr w14:paraId="492C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649E6AAF">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420" w:type="dxa"/>
            <w:tcBorders>
              <w:top w:val="single" w:color="auto" w:sz="4" w:space="0"/>
              <w:left w:val="nil"/>
              <w:bottom w:val="single" w:color="auto" w:sz="4" w:space="0"/>
              <w:right w:val="single" w:color="auto" w:sz="4" w:space="0"/>
            </w:tcBorders>
            <w:shd w:val="clear" w:color="auto" w:fill="auto"/>
            <w:vAlign w:val="center"/>
          </w:tcPr>
          <w:p w14:paraId="7574807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6E14D33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0FD1DE8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2BDCB40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3EEAD33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2D6F6A89">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auto"/>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09E274E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700809D8">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2729" w:type="dxa"/>
            <w:tcBorders>
              <w:top w:val="single" w:color="auto" w:sz="4" w:space="0"/>
              <w:left w:val="nil"/>
              <w:bottom w:val="single" w:color="auto" w:sz="4" w:space="0"/>
              <w:right w:val="single" w:color="auto" w:sz="4" w:space="0"/>
            </w:tcBorders>
            <w:shd w:val="clear" w:color="auto" w:fill="auto"/>
            <w:vAlign w:val="center"/>
          </w:tcPr>
          <w:p w14:paraId="22BD1E55">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0"/>
                <w:sz w:val="21"/>
                <w:szCs w:val="21"/>
                <w:highlight w:val="none"/>
              </w:rPr>
            </w:pPr>
          </w:p>
        </w:tc>
        <w:tc>
          <w:tcPr>
            <w:tcW w:w="1335" w:type="dxa"/>
            <w:tcBorders>
              <w:top w:val="single" w:color="auto" w:sz="4" w:space="0"/>
              <w:left w:val="nil"/>
              <w:bottom w:val="single" w:color="auto" w:sz="4" w:space="0"/>
              <w:right w:val="single" w:color="auto" w:sz="4" w:space="0"/>
            </w:tcBorders>
            <w:shd w:val="clear" w:color="auto" w:fill="auto"/>
            <w:vAlign w:val="center"/>
          </w:tcPr>
          <w:p w14:paraId="44150B13">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p>
        </w:tc>
      </w:tr>
      <w:tr w14:paraId="395E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55C4BE36">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420" w:type="dxa"/>
            <w:tcBorders>
              <w:top w:val="single" w:color="auto" w:sz="4" w:space="0"/>
              <w:left w:val="nil"/>
              <w:bottom w:val="single" w:color="auto" w:sz="4" w:space="0"/>
              <w:right w:val="single" w:color="auto" w:sz="4" w:space="0"/>
            </w:tcBorders>
            <w:shd w:val="clear" w:color="auto" w:fill="auto"/>
            <w:vAlign w:val="center"/>
          </w:tcPr>
          <w:p w14:paraId="6938C06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kern w:val="0"/>
                <w:sz w:val="21"/>
                <w:szCs w:val="21"/>
                <w:highlight w:val="none"/>
              </w:rPr>
            </w:pPr>
          </w:p>
        </w:tc>
        <w:tc>
          <w:tcPr>
            <w:tcW w:w="458" w:type="dxa"/>
            <w:tcBorders>
              <w:top w:val="single" w:color="auto" w:sz="4" w:space="0"/>
              <w:left w:val="nil"/>
              <w:bottom w:val="single" w:color="auto" w:sz="4" w:space="0"/>
              <w:right w:val="single" w:color="auto" w:sz="4" w:space="0"/>
            </w:tcBorders>
            <w:shd w:val="clear" w:color="auto" w:fill="auto"/>
            <w:vAlign w:val="top"/>
          </w:tcPr>
          <w:p w14:paraId="66CEE72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356" w:type="dxa"/>
            <w:tcBorders>
              <w:top w:val="single" w:color="auto" w:sz="4" w:space="0"/>
              <w:left w:val="nil"/>
              <w:bottom w:val="single" w:color="auto" w:sz="4" w:space="0"/>
              <w:right w:val="single" w:color="auto" w:sz="4" w:space="0"/>
            </w:tcBorders>
            <w:shd w:val="clear" w:color="auto" w:fill="auto"/>
            <w:vAlign w:val="top"/>
          </w:tcPr>
          <w:p w14:paraId="3DDF20D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644" w:type="dxa"/>
            <w:tcBorders>
              <w:top w:val="single" w:color="auto" w:sz="4" w:space="0"/>
              <w:left w:val="nil"/>
              <w:bottom w:val="single" w:color="auto" w:sz="4" w:space="0"/>
              <w:right w:val="single" w:color="auto" w:sz="4" w:space="0"/>
            </w:tcBorders>
            <w:shd w:val="clear" w:color="auto" w:fill="auto"/>
            <w:vAlign w:val="top"/>
          </w:tcPr>
          <w:p w14:paraId="366E024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14:paraId="7B5F89E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p>
        </w:tc>
        <w:tc>
          <w:tcPr>
            <w:tcW w:w="446" w:type="dxa"/>
            <w:tcBorders>
              <w:top w:val="single" w:color="auto" w:sz="4" w:space="0"/>
              <w:left w:val="nil"/>
              <w:bottom w:val="single" w:color="auto" w:sz="4" w:space="0"/>
              <w:right w:val="single" w:color="auto" w:sz="4" w:space="0"/>
            </w:tcBorders>
            <w:shd w:val="clear" w:color="auto" w:fill="auto"/>
            <w:vAlign w:val="top"/>
          </w:tcPr>
          <w:p w14:paraId="4F1EC570">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auto"/>
                <w:kern w:val="2"/>
                <w:sz w:val="21"/>
                <w:szCs w:val="21"/>
                <w:highlight w:val="none"/>
              </w:rPr>
            </w:pPr>
          </w:p>
        </w:tc>
        <w:tc>
          <w:tcPr>
            <w:tcW w:w="1353" w:type="dxa"/>
            <w:tcBorders>
              <w:top w:val="single" w:color="auto" w:sz="4" w:space="0"/>
              <w:left w:val="nil"/>
              <w:bottom w:val="single" w:color="auto" w:sz="4" w:space="0"/>
              <w:right w:val="single" w:color="auto" w:sz="4" w:space="0"/>
            </w:tcBorders>
            <w:shd w:val="clear" w:color="auto" w:fill="auto"/>
            <w:vAlign w:val="center"/>
          </w:tcPr>
          <w:p w14:paraId="070F1A9F">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65924CC3">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c>
          <w:tcPr>
            <w:tcW w:w="2729" w:type="dxa"/>
            <w:tcBorders>
              <w:top w:val="single" w:color="auto" w:sz="4" w:space="0"/>
              <w:left w:val="nil"/>
              <w:bottom w:val="single" w:color="auto" w:sz="4" w:space="0"/>
              <w:right w:val="single" w:color="auto" w:sz="4" w:space="0"/>
            </w:tcBorders>
            <w:shd w:val="clear" w:color="auto" w:fill="auto"/>
            <w:vAlign w:val="center"/>
          </w:tcPr>
          <w:p w14:paraId="05ACFD9E">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2"/>
                <w:sz w:val="20"/>
                <w:szCs w:val="20"/>
                <w:highlight w:val="none"/>
              </w:rPr>
            </w:pPr>
          </w:p>
        </w:tc>
        <w:tc>
          <w:tcPr>
            <w:tcW w:w="1335" w:type="dxa"/>
            <w:tcBorders>
              <w:top w:val="single" w:color="auto" w:sz="4" w:space="0"/>
              <w:left w:val="nil"/>
              <w:bottom w:val="single" w:color="auto" w:sz="4" w:space="0"/>
              <w:right w:val="single" w:color="auto" w:sz="4" w:space="0"/>
            </w:tcBorders>
            <w:shd w:val="clear" w:color="auto" w:fill="auto"/>
            <w:vAlign w:val="center"/>
          </w:tcPr>
          <w:p w14:paraId="3B603FFC">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2"/>
                <w:sz w:val="20"/>
                <w:szCs w:val="20"/>
                <w:highlight w:val="none"/>
              </w:rPr>
            </w:pPr>
          </w:p>
        </w:tc>
      </w:tr>
    </w:tbl>
    <w:p w14:paraId="1D582958">
      <w:pPr>
        <w:keepNext w:val="0"/>
        <w:keepLines w:val="0"/>
        <w:widowControl w:val="0"/>
        <w:suppressLineNumbers w:val="0"/>
        <w:shd w:val="clear" w:fill="FFFFFF"/>
        <w:adjustRightInd w:val="0"/>
        <w:spacing w:before="0" w:beforeAutospacing="0" w:after="0" w:afterAutospacing="0"/>
        <w:ind w:left="0" w:right="0" w:firstLine="361" w:firstLineChars="200"/>
        <w:jc w:val="both"/>
        <w:rPr>
          <w:rFonts w:hint="eastAsia" w:ascii="宋体" w:hAnsi="宋体" w:eastAsia="宋体" w:cs="Times New Roman"/>
          <w:color w:val="auto"/>
          <w:kern w:val="2"/>
          <w:sz w:val="18"/>
          <w:szCs w:val="18"/>
          <w:highlight w:val="none"/>
          <w:shd w:val="clear" w:fill="FFFFFF"/>
        </w:rPr>
      </w:pPr>
      <w:r>
        <w:rPr>
          <w:rFonts w:hint="eastAsia" w:ascii="宋体" w:hAnsi="宋体" w:eastAsia="宋体" w:cs="宋体"/>
          <w:b/>
          <w:bCs w:val="0"/>
          <w:color w:val="auto"/>
          <w:kern w:val="0"/>
          <w:sz w:val="18"/>
          <w:szCs w:val="18"/>
          <w:highlight w:val="none"/>
          <w:shd w:val="clear" w:fill="FFFFFF"/>
          <w:lang w:val="en-US" w:eastAsia="zh-CN" w:bidi="ar"/>
        </w:rPr>
        <w:t>备注</w:t>
      </w:r>
      <w:r>
        <w:rPr>
          <w:rFonts w:hint="eastAsia" w:ascii="宋体" w:hAnsi="宋体" w:eastAsia="宋体" w:cs="宋体"/>
          <w:color w:val="auto"/>
          <w:kern w:val="0"/>
          <w:sz w:val="18"/>
          <w:szCs w:val="18"/>
          <w:highlight w:val="none"/>
          <w:shd w:val="clear" w:fill="FFFFFF"/>
          <w:lang w:val="en-US" w:eastAsia="zh-CN" w:bidi="ar"/>
        </w:rPr>
        <w:t>：1、</w:t>
      </w:r>
      <w:r>
        <w:rPr>
          <w:rFonts w:hint="eastAsia" w:ascii="宋体" w:hAnsi="宋体" w:eastAsia="宋体" w:cs="宋体"/>
          <w:color w:val="auto"/>
          <w:kern w:val="2"/>
          <w:sz w:val="18"/>
          <w:szCs w:val="18"/>
          <w:highlight w:val="none"/>
          <w:lang w:val="en-US" w:eastAsia="zh-CN" w:bidi="ar"/>
        </w:rPr>
        <w:t>本表为项目经理部主要人员的基本要求，投标单位根据招标文件项目管理要求中项目管理部相关人员配备表及根据自身情况填报《投入主要人员汇总表》和《主要人员简历表》，各岗位人员不得相互兼职。</w:t>
      </w:r>
    </w:p>
    <w:p w14:paraId="3731F9F7">
      <w:pPr>
        <w:keepNext w:val="0"/>
        <w:keepLines w:val="0"/>
        <w:widowControl/>
        <w:suppressLineNumbers w:val="0"/>
        <w:shd w:val="clear" w:fill="FFFFFF"/>
        <w:adjustRightInd w:val="0"/>
        <w:spacing w:before="0" w:beforeAutospacing="0" w:after="0" w:afterAutospacing="0"/>
        <w:ind w:left="0" w:right="0" w:firstLine="360" w:firstLineChars="200"/>
        <w:jc w:val="left"/>
        <w:rPr>
          <w:rFonts w:hint="eastAsia" w:ascii="宋体" w:hAnsi="宋体" w:eastAsia="宋体" w:cs="宋体"/>
          <w:color w:val="auto"/>
          <w:kern w:val="0"/>
          <w:sz w:val="18"/>
          <w:szCs w:val="18"/>
          <w:highlight w:val="none"/>
          <w:shd w:val="clear" w:fill="FFFFFF"/>
        </w:rPr>
      </w:pPr>
      <w:r>
        <w:rPr>
          <w:rFonts w:hint="eastAsia" w:ascii="宋体" w:hAnsi="宋体" w:eastAsia="宋体" w:cs="宋体"/>
          <w:color w:val="auto"/>
          <w:kern w:val="0"/>
          <w:sz w:val="18"/>
          <w:szCs w:val="18"/>
          <w:highlight w:val="none"/>
          <w:shd w:val="clear" w:fill="FFFFFF"/>
          <w:lang w:val="en-US" w:eastAsia="zh-CN" w:bidi="ar"/>
        </w:rPr>
        <w:t>2、本表项目经理部主要人员需提供</w:t>
      </w:r>
      <w:r>
        <w:rPr>
          <w:rFonts w:hint="eastAsia" w:ascii="宋体" w:hAnsi="宋体" w:eastAsia="宋体" w:cs="宋体"/>
          <w:b/>
          <w:bCs w:val="0"/>
          <w:color w:val="auto"/>
          <w:kern w:val="0"/>
          <w:sz w:val="18"/>
          <w:szCs w:val="18"/>
          <w:highlight w:val="none"/>
          <w:u w:val="single"/>
          <w:shd w:val="clear" w:fill="FFFFFF"/>
          <w:lang w:val="en-US" w:eastAsia="zh-CN" w:bidi="ar"/>
        </w:rPr>
        <w:t>2024年</w:t>
      </w:r>
      <w:r>
        <w:rPr>
          <w:rFonts w:hint="default" w:ascii="宋体" w:hAnsi="宋体" w:eastAsia="宋体" w:cs="宋体"/>
          <w:b/>
          <w:bCs w:val="0"/>
          <w:color w:val="auto"/>
          <w:kern w:val="0"/>
          <w:sz w:val="18"/>
          <w:szCs w:val="18"/>
          <w:highlight w:val="none"/>
          <w:u w:val="single"/>
          <w:shd w:val="clear" w:fill="FFFFFF"/>
          <w:lang w:eastAsia="zh-CN" w:bidi="ar"/>
        </w:rPr>
        <w:t>8</w:t>
      </w:r>
      <w:r>
        <w:rPr>
          <w:rFonts w:hint="eastAsia" w:ascii="宋体" w:hAnsi="宋体" w:eastAsia="宋体" w:cs="宋体"/>
          <w:b/>
          <w:bCs w:val="0"/>
          <w:color w:val="auto"/>
          <w:kern w:val="0"/>
          <w:sz w:val="18"/>
          <w:szCs w:val="18"/>
          <w:highlight w:val="none"/>
          <w:u w:val="single"/>
          <w:shd w:val="clear" w:fill="FFFFFF"/>
          <w:lang w:val="en-US" w:eastAsia="zh-CN" w:bidi="ar"/>
        </w:rPr>
        <w:t>月</w:t>
      </w:r>
      <w:r>
        <w:rPr>
          <w:rFonts w:hint="eastAsia" w:ascii="宋体" w:hAnsi="宋体" w:eastAsia="宋体" w:cs="宋体"/>
          <w:color w:val="auto"/>
          <w:kern w:val="0"/>
          <w:sz w:val="18"/>
          <w:szCs w:val="18"/>
          <w:highlight w:val="none"/>
          <w:shd w:val="clear" w:fill="FFFFFF"/>
          <w:lang w:val="en-US" w:eastAsia="zh-CN" w:bidi="ar"/>
        </w:rPr>
        <w:t>的社保证明文件扫描件，项目经理部主要人员需提供的其他证明文件详见基本要求及备注。</w:t>
      </w:r>
    </w:p>
    <w:p w14:paraId="26F9F282">
      <w:pPr>
        <w:keepNext w:val="0"/>
        <w:keepLines w:val="0"/>
        <w:widowControl/>
        <w:suppressLineNumbers w:val="0"/>
        <w:shd w:val="clear" w:fill="FFFFFF"/>
        <w:adjustRightInd w:val="0"/>
        <w:spacing w:before="0" w:beforeAutospacing="0" w:after="0" w:afterAutospacing="0"/>
        <w:ind w:left="0" w:right="0" w:firstLine="360" w:firstLineChars="200"/>
        <w:jc w:val="left"/>
        <w:rPr>
          <w:rFonts w:hint="eastAsia" w:ascii="宋体" w:hAnsi="宋体" w:eastAsia="宋体" w:cs="宋体"/>
          <w:color w:val="auto"/>
          <w:kern w:val="0"/>
          <w:sz w:val="18"/>
          <w:szCs w:val="18"/>
          <w:highlight w:val="none"/>
          <w:shd w:val="clear" w:fill="FFFFFF"/>
        </w:rPr>
      </w:pPr>
      <w:r>
        <w:rPr>
          <w:rFonts w:hint="eastAsia" w:ascii="宋体" w:hAnsi="宋体" w:eastAsia="宋体" w:cs="宋体"/>
          <w:color w:val="auto"/>
          <w:kern w:val="0"/>
          <w:sz w:val="18"/>
          <w:szCs w:val="18"/>
          <w:highlight w:val="none"/>
          <w:shd w:val="clear" w:fill="FFFFFF"/>
          <w:lang w:val="en-US" w:eastAsia="zh-CN" w:bidi="ar"/>
        </w:rPr>
        <w:t>3、人员仅指投标人自身人员，如投标申请人为集团公司，则不含集团下属具有独立法人的子公司的人员，但包含非独立法人的分公司人员；同样下属具有独立法人的子公司也不得使用集团公司的人员。</w:t>
      </w:r>
    </w:p>
    <w:p w14:paraId="1F0DE3D0">
      <w:pPr>
        <w:keepNext w:val="0"/>
        <w:keepLines w:val="0"/>
        <w:widowControl/>
        <w:suppressLineNumbers w:val="0"/>
        <w:shd w:val="clear" w:fill="FFFFFF"/>
        <w:adjustRightInd w:val="0"/>
        <w:spacing w:before="0" w:beforeAutospacing="0" w:after="0" w:afterAutospacing="0"/>
        <w:ind w:left="0" w:right="0" w:firstLine="360" w:firstLineChars="200"/>
        <w:jc w:val="left"/>
        <w:rPr>
          <w:rFonts w:hint="eastAsia" w:ascii="宋体" w:hAnsi="宋体" w:eastAsia="宋体" w:cs="宋体"/>
          <w:color w:val="auto"/>
          <w:kern w:val="0"/>
          <w:sz w:val="18"/>
          <w:szCs w:val="18"/>
          <w:highlight w:val="none"/>
          <w:shd w:val="clear" w:fill="FFFFFF"/>
        </w:rPr>
      </w:pPr>
      <w:r>
        <w:rPr>
          <w:rFonts w:hint="eastAsia" w:ascii="宋体" w:hAnsi="宋体" w:eastAsia="宋体" w:cs="宋体"/>
          <w:color w:val="auto"/>
          <w:kern w:val="0"/>
          <w:sz w:val="18"/>
          <w:szCs w:val="18"/>
          <w:highlight w:val="none"/>
          <w:shd w:val="clear" w:fill="FFFFFF"/>
          <w:lang w:val="en-US" w:eastAsia="zh-CN" w:bidi="ar"/>
        </w:rPr>
        <w:t>4、拟投入的项目部人员，未经招标人同意，中标后不得更换，否则按合同约定承担违约责任。</w:t>
      </w:r>
    </w:p>
    <w:p w14:paraId="46417615">
      <w:pPr>
        <w:keepNext w:val="0"/>
        <w:keepLines w:val="0"/>
        <w:widowControl/>
        <w:suppressLineNumbers w:val="0"/>
        <w:shd w:val="clear" w:fill="FFFFFF"/>
        <w:adjustRightInd w:val="0"/>
        <w:spacing w:before="0" w:beforeAutospacing="0" w:after="0" w:afterAutospacing="0"/>
        <w:ind w:left="0" w:right="0" w:firstLine="360" w:firstLineChars="200"/>
        <w:jc w:val="left"/>
        <w:rPr>
          <w:rFonts w:hint="eastAsia" w:ascii="宋体" w:hAnsi="宋体" w:eastAsia="宋体" w:cs="宋体"/>
          <w:color w:val="auto"/>
          <w:kern w:val="0"/>
          <w:sz w:val="18"/>
          <w:szCs w:val="18"/>
          <w:highlight w:val="none"/>
          <w:shd w:val="clear" w:fill="FFFFFF"/>
        </w:rPr>
      </w:pPr>
      <w:r>
        <w:rPr>
          <w:rFonts w:hint="eastAsia" w:ascii="宋体" w:hAnsi="宋体" w:eastAsia="宋体" w:cs="宋体"/>
          <w:color w:val="auto"/>
          <w:kern w:val="0"/>
          <w:sz w:val="18"/>
          <w:szCs w:val="18"/>
          <w:highlight w:val="none"/>
          <w:shd w:val="clear" w:fill="FFFFFF"/>
          <w:lang w:val="en-US" w:eastAsia="zh-CN" w:bidi="ar"/>
        </w:rPr>
        <w:t>5、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w:t>
      </w:r>
    </w:p>
    <w:p w14:paraId="1EC63213">
      <w:pPr>
        <w:keepNext w:val="0"/>
        <w:keepLines w:val="0"/>
        <w:widowControl/>
        <w:suppressLineNumbers w:val="0"/>
        <w:shd w:val="clear" w:fill="FFFFFF"/>
        <w:adjustRightInd w:val="0"/>
        <w:spacing w:before="0" w:beforeAutospacing="0" w:after="0" w:afterAutospacing="0"/>
        <w:ind w:left="0" w:right="0" w:firstLine="361" w:firstLineChars="200"/>
        <w:jc w:val="left"/>
        <w:rPr>
          <w:rFonts w:hint="eastAsia" w:ascii="宋体" w:hAnsi="宋体" w:eastAsia="宋体" w:cs="宋体"/>
          <w:b/>
          <w:color w:val="auto"/>
          <w:spacing w:val="0"/>
          <w:kern w:val="0"/>
          <w:sz w:val="18"/>
          <w:szCs w:val="18"/>
          <w:highlight w:val="none"/>
          <w:shd w:val="clear" w:fill="FFFFFF"/>
          <w:lang w:bidi="ar"/>
        </w:rPr>
      </w:pPr>
      <w:r>
        <w:rPr>
          <w:rFonts w:hint="eastAsia" w:ascii="宋体" w:hAnsi="宋体" w:eastAsia="宋体" w:cs="宋体"/>
          <w:b/>
          <w:color w:val="auto"/>
          <w:kern w:val="0"/>
          <w:sz w:val="18"/>
          <w:szCs w:val="18"/>
          <w:highlight w:val="none"/>
          <w:shd w:val="clear" w:fill="FFFFFF"/>
          <w:lang w:val="en-US" w:eastAsia="zh-CN" w:bidi="ar"/>
        </w:rPr>
        <w:t>6、</w:t>
      </w:r>
      <w:r>
        <w:rPr>
          <w:rFonts w:hint="eastAsia" w:ascii="宋体" w:hAnsi="宋体" w:eastAsia="宋体" w:cs="宋体"/>
          <w:b/>
          <w:color w:val="auto"/>
          <w:spacing w:val="0"/>
          <w:kern w:val="0"/>
          <w:sz w:val="18"/>
          <w:szCs w:val="18"/>
          <w:highlight w:val="none"/>
          <w:shd w:val="clear" w:fill="FFFFFF"/>
          <w:lang w:val="en-US" w:eastAsia="zh-CN" w:bidi="ar"/>
        </w:rPr>
        <w:t>第十五届全运会广东奥林匹克体育中心升级改造项目、</w:t>
      </w:r>
      <w:r>
        <w:rPr>
          <w:rFonts w:hint="eastAsia" w:ascii="宋体" w:hAnsi="宋体" w:eastAsia="宋体" w:cs="宋体"/>
          <w:b/>
          <w:i w:val="0"/>
          <w:caps w:val="0"/>
          <w:color w:val="auto"/>
          <w:spacing w:val="0"/>
          <w:kern w:val="0"/>
          <w:sz w:val="18"/>
          <w:szCs w:val="18"/>
          <w:highlight w:val="none"/>
          <w:shd w:val="clear" w:fill="FFFFFF"/>
          <w:lang w:bidi="ar"/>
        </w:rPr>
        <w:t>第十五届全运会广东省人民体育场改造项目</w:t>
      </w:r>
      <w:r>
        <w:rPr>
          <w:rFonts w:hint="eastAsia" w:ascii="宋体" w:hAnsi="宋体" w:eastAsia="宋体" w:cs="宋体"/>
          <w:b/>
          <w:color w:val="auto"/>
          <w:kern w:val="0"/>
          <w:sz w:val="18"/>
          <w:szCs w:val="18"/>
          <w:highlight w:val="none"/>
          <w:shd w:val="clear" w:fill="FFFFFF"/>
          <w:lang w:bidi="ar"/>
        </w:rPr>
        <w:t xml:space="preserve"> </w:t>
      </w:r>
      <w:r>
        <w:rPr>
          <w:rFonts w:hint="eastAsia" w:ascii="宋体" w:hAnsi="宋体" w:eastAsia="宋体" w:cs="宋体"/>
          <w:b/>
          <w:color w:val="auto"/>
          <w:spacing w:val="0"/>
          <w:kern w:val="0"/>
          <w:sz w:val="18"/>
          <w:szCs w:val="18"/>
          <w:highlight w:val="none"/>
          <w:shd w:val="clear" w:fill="FFFFFF"/>
          <w:lang w:val="en-US" w:eastAsia="zh-CN" w:bidi="ar"/>
        </w:rPr>
        <w:t>《投入主要人员汇总表》内的人员</w:t>
      </w:r>
      <w:r>
        <w:rPr>
          <w:rFonts w:hint="eastAsia" w:ascii="宋体" w:hAnsi="宋体" w:eastAsia="宋体" w:cs="宋体"/>
          <w:b/>
          <w:color w:val="auto"/>
          <w:kern w:val="0"/>
          <w:sz w:val="18"/>
          <w:szCs w:val="18"/>
          <w:highlight w:val="none"/>
          <w:shd w:val="clear" w:fill="FFFFFF"/>
          <w:lang w:val="en-US" w:eastAsia="zh-CN" w:bidi="ar"/>
        </w:rPr>
        <w:t>不得相互兼职。</w:t>
      </w:r>
    </w:p>
    <w:p w14:paraId="01C29661">
      <w:pPr>
        <w:keepNext w:val="0"/>
        <w:keepLines w:val="0"/>
        <w:widowControl w:val="0"/>
        <w:suppressLineNumbers w:val="0"/>
        <w:topLinePunct/>
        <w:adjustRightInd w:val="0"/>
        <w:snapToGrid w:val="0"/>
        <w:spacing w:before="0" w:beforeAutospacing="0" w:after="0" w:afterAutospacing="0" w:line="360" w:lineRule="auto"/>
        <w:ind w:left="0" w:right="0" w:firstLine="3596" w:firstLineChars="1450"/>
        <w:jc w:val="both"/>
        <w:rPr>
          <w:rFonts w:hint="eastAsia" w:ascii="宋体" w:hAnsi="宋体" w:eastAsia="宋体" w:cs="Times New Roman"/>
          <w:color w:val="auto"/>
          <w:spacing w:val="4"/>
          <w:kern w:val="0"/>
          <w:sz w:val="24"/>
          <w:szCs w:val="24"/>
          <w:highlight w:val="none"/>
        </w:rPr>
      </w:pPr>
      <w:r>
        <w:rPr>
          <w:rFonts w:hint="eastAsia" w:ascii="宋体" w:hAnsi="宋体" w:eastAsia="宋体" w:cs="Times New Roman"/>
          <w:color w:val="auto"/>
          <w:spacing w:val="4"/>
          <w:kern w:val="0"/>
          <w:sz w:val="24"/>
          <w:szCs w:val="24"/>
          <w:highlight w:val="none"/>
          <w:lang w:val="en-US" w:eastAsia="zh-CN" w:bidi="ar"/>
        </w:rPr>
        <w:t xml:space="preserve"> </w:t>
      </w:r>
    </w:p>
    <w:p w14:paraId="4666195A">
      <w:pPr>
        <w:keepNext w:val="0"/>
        <w:keepLines w:val="0"/>
        <w:widowControl w:val="0"/>
        <w:suppressLineNumbers w:val="0"/>
        <w:topLinePunct/>
        <w:adjustRightInd w:val="0"/>
        <w:snapToGrid w:val="0"/>
        <w:spacing w:before="0" w:beforeAutospacing="0" w:after="0" w:afterAutospacing="0" w:line="360" w:lineRule="auto"/>
        <w:ind w:left="0" w:right="0" w:firstLine="3596" w:firstLineChars="1450"/>
        <w:jc w:val="both"/>
        <w:rPr>
          <w:rFonts w:hint="eastAsia" w:ascii="宋体" w:hAnsi="宋体"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val="en-US" w:eastAsia="zh-CN" w:bidi="ar"/>
        </w:rPr>
        <w:t>投标人：  （盖章）</w:t>
      </w:r>
    </w:p>
    <w:p w14:paraId="79F74B36">
      <w:pPr>
        <w:keepNext w:val="0"/>
        <w:keepLines w:val="0"/>
        <w:widowControl w:val="0"/>
        <w:suppressLineNumbers w:val="0"/>
        <w:topLinePunct/>
        <w:adjustRightInd w:val="0"/>
        <w:snapToGrid w:val="0"/>
        <w:spacing w:before="0" w:beforeAutospacing="0" w:after="0" w:afterAutospacing="0" w:line="360" w:lineRule="auto"/>
        <w:ind w:left="0" w:right="0" w:firstLine="3596" w:firstLineChars="1450"/>
        <w:jc w:val="both"/>
        <w:rPr>
          <w:rFonts w:hint="eastAsia" w:ascii="宋体" w:hAnsi="宋体"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val="en-US" w:eastAsia="zh-CN" w:bidi="ar"/>
        </w:rPr>
        <w:t>法定代表人或授权代理人(签字或盖章)：</w:t>
      </w:r>
    </w:p>
    <w:p w14:paraId="3B71FF42">
      <w:pPr>
        <w:keepNext w:val="0"/>
        <w:keepLines w:val="0"/>
        <w:widowControl w:val="0"/>
        <w:suppressLineNumbers w:val="0"/>
        <w:spacing w:before="0" w:beforeAutospacing="0" w:after="0" w:afterAutospacing="0"/>
        <w:ind w:left="0" w:right="0" w:firstLine="3600" w:firstLineChars="15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05399AD">
      <w:pPr>
        <w:keepNext w:val="0"/>
        <w:keepLines w:val="0"/>
        <w:widowControl/>
        <w:suppressLineNumbers w:val="0"/>
        <w:spacing w:before="0" w:beforeAutospacing="0" w:after="0" w:afterAutospacing="0"/>
        <w:ind w:left="0" w:right="0" w:firstLine="0" w:firstLine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br w:type="page"/>
      </w:r>
    </w:p>
    <w:p w14:paraId="7D685F15">
      <w:pPr>
        <w:keepNext w:val="0"/>
        <w:keepLines w:val="0"/>
        <w:widowControl/>
        <w:suppressLineNumbers w:val="0"/>
        <w:spacing w:before="0" w:beforeAutospacing="1" w:after="0" w:afterAutospacing="1"/>
        <w:ind w:left="0" w:right="0"/>
        <w:jc w:val="left"/>
        <w:outlineLvl w:val="2"/>
        <w:rPr>
          <w:rFonts w:hint="eastAsia" w:ascii="宋体" w:hAnsi="宋体" w:eastAsia="宋体" w:cs="Times New Roman"/>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主要人员简历表</w:t>
      </w:r>
    </w:p>
    <w:p w14:paraId="6F00E0FE">
      <w:pPr>
        <w:keepNext w:val="0"/>
        <w:keepLines w:val="0"/>
        <w:widowControl w:val="0"/>
        <w:suppressLineNumbers w:val="0"/>
        <w:topLinePunct/>
        <w:adjustRightInd w:val="0"/>
        <w:snapToGrid w:val="0"/>
        <w:spacing w:before="156" w:beforeAutospacing="0" w:after="156" w:afterAutospacing="0" w:line="360" w:lineRule="auto"/>
        <w:ind w:left="0" w:right="0"/>
        <w:jc w:val="center"/>
        <w:rPr>
          <w:rFonts w:hint="eastAsia" w:ascii="宋体" w:hAnsi="宋体" w:eastAsia="宋体" w:cs="Times New Roman"/>
          <w:b/>
          <w:bCs w:val="0"/>
          <w:color w:val="auto"/>
          <w:spacing w:val="4"/>
          <w:kern w:val="0"/>
          <w:sz w:val="32"/>
          <w:szCs w:val="32"/>
          <w:highlight w:val="none"/>
        </w:rPr>
      </w:pPr>
      <w:r>
        <w:rPr>
          <w:rFonts w:hint="eastAsia" w:ascii="宋体" w:hAnsi="宋体" w:eastAsia="宋体" w:cs="宋体"/>
          <w:b/>
          <w:bCs w:val="0"/>
          <w:color w:val="auto"/>
          <w:spacing w:val="4"/>
          <w:kern w:val="0"/>
          <w:sz w:val="32"/>
          <w:szCs w:val="32"/>
          <w:highlight w:val="none"/>
          <w:lang w:val="en-US" w:eastAsia="zh-CN" w:bidi="ar"/>
        </w:rPr>
        <w:t>主要人员简历表</w:t>
      </w:r>
    </w:p>
    <w:tbl>
      <w:tblPr>
        <w:tblStyle w:val="10"/>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14:paraId="31BF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3DD3032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姓名</w:t>
            </w:r>
          </w:p>
        </w:tc>
        <w:tc>
          <w:tcPr>
            <w:tcW w:w="2126" w:type="dxa"/>
            <w:gridSpan w:val="3"/>
            <w:tcBorders>
              <w:top w:val="single" w:color="auto" w:sz="4" w:space="0"/>
              <w:left w:val="nil"/>
              <w:bottom w:val="single" w:color="auto" w:sz="4" w:space="0"/>
              <w:right w:val="single" w:color="auto" w:sz="4" w:space="0"/>
            </w:tcBorders>
            <w:shd w:val="clear" w:color="auto" w:fill="auto"/>
            <w:vAlign w:val="center"/>
          </w:tcPr>
          <w:p w14:paraId="72DC9F02">
            <w:pPr>
              <w:keepNext/>
              <w:keepLines/>
              <w:widowControl w:val="0"/>
              <w:suppressLineNumbers w:val="0"/>
              <w:topLinePunct/>
              <w:adjustRightInd w:val="0"/>
              <w:snapToGrid w:val="0"/>
              <w:spacing w:before="120" w:beforeAutospacing="0" w:after="120" w:afterAutospacing="0" w:line="360" w:lineRule="auto"/>
              <w:ind w:left="0" w:right="0"/>
              <w:jc w:val="center"/>
              <w:outlineLvl w:val="0"/>
              <w:rPr>
                <w:rFonts w:hint="eastAsia" w:ascii="宋体" w:hAnsi="宋体" w:eastAsia="宋体" w:cs="Times New Roman"/>
                <w:b/>
                <w:bCs w:val="0"/>
                <w:color w:val="auto"/>
                <w:spacing w:val="4"/>
                <w:kern w:val="0"/>
                <w:sz w:val="24"/>
                <w:szCs w:val="24"/>
                <w:highlight w:val="none"/>
              </w:rPr>
            </w:pPr>
          </w:p>
        </w:tc>
        <w:tc>
          <w:tcPr>
            <w:tcW w:w="1370" w:type="dxa"/>
            <w:gridSpan w:val="2"/>
            <w:tcBorders>
              <w:top w:val="single" w:color="auto" w:sz="4" w:space="0"/>
              <w:left w:val="nil"/>
              <w:bottom w:val="single" w:color="auto" w:sz="4" w:space="0"/>
              <w:right w:val="single" w:color="auto" w:sz="4" w:space="0"/>
            </w:tcBorders>
            <w:shd w:val="clear" w:color="auto" w:fill="auto"/>
            <w:vAlign w:val="center"/>
          </w:tcPr>
          <w:p w14:paraId="42F65F1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性别</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45E7C3D4">
            <w:pPr>
              <w:keepNext/>
              <w:keepLines/>
              <w:widowControl w:val="0"/>
              <w:suppressLineNumbers w:val="0"/>
              <w:topLinePunct/>
              <w:adjustRightInd w:val="0"/>
              <w:snapToGrid w:val="0"/>
              <w:spacing w:before="120" w:beforeAutospacing="0" w:after="120" w:afterAutospacing="0" w:line="360" w:lineRule="auto"/>
              <w:ind w:left="0" w:right="0"/>
              <w:jc w:val="center"/>
              <w:outlineLvl w:val="0"/>
              <w:rPr>
                <w:rFonts w:hint="eastAsia" w:ascii="宋体" w:hAnsi="宋体" w:eastAsia="宋体" w:cs="Times New Roman"/>
                <w:b/>
                <w:bCs w:val="0"/>
                <w:color w:val="auto"/>
                <w:spacing w:val="4"/>
                <w:kern w:val="0"/>
                <w:sz w:val="24"/>
                <w:szCs w:val="24"/>
                <w:highlight w:val="none"/>
              </w:rPr>
            </w:pPr>
          </w:p>
        </w:tc>
        <w:tc>
          <w:tcPr>
            <w:tcW w:w="1182" w:type="dxa"/>
            <w:tcBorders>
              <w:top w:val="single" w:color="auto" w:sz="4" w:space="0"/>
              <w:left w:val="nil"/>
              <w:bottom w:val="single" w:color="auto" w:sz="4" w:space="0"/>
              <w:right w:val="single" w:color="auto" w:sz="4" w:space="0"/>
            </w:tcBorders>
            <w:shd w:val="clear" w:color="auto" w:fill="auto"/>
            <w:vAlign w:val="center"/>
          </w:tcPr>
          <w:p w14:paraId="5EE49AA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年龄</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14:paraId="5A1786A9">
            <w:pPr>
              <w:keepNext/>
              <w:keepLines/>
              <w:widowControl w:val="0"/>
              <w:suppressLineNumbers w:val="0"/>
              <w:topLinePunct/>
              <w:adjustRightInd w:val="0"/>
              <w:snapToGrid w:val="0"/>
              <w:spacing w:before="120" w:beforeAutospacing="0" w:after="120" w:afterAutospacing="0" w:line="360" w:lineRule="auto"/>
              <w:ind w:left="0" w:right="0"/>
              <w:jc w:val="center"/>
              <w:outlineLvl w:val="0"/>
              <w:rPr>
                <w:rFonts w:hint="eastAsia" w:ascii="宋体" w:hAnsi="宋体" w:eastAsia="宋体" w:cs="Times New Roman"/>
                <w:b/>
                <w:bCs w:val="0"/>
                <w:color w:val="auto"/>
                <w:spacing w:val="4"/>
                <w:kern w:val="0"/>
                <w:sz w:val="24"/>
                <w:szCs w:val="24"/>
                <w:highlight w:val="none"/>
              </w:rPr>
            </w:pPr>
          </w:p>
        </w:tc>
      </w:tr>
      <w:tr w14:paraId="13DB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5EE1EBE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身份证号码</w:t>
            </w:r>
          </w:p>
        </w:tc>
        <w:tc>
          <w:tcPr>
            <w:tcW w:w="7999" w:type="dxa"/>
            <w:gridSpan w:val="10"/>
            <w:tcBorders>
              <w:top w:val="single" w:color="auto" w:sz="4" w:space="0"/>
              <w:left w:val="nil"/>
              <w:bottom w:val="single" w:color="auto" w:sz="4" w:space="0"/>
              <w:right w:val="single" w:color="auto" w:sz="4" w:space="0"/>
            </w:tcBorders>
            <w:shd w:val="clear" w:color="auto" w:fill="auto"/>
            <w:vAlign w:val="center"/>
          </w:tcPr>
          <w:p w14:paraId="47C81847">
            <w:pPr>
              <w:keepNext w:val="0"/>
              <w:keepLines w:val="0"/>
              <w:widowControl w:val="0"/>
              <w:suppressLineNumbers w:val="0"/>
              <w:topLinePunct/>
              <w:adjustRightInd w:val="0"/>
              <w:snapToGrid w:val="0"/>
              <w:spacing w:before="0" w:beforeAutospacing="0" w:after="0" w:afterAutospacing="0" w:line="360" w:lineRule="auto"/>
              <w:ind w:left="0" w:right="0"/>
              <w:jc w:val="center"/>
              <w:rPr>
                <w:rFonts w:hint="eastAsia" w:ascii="宋体" w:hAnsi="宋体" w:eastAsia="宋体" w:cs="Times New Roman"/>
                <w:b/>
                <w:bCs w:val="0"/>
                <w:color w:val="auto"/>
                <w:spacing w:val="4"/>
                <w:kern w:val="0"/>
                <w:sz w:val="24"/>
                <w:szCs w:val="24"/>
                <w:highlight w:val="none"/>
              </w:rPr>
            </w:pPr>
          </w:p>
        </w:tc>
      </w:tr>
      <w:tr w14:paraId="72F9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20E53E1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在本项目任职</w:t>
            </w:r>
          </w:p>
        </w:tc>
        <w:tc>
          <w:tcPr>
            <w:tcW w:w="2126" w:type="dxa"/>
            <w:gridSpan w:val="3"/>
            <w:tcBorders>
              <w:top w:val="single" w:color="auto" w:sz="4" w:space="0"/>
              <w:left w:val="nil"/>
              <w:bottom w:val="single" w:color="auto" w:sz="4" w:space="0"/>
              <w:right w:val="single" w:color="auto" w:sz="4" w:space="0"/>
            </w:tcBorders>
            <w:shd w:val="clear" w:color="auto" w:fill="auto"/>
            <w:vAlign w:val="center"/>
          </w:tcPr>
          <w:p w14:paraId="7F46185E">
            <w:pPr>
              <w:keepNext/>
              <w:keepLines/>
              <w:widowControl w:val="0"/>
              <w:suppressLineNumbers w:val="0"/>
              <w:topLinePunct/>
              <w:adjustRightInd w:val="0"/>
              <w:snapToGrid w:val="0"/>
              <w:spacing w:before="120" w:beforeAutospacing="0" w:after="120" w:afterAutospacing="0" w:line="360" w:lineRule="auto"/>
              <w:ind w:left="0" w:right="0"/>
              <w:jc w:val="center"/>
              <w:outlineLvl w:val="0"/>
              <w:rPr>
                <w:rFonts w:hint="eastAsia" w:ascii="宋体" w:hAnsi="宋体" w:eastAsia="宋体" w:cs="Times New Roman"/>
                <w:b/>
                <w:bCs w:val="0"/>
                <w:color w:val="auto"/>
                <w:spacing w:val="4"/>
                <w:kern w:val="0"/>
                <w:sz w:val="24"/>
                <w:szCs w:val="24"/>
                <w:highlight w:val="none"/>
              </w:rPr>
            </w:pPr>
          </w:p>
        </w:tc>
        <w:tc>
          <w:tcPr>
            <w:tcW w:w="1370" w:type="dxa"/>
            <w:gridSpan w:val="2"/>
            <w:tcBorders>
              <w:top w:val="single" w:color="auto" w:sz="4" w:space="0"/>
              <w:left w:val="nil"/>
              <w:bottom w:val="single" w:color="auto" w:sz="4" w:space="0"/>
              <w:right w:val="single" w:color="auto" w:sz="4" w:space="0"/>
            </w:tcBorders>
            <w:shd w:val="clear" w:color="auto" w:fill="auto"/>
            <w:vAlign w:val="center"/>
          </w:tcPr>
          <w:p w14:paraId="1D06CFC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职称</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12B27EE9">
            <w:pPr>
              <w:keepNext/>
              <w:keepLines/>
              <w:widowControl w:val="0"/>
              <w:suppressLineNumbers w:val="0"/>
              <w:topLinePunct/>
              <w:adjustRightInd w:val="0"/>
              <w:snapToGrid w:val="0"/>
              <w:spacing w:before="120" w:beforeAutospacing="0" w:after="120" w:afterAutospacing="0" w:line="360" w:lineRule="auto"/>
              <w:ind w:left="0" w:right="0"/>
              <w:jc w:val="center"/>
              <w:outlineLvl w:val="0"/>
              <w:rPr>
                <w:rFonts w:hint="eastAsia" w:ascii="宋体" w:hAnsi="宋体" w:eastAsia="宋体" w:cs="Times New Roman"/>
                <w:b/>
                <w:bCs w:val="0"/>
                <w:color w:val="auto"/>
                <w:spacing w:val="4"/>
                <w:kern w:val="0"/>
                <w:sz w:val="24"/>
                <w:szCs w:val="24"/>
                <w:highlight w:val="none"/>
              </w:rPr>
            </w:pPr>
          </w:p>
        </w:tc>
        <w:tc>
          <w:tcPr>
            <w:tcW w:w="1182" w:type="dxa"/>
            <w:tcBorders>
              <w:top w:val="single" w:color="auto" w:sz="4" w:space="0"/>
              <w:left w:val="nil"/>
              <w:bottom w:val="single" w:color="auto" w:sz="4" w:space="0"/>
              <w:right w:val="single" w:color="auto" w:sz="4" w:space="0"/>
            </w:tcBorders>
            <w:shd w:val="clear" w:color="auto" w:fill="auto"/>
            <w:vAlign w:val="center"/>
          </w:tcPr>
          <w:p w14:paraId="0523414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学历</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14:paraId="1D617815">
            <w:pPr>
              <w:keepNext/>
              <w:keepLines/>
              <w:widowControl w:val="0"/>
              <w:suppressLineNumbers w:val="0"/>
              <w:topLinePunct/>
              <w:adjustRightInd w:val="0"/>
              <w:snapToGrid w:val="0"/>
              <w:spacing w:before="120" w:beforeAutospacing="0" w:after="120" w:afterAutospacing="0" w:line="360" w:lineRule="auto"/>
              <w:ind w:left="0" w:right="0"/>
              <w:jc w:val="center"/>
              <w:outlineLvl w:val="0"/>
              <w:rPr>
                <w:rFonts w:hint="eastAsia" w:ascii="宋体" w:hAnsi="宋体" w:eastAsia="宋体" w:cs="Times New Roman"/>
                <w:b/>
                <w:bCs w:val="0"/>
                <w:color w:val="auto"/>
                <w:spacing w:val="4"/>
                <w:kern w:val="0"/>
                <w:sz w:val="24"/>
                <w:szCs w:val="24"/>
                <w:highlight w:val="none"/>
              </w:rPr>
            </w:pPr>
          </w:p>
        </w:tc>
      </w:tr>
      <w:tr w14:paraId="6077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2" w:hRule="atLeast"/>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5C47283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参加工作</w:t>
            </w:r>
          </w:p>
          <w:p w14:paraId="78C92CB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年限</w:t>
            </w:r>
          </w:p>
        </w:tc>
        <w:tc>
          <w:tcPr>
            <w:tcW w:w="2126" w:type="dxa"/>
            <w:gridSpan w:val="3"/>
            <w:tcBorders>
              <w:top w:val="single" w:color="auto" w:sz="4" w:space="0"/>
              <w:left w:val="nil"/>
              <w:bottom w:val="single" w:color="auto" w:sz="4" w:space="0"/>
              <w:right w:val="single" w:color="auto" w:sz="4" w:space="0"/>
            </w:tcBorders>
            <w:shd w:val="clear" w:color="auto" w:fill="auto"/>
            <w:vAlign w:val="center"/>
          </w:tcPr>
          <w:p w14:paraId="47A1DACB">
            <w:pPr>
              <w:keepNext/>
              <w:keepLines/>
              <w:widowControl w:val="0"/>
              <w:suppressLineNumbers w:val="0"/>
              <w:topLinePunct/>
              <w:adjustRightInd w:val="0"/>
              <w:snapToGrid w:val="0"/>
              <w:spacing w:before="120" w:beforeAutospacing="0" w:after="120" w:afterAutospacing="0" w:line="360" w:lineRule="auto"/>
              <w:ind w:left="0" w:right="0"/>
              <w:jc w:val="center"/>
              <w:outlineLvl w:val="0"/>
              <w:rPr>
                <w:rFonts w:hint="eastAsia" w:ascii="宋体" w:hAnsi="宋体" w:eastAsia="宋体" w:cs="Times New Roman"/>
                <w:b/>
                <w:bCs w:val="0"/>
                <w:color w:val="auto"/>
                <w:spacing w:val="4"/>
                <w:kern w:val="0"/>
                <w:sz w:val="24"/>
                <w:szCs w:val="24"/>
                <w:highlight w:val="none"/>
              </w:rPr>
            </w:pPr>
          </w:p>
        </w:tc>
        <w:tc>
          <w:tcPr>
            <w:tcW w:w="1370" w:type="dxa"/>
            <w:gridSpan w:val="2"/>
            <w:tcBorders>
              <w:top w:val="single" w:color="auto" w:sz="4" w:space="0"/>
              <w:left w:val="nil"/>
              <w:bottom w:val="single" w:color="auto" w:sz="4" w:space="0"/>
              <w:right w:val="single" w:color="auto" w:sz="4" w:space="0"/>
            </w:tcBorders>
            <w:shd w:val="clear" w:color="auto" w:fill="auto"/>
            <w:vAlign w:val="center"/>
          </w:tcPr>
          <w:p w14:paraId="4688071D">
            <w:pPr>
              <w:keepNext w:val="0"/>
              <w:keepLines w:val="0"/>
              <w:widowControl w:val="0"/>
              <w:suppressLineNumbers w:val="0"/>
              <w:topLinePunct/>
              <w:adjustRightInd w:val="0"/>
              <w:snapToGrid w:val="0"/>
              <w:spacing w:before="0" w:beforeAutospacing="0" w:after="0" w:afterAutospacing="0" w:line="360" w:lineRule="auto"/>
              <w:ind w:left="0" w:right="0"/>
              <w:jc w:val="center"/>
              <w:rPr>
                <w:rFonts w:hint="eastAsia" w:ascii="宋体" w:hAnsi="宋体" w:eastAsia="宋体" w:cs="Times New Roman"/>
                <w:b/>
                <w:bCs w:val="0"/>
                <w:color w:val="auto"/>
                <w:spacing w:val="4"/>
                <w:kern w:val="0"/>
                <w:sz w:val="24"/>
                <w:szCs w:val="24"/>
                <w:highlight w:val="none"/>
              </w:rPr>
            </w:pPr>
            <w:r>
              <w:rPr>
                <w:rFonts w:hint="eastAsia" w:ascii="宋体" w:hAnsi="宋体" w:eastAsia="宋体" w:cs="宋体"/>
                <w:b/>
                <w:bCs w:val="0"/>
                <w:color w:val="auto"/>
                <w:spacing w:val="4"/>
                <w:kern w:val="0"/>
                <w:sz w:val="24"/>
                <w:szCs w:val="24"/>
                <w:highlight w:val="none"/>
                <w:lang w:val="en-US" w:eastAsia="zh-CN" w:bidi="ar"/>
              </w:rPr>
              <w:t>担任相应职务年限</w:t>
            </w:r>
          </w:p>
        </w:tc>
        <w:tc>
          <w:tcPr>
            <w:tcW w:w="4503" w:type="dxa"/>
            <w:gridSpan w:val="5"/>
            <w:tcBorders>
              <w:top w:val="single" w:color="auto" w:sz="4" w:space="0"/>
              <w:left w:val="nil"/>
              <w:bottom w:val="single" w:color="auto" w:sz="4" w:space="0"/>
              <w:right w:val="single" w:color="auto" w:sz="4" w:space="0"/>
            </w:tcBorders>
            <w:shd w:val="clear" w:color="auto" w:fill="auto"/>
            <w:vAlign w:val="center"/>
          </w:tcPr>
          <w:p w14:paraId="243E009C">
            <w:pPr>
              <w:keepNext/>
              <w:keepLines/>
              <w:widowControl w:val="0"/>
              <w:suppressLineNumbers w:val="0"/>
              <w:topLinePunct/>
              <w:adjustRightInd w:val="0"/>
              <w:snapToGrid w:val="0"/>
              <w:spacing w:before="120" w:beforeAutospacing="0" w:after="120" w:afterAutospacing="0" w:line="360" w:lineRule="auto"/>
              <w:ind w:left="0" w:right="0"/>
              <w:jc w:val="center"/>
              <w:outlineLvl w:val="0"/>
              <w:rPr>
                <w:rFonts w:hint="eastAsia" w:ascii="宋体" w:hAnsi="宋体" w:eastAsia="宋体" w:cs="Times New Roman"/>
                <w:b/>
                <w:bCs w:val="0"/>
                <w:color w:val="auto"/>
                <w:spacing w:val="4"/>
                <w:kern w:val="0"/>
                <w:sz w:val="24"/>
                <w:szCs w:val="24"/>
                <w:highlight w:val="none"/>
              </w:rPr>
            </w:pPr>
          </w:p>
        </w:tc>
      </w:tr>
      <w:tr w14:paraId="45C5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0FA6316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资格证书号</w:t>
            </w:r>
          </w:p>
        </w:tc>
        <w:tc>
          <w:tcPr>
            <w:tcW w:w="7999" w:type="dxa"/>
            <w:gridSpan w:val="10"/>
            <w:tcBorders>
              <w:top w:val="single" w:color="auto" w:sz="4" w:space="0"/>
              <w:left w:val="nil"/>
              <w:bottom w:val="single" w:color="auto" w:sz="4" w:space="0"/>
              <w:right w:val="single" w:color="auto" w:sz="4" w:space="0"/>
            </w:tcBorders>
            <w:shd w:val="clear" w:color="auto" w:fill="auto"/>
            <w:vAlign w:val="center"/>
          </w:tcPr>
          <w:p w14:paraId="024386C0">
            <w:pPr>
              <w:keepNext/>
              <w:keepLines/>
              <w:widowControl w:val="0"/>
              <w:suppressLineNumbers w:val="0"/>
              <w:topLinePunct/>
              <w:adjustRightInd w:val="0"/>
              <w:snapToGrid w:val="0"/>
              <w:spacing w:before="120" w:beforeAutospacing="0" w:after="120" w:afterAutospacing="0" w:line="360" w:lineRule="auto"/>
              <w:ind w:left="0" w:right="0"/>
              <w:jc w:val="center"/>
              <w:outlineLvl w:val="0"/>
              <w:rPr>
                <w:rFonts w:hint="eastAsia" w:ascii="宋体" w:hAnsi="宋体" w:eastAsia="宋体" w:cs="Times New Roman"/>
                <w:b/>
                <w:bCs w:val="0"/>
                <w:color w:val="auto"/>
                <w:spacing w:val="4"/>
                <w:kern w:val="0"/>
                <w:sz w:val="24"/>
                <w:szCs w:val="24"/>
                <w:highlight w:val="none"/>
              </w:rPr>
            </w:pPr>
          </w:p>
        </w:tc>
      </w:tr>
      <w:tr w14:paraId="4047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jc w:val="center"/>
        </w:trPr>
        <w:tc>
          <w:tcPr>
            <w:tcW w:w="952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3AFA92E5">
            <w:pPr>
              <w:keepNext w:val="0"/>
              <w:keepLines w:val="0"/>
              <w:widowControl w:val="0"/>
              <w:suppressLineNumbers w:val="0"/>
              <w:topLinePunct/>
              <w:adjustRightInd w:val="0"/>
              <w:snapToGrid w:val="0"/>
              <w:spacing w:before="0" w:beforeAutospacing="0" w:after="0" w:afterAutospacing="0" w:line="360" w:lineRule="auto"/>
              <w:ind w:left="0" w:right="0"/>
              <w:jc w:val="center"/>
              <w:rPr>
                <w:rFonts w:hint="eastAsia" w:ascii="宋体" w:hAnsi="宋体" w:eastAsia="宋体" w:cs="Times New Roman"/>
                <w:b/>
                <w:bCs w:val="0"/>
                <w:color w:val="auto"/>
                <w:spacing w:val="4"/>
                <w:kern w:val="0"/>
                <w:sz w:val="24"/>
                <w:szCs w:val="24"/>
                <w:highlight w:val="none"/>
              </w:rPr>
            </w:pPr>
            <w:r>
              <w:rPr>
                <w:rFonts w:hint="eastAsia" w:ascii="宋体" w:hAnsi="宋体" w:eastAsia="宋体" w:cs="宋体"/>
                <w:b/>
                <w:bCs w:val="0"/>
                <w:color w:val="auto"/>
                <w:spacing w:val="4"/>
                <w:kern w:val="0"/>
                <w:sz w:val="24"/>
                <w:szCs w:val="24"/>
                <w:highlight w:val="none"/>
                <w:lang w:val="en-US" w:eastAsia="zh-CN" w:bidi="ar"/>
              </w:rPr>
              <w:t>业绩简介</w:t>
            </w:r>
          </w:p>
        </w:tc>
      </w:tr>
      <w:tr w14:paraId="7C3D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jc w:val="center"/>
        </w:trPr>
        <w:tc>
          <w:tcPr>
            <w:tcW w:w="15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47F23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建设单位</w:t>
            </w:r>
          </w:p>
        </w:tc>
        <w:tc>
          <w:tcPr>
            <w:tcW w:w="1547" w:type="dxa"/>
            <w:tcBorders>
              <w:top w:val="single" w:color="auto" w:sz="4" w:space="0"/>
              <w:left w:val="nil"/>
              <w:bottom w:val="single" w:color="auto" w:sz="4" w:space="0"/>
              <w:right w:val="single" w:color="auto" w:sz="4" w:space="0"/>
            </w:tcBorders>
            <w:shd w:val="clear" w:color="auto" w:fill="auto"/>
            <w:vAlign w:val="center"/>
          </w:tcPr>
          <w:p w14:paraId="5707464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项目名称</w:t>
            </w:r>
          </w:p>
        </w:tc>
        <w:tc>
          <w:tcPr>
            <w:tcW w:w="1549" w:type="dxa"/>
            <w:gridSpan w:val="2"/>
            <w:tcBorders>
              <w:top w:val="single" w:color="auto" w:sz="4" w:space="0"/>
              <w:left w:val="nil"/>
              <w:bottom w:val="single" w:color="auto" w:sz="4" w:space="0"/>
              <w:right w:val="single" w:color="auto" w:sz="4" w:space="0"/>
            </w:tcBorders>
            <w:shd w:val="clear" w:color="auto" w:fill="auto"/>
            <w:vAlign w:val="center"/>
          </w:tcPr>
          <w:p w14:paraId="62F16FC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建设规模</w:t>
            </w:r>
          </w:p>
        </w:tc>
        <w:tc>
          <w:tcPr>
            <w:tcW w:w="1783" w:type="dxa"/>
            <w:gridSpan w:val="2"/>
            <w:tcBorders>
              <w:top w:val="single" w:color="auto" w:sz="4" w:space="0"/>
              <w:left w:val="nil"/>
              <w:bottom w:val="single" w:color="auto" w:sz="4" w:space="0"/>
              <w:right w:val="single" w:color="auto" w:sz="4" w:space="0"/>
            </w:tcBorders>
            <w:shd w:val="clear" w:color="auto" w:fill="auto"/>
            <w:vAlign w:val="center"/>
          </w:tcPr>
          <w:p w14:paraId="76B65F9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开、竣工日期</w:t>
            </w:r>
          </w:p>
        </w:tc>
        <w:tc>
          <w:tcPr>
            <w:tcW w:w="1547" w:type="dxa"/>
            <w:gridSpan w:val="3"/>
            <w:tcBorders>
              <w:top w:val="single" w:color="auto" w:sz="4" w:space="0"/>
              <w:left w:val="nil"/>
              <w:bottom w:val="single" w:color="auto" w:sz="4" w:space="0"/>
              <w:right w:val="single" w:color="auto" w:sz="4" w:space="0"/>
            </w:tcBorders>
            <w:shd w:val="clear" w:color="auto" w:fill="auto"/>
            <w:vAlign w:val="center"/>
          </w:tcPr>
          <w:p w14:paraId="5CC484A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在建或已完</w:t>
            </w:r>
          </w:p>
        </w:tc>
        <w:tc>
          <w:tcPr>
            <w:tcW w:w="1551" w:type="dxa"/>
            <w:tcBorders>
              <w:top w:val="single" w:color="auto" w:sz="4" w:space="0"/>
              <w:left w:val="nil"/>
              <w:bottom w:val="single" w:color="auto" w:sz="4" w:space="0"/>
              <w:right w:val="single" w:color="auto" w:sz="4" w:space="0"/>
            </w:tcBorders>
            <w:shd w:val="clear" w:color="auto" w:fill="auto"/>
            <w:vAlign w:val="center"/>
          </w:tcPr>
          <w:p w14:paraId="4052EDE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工程质量</w:t>
            </w:r>
          </w:p>
        </w:tc>
      </w:tr>
      <w:tr w14:paraId="15D2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jc w:val="center"/>
        </w:trPr>
        <w:tc>
          <w:tcPr>
            <w:tcW w:w="15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005086">
            <w:pPr>
              <w:keepNext w:val="0"/>
              <w:keepLines w:val="0"/>
              <w:widowControl w:val="0"/>
              <w:suppressLineNumbers w:val="0"/>
              <w:topLinePunct/>
              <w:adjustRightInd w:val="0"/>
              <w:snapToGrid w:val="0"/>
              <w:spacing w:before="0" w:beforeAutospacing="0" w:after="0" w:afterAutospacing="0" w:line="360" w:lineRule="auto"/>
              <w:ind w:left="0" w:right="0"/>
              <w:jc w:val="center"/>
              <w:rPr>
                <w:rFonts w:hint="eastAsia" w:ascii="宋体" w:hAnsi="宋体" w:eastAsia="宋体" w:cs="Times New Roman"/>
                <w:b/>
                <w:bCs w:val="0"/>
                <w:color w:val="auto"/>
                <w:spacing w:val="4"/>
                <w:kern w:val="0"/>
                <w:sz w:val="24"/>
                <w:szCs w:val="24"/>
                <w:highlight w:val="none"/>
              </w:rPr>
            </w:pPr>
          </w:p>
        </w:tc>
        <w:tc>
          <w:tcPr>
            <w:tcW w:w="1547" w:type="dxa"/>
            <w:tcBorders>
              <w:top w:val="single" w:color="auto" w:sz="4" w:space="0"/>
              <w:left w:val="nil"/>
              <w:bottom w:val="single" w:color="auto" w:sz="4" w:space="0"/>
              <w:right w:val="single" w:color="auto" w:sz="4" w:space="0"/>
            </w:tcBorders>
            <w:shd w:val="clear" w:color="auto" w:fill="auto"/>
            <w:vAlign w:val="center"/>
          </w:tcPr>
          <w:p w14:paraId="1B542EC1">
            <w:pPr>
              <w:keepNext w:val="0"/>
              <w:keepLines w:val="0"/>
              <w:widowControl w:val="0"/>
              <w:suppressLineNumbers w:val="0"/>
              <w:topLinePunct/>
              <w:adjustRightInd w:val="0"/>
              <w:snapToGrid w:val="0"/>
              <w:spacing w:before="0" w:beforeAutospacing="0" w:after="0" w:afterAutospacing="0" w:line="360" w:lineRule="auto"/>
              <w:ind w:left="0" w:right="0"/>
              <w:jc w:val="center"/>
              <w:rPr>
                <w:rFonts w:hint="eastAsia" w:ascii="宋体" w:hAnsi="宋体" w:eastAsia="宋体" w:cs="Times New Roman"/>
                <w:b/>
                <w:bCs w:val="0"/>
                <w:color w:val="auto"/>
                <w:spacing w:val="4"/>
                <w:kern w:val="0"/>
                <w:sz w:val="24"/>
                <w:szCs w:val="24"/>
                <w:highlight w:val="none"/>
              </w:rPr>
            </w:pPr>
          </w:p>
        </w:tc>
        <w:tc>
          <w:tcPr>
            <w:tcW w:w="1549" w:type="dxa"/>
            <w:gridSpan w:val="2"/>
            <w:tcBorders>
              <w:top w:val="single" w:color="auto" w:sz="4" w:space="0"/>
              <w:left w:val="nil"/>
              <w:bottom w:val="single" w:color="auto" w:sz="4" w:space="0"/>
              <w:right w:val="single" w:color="auto" w:sz="4" w:space="0"/>
            </w:tcBorders>
            <w:shd w:val="clear" w:color="auto" w:fill="auto"/>
            <w:vAlign w:val="center"/>
          </w:tcPr>
          <w:p w14:paraId="1B17E27C">
            <w:pPr>
              <w:keepNext w:val="0"/>
              <w:keepLines w:val="0"/>
              <w:widowControl w:val="0"/>
              <w:suppressLineNumbers w:val="0"/>
              <w:topLinePunct/>
              <w:adjustRightInd w:val="0"/>
              <w:snapToGrid w:val="0"/>
              <w:spacing w:before="0" w:beforeAutospacing="0" w:after="0" w:afterAutospacing="0" w:line="360" w:lineRule="auto"/>
              <w:ind w:left="0" w:right="0"/>
              <w:jc w:val="center"/>
              <w:rPr>
                <w:rFonts w:hint="eastAsia" w:ascii="宋体" w:hAnsi="宋体" w:eastAsia="宋体" w:cs="Times New Roman"/>
                <w:b/>
                <w:bCs w:val="0"/>
                <w:color w:val="auto"/>
                <w:spacing w:val="4"/>
                <w:kern w:val="0"/>
                <w:sz w:val="24"/>
                <w:szCs w:val="24"/>
                <w:highlight w:val="none"/>
              </w:rPr>
            </w:pPr>
          </w:p>
        </w:tc>
        <w:tc>
          <w:tcPr>
            <w:tcW w:w="1783" w:type="dxa"/>
            <w:gridSpan w:val="2"/>
            <w:tcBorders>
              <w:top w:val="single" w:color="auto" w:sz="4" w:space="0"/>
              <w:left w:val="nil"/>
              <w:bottom w:val="single" w:color="auto" w:sz="4" w:space="0"/>
              <w:right w:val="single" w:color="auto" w:sz="4" w:space="0"/>
            </w:tcBorders>
            <w:shd w:val="clear" w:color="auto" w:fill="auto"/>
            <w:vAlign w:val="center"/>
          </w:tcPr>
          <w:p w14:paraId="5EF85AC3">
            <w:pPr>
              <w:keepNext w:val="0"/>
              <w:keepLines w:val="0"/>
              <w:widowControl w:val="0"/>
              <w:suppressLineNumbers w:val="0"/>
              <w:topLinePunct/>
              <w:adjustRightInd w:val="0"/>
              <w:snapToGrid w:val="0"/>
              <w:spacing w:before="0" w:beforeAutospacing="0" w:after="0" w:afterAutospacing="0" w:line="360" w:lineRule="auto"/>
              <w:ind w:left="0" w:right="0"/>
              <w:jc w:val="center"/>
              <w:rPr>
                <w:rFonts w:hint="eastAsia" w:ascii="宋体" w:hAnsi="宋体" w:eastAsia="宋体" w:cs="Times New Roman"/>
                <w:b/>
                <w:bCs w:val="0"/>
                <w:color w:val="auto"/>
                <w:spacing w:val="4"/>
                <w:kern w:val="0"/>
                <w:sz w:val="24"/>
                <w:szCs w:val="24"/>
                <w:highlight w:val="none"/>
              </w:rPr>
            </w:pPr>
          </w:p>
        </w:tc>
        <w:tc>
          <w:tcPr>
            <w:tcW w:w="1547" w:type="dxa"/>
            <w:gridSpan w:val="3"/>
            <w:tcBorders>
              <w:top w:val="single" w:color="auto" w:sz="4" w:space="0"/>
              <w:left w:val="nil"/>
              <w:bottom w:val="single" w:color="auto" w:sz="4" w:space="0"/>
              <w:right w:val="single" w:color="auto" w:sz="4" w:space="0"/>
            </w:tcBorders>
            <w:shd w:val="clear" w:color="auto" w:fill="auto"/>
            <w:vAlign w:val="center"/>
          </w:tcPr>
          <w:p w14:paraId="2F044456">
            <w:pPr>
              <w:keepNext w:val="0"/>
              <w:keepLines w:val="0"/>
              <w:widowControl w:val="0"/>
              <w:suppressLineNumbers w:val="0"/>
              <w:topLinePunct/>
              <w:adjustRightInd w:val="0"/>
              <w:snapToGrid w:val="0"/>
              <w:spacing w:before="0" w:beforeAutospacing="0" w:after="0" w:afterAutospacing="0" w:line="360" w:lineRule="auto"/>
              <w:ind w:left="0" w:right="0"/>
              <w:jc w:val="center"/>
              <w:rPr>
                <w:rFonts w:hint="eastAsia" w:ascii="宋体" w:hAnsi="宋体" w:eastAsia="宋体" w:cs="Times New Roman"/>
                <w:b/>
                <w:bCs w:val="0"/>
                <w:color w:val="auto"/>
                <w:spacing w:val="4"/>
                <w:kern w:val="0"/>
                <w:sz w:val="24"/>
                <w:szCs w:val="24"/>
                <w:highlight w:val="none"/>
              </w:rPr>
            </w:pPr>
          </w:p>
        </w:tc>
        <w:tc>
          <w:tcPr>
            <w:tcW w:w="1551" w:type="dxa"/>
            <w:tcBorders>
              <w:top w:val="single" w:color="auto" w:sz="4" w:space="0"/>
              <w:left w:val="nil"/>
              <w:bottom w:val="single" w:color="auto" w:sz="4" w:space="0"/>
              <w:right w:val="single" w:color="auto" w:sz="4" w:space="0"/>
            </w:tcBorders>
            <w:shd w:val="clear" w:color="auto" w:fill="auto"/>
            <w:vAlign w:val="center"/>
          </w:tcPr>
          <w:p w14:paraId="0C38EAE9">
            <w:pPr>
              <w:keepNext w:val="0"/>
              <w:keepLines w:val="0"/>
              <w:widowControl w:val="0"/>
              <w:suppressLineNumbers w:val="0"/>
              <w:topLinePunct/>
              <w:adjustRightInd w:val="0"/>
              <w:snapToGrid w:val="0"/>
              <w:spacing w:before="0" w:beforeAutospacing="0" w:after="0" w:afterAutospacing="0" w:line="360" w:lineRule="auto"/>
              <w:ind w:left="0" w:right="0"/>
              <w:jc w:val="center"/>
              <w:rPr>
                <w:rFonts w:hint="eastAsia" w:ascii="宋体" w:hAnsi="宋体" w:eastAsia="宋体" w:cs="Times New Roman"/>
                <w:b/>
                <w:bCs w:val="0"/>
                <w:color w:val="auto"/>
                <w:spacing w:val="4"/>
                <w:kern w:val="0"/>
                <w:sz w:val="24"/>
                <w:szCs w:val="24"/>
                <w:highlight w:val="none"/>
              </w:rPr>
            </w:pPr>
          </w:p>
        </w:tc>
      </w:tr>
      <w:tr w14:paraId="0374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jc w:val="center"/>
        </w:trPr>
        <w:tc>
          <w:tcPr>
            <w:tcW w:w="15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B487F9">
            <w:pPr>
              <w:keepNext w:val="0"/>
              <w:keepLines w:val="0"/>
              <w:widowControl w:val="0"/>
              <w:suppressLineNumbers w:val="0"/>
              <w:topLinePunct/>
              <w:adjustRightInd w:val="0"/>
              <w:snapToGrid w:val="0"/>
              <w:spacing w:before="0" w:beforeAutospacing="0" w:after="0" w:afterAutospacing="0" w:line="360" w:lineRule="auto"/>
              <w:ind w:left="0" w:right="0"/>
              <w:jc w:val="center"/>
              <w:rPr>
                <w:rFonts w:hint="eastAsia" w:ascii="宋体" w:hAnsi="宋体" w:eastAsia="宋体" w:cs="Times New Roman"/>
                <w:color w:val="auto"/>
                <w:spacing w:val="4"/>
                <w:kern w:val="0"/>
                <w:sz w:val="24"/>
                <w:szCs w:val="24"/>
                <w:highlight w:val="none"/>
              </w:rPr>
            </w:pPr>
          </w:p>
        </w:tc>
        <w:tc>
          <w:tcPr>
            <w:tcW w:w="1547" w:type="dxa"/>
            <w:tcBorders>
              <w:top w:val="single" w:color="auto" w:sz="4" w:space="0"/>
              <w:left w:val="nil"/>
              <w:bottom w:val="single" w:color="auto" w:sz="4" w:space="0"/>
              <w:right w:val="single" w:color="auto" w:sz="4" w:space="0"/>
            </w:tcBorders>
            <w:shd w:val="clear" w:color="auto" w:fill="auto"/>
            <w:vAlign w:val="center"/>
          </w:tcPr>
          <w:p w14:paraId="70376911">
            <w:pPr>
              <w:keepNext w:val="0"/>
              <w:keepLines w:val="0"/>
              <w:widowControl w:val="0"/>
              <w:suppressLineNumbers w:val="0"/>
              <w:topLinePunct/>
              <w:adjustRightInd w:val="0"/>
              <w:snapToGrid w:val="0"/>
              <w:spacing w:before="0" w:beforeAutospacing="0" w:after="0" w:afterAutospacing="0" w:line="360" w:lineRule="auto"/>
              <w:ind w:left="0" w:right="0"/>
              <w:jc w:val="center"/>
              <w:rPr>
                <w:rFonts w:hint="eastAsia" w:ascii="宋体" w:hAnsi="宋体" w:eastAsia="宋体" w:cs="Times New Roman"/>
                <w:color w:val="auto"/>
                <w:spacing w:val="4"/>
                <w:kern w:val="0"/>
                <w:sz w:val="24"/>
                <w:szCs w:val="24"/>
                <w:highlight w:val="none"/>
              </w:rPr>
            </w:pPr>
          </w:p>
        </w:tc>
        <w:tc>
          <w:tcPr>
            <w:tcW w:w="1549" w:type="dxa"/>
            <w:gridSpan w:val="2"/>
            <w:tcBorders>
              <w:top w:val="single" w:color="auto" w:sz="4" w:space="0"/>
              <w:left w:val="nil"/>
              <w:bottom w:val="single" w:color="auto" w:sz="4" w:space="0"/>
              <w:right w:val="single" w:color="auto" w:sz="4" w:space="0"/>
            </w:tcBorders>
            <w:shd w:val="clear" w:color="auto" w:fill="auto"/>
            <w:vAlign w:val="center"/>
          </w:tcPr>
          <w:p w14:paraId="75526CE6">
            <w:pPr>
              <w:keepNext w:val="0"/>
              <w:keepLines w:val="0"/>
              <w:widowControl w:val="0"/>
              <w:suppressLineNumbers w:val="0"/>
              <w:topLinePunct/>
              <w:adjustRightInd w:val="0"/>
              <w:snapToGrid w:val="0"/>
              <w:spacing w:before="0" w:beforeAutospacing="0" w:after="0" w:afterAutospacing="0" w:line="360" w:lineRule="auto"/>
              <w:ind w:left="0" w:right="0"/>
              <w:jc w:val="center"/>
              <w:rPr>
                <w:rFonts w:hint="eastAsia" w:ascii="宋体" w:hAnsi="宋体" w:eastAsia="宋体" w:cs="Times New Roman"/>
                <w:color w:val="auto"/>
                <w:spacing w:val="4"/>
                <w:kern w:val="0"/>
                <w:sz w:val="24"/>
                <w:szCs w:val="24"/>
                <w:highlight w:val="none"/>
              </w:rPr>
            </w:pPr>
          </w:p>
        </w:tc>
        <w:tc>
          <w:tcPr>
            <w:tcW w:w="1783" w:type="dxa"/>
            <w:gridSpan w:val="2"/>
            <w:tcBorders>
              <w:top w:val="single" w:color="auto" w:sz="4" w:space="0"/>
              <w:left w:val="nil"/>
              <w:bottom w:val="single" w:color="auto" w:sz="4" w:space="0"/>
              <w:right w:val="single" w:color="auto" w:sz="4" w:space="0"/>
            </w:tcBorders>
            <w:shd w:val="clear" w:color="auto" w:fill="auto"/>
            <w:vAlign w:val="center"/>
          </w:tcPr>
          <w:p w14:paraId="63FDE0E8">
            <w:pPr>
              <w:keepNext w:val="0"/>
              <w:keepLines w:val="0"/>
              <w:widowControl w:val="0"/>
              <w:suppressLineNumbers w:val="0"/>
              <w:topLinePunct/>
              <w:adjustRightInd w:val="0"/>
              <w:snapToGrid w:val="0"/>
              <w:spacing w:before="0" w:beforeAutospacing="0" w:after="0" w:afterAutospacing="0" w:line="360" w:lineRule="auto"/>
              <w:ind w:left="0" w:right="0"/>
              <w:jc w:val="center"/>
              <w:rPr>
                <w:rFonts w:hint="eastAsia" w:ascii="宋体" w:hAnsi="宋体" w:eastAsia="宋体" w:cs="Times New Roman"/>
                <w:color w:val="auto"/>
                <w:spacing w:val="4"/>
                <w:kern w:val="0"/>
                <w:sz w:val="24"/>
                <w:szCs w:val="24"/>
                <w:highlight w:val="none"/>
              </w:rPr>
            </w:pPr>
          </w:p>
        </w:tc>
        <w:tc>
          <w:tcPr>
            <w:tcW w:w="1547" w:type="dxa"/>
            <w:gridSpan w:val="3"/>
            <w:tcBorders>
              <w:top w:val="single" w:color="auto" w:sz="4" w:space="0"/>
              <w:left w:val="nil"/>
              <w:bottom w:val="single" w:color="auto" w:sz="4" w:space="0"/>
              <w:right w:val="single" w:color="auto" w:sz="4" w:space="0"/>
            </w:tcBorders>
            <w:shd w:val="clear" w:color="auto" w:fill="auto"/>
            <w:vAlign w:val="center"/>
          </w:tcPr>
          <w:p w14:paraId="225A21CA">
            <w:pPr>
              <w:keepNext w:val="0"/>
              <w:keepLines w:val="0"/>
              <w:widowControl w:val="0"/>
              <w:suppressLineNumbers w:val="0"/>
              <w:topLinePunct/>
              <w:adjustRightInd w:val="0"/>
              <w:snapToGrid w:val="0"/>
              <w:spacing w:before="0" w:beforeAutospacing="0" w:after="0" w:afterAutospacing="0" w:line="360" w:lineRule="auto"/>
              <w:ind w:left="0" w:right="0"/>
              <w:jc w:val="center"/>
              <w:rPr>
                <w:rFonts w:hint="eastAsia" w:ascii="宋体" w:hAnsi="宋体" w:eastAsia="宋体" w:cs="Times New Roman"/>
                <w:color w:val="auto"/>
                <w:spacing w:val="4"/>
                <w:kern w:val="0"/>
                <w:sz w:val="24"/>
                <w:szCs w:val="24"/>
                <w:highlight w:val="none"/>
              </w:rPr>
            </w:pPr>
          </w:p>
        </w:tc>
        <w:tc>
          <w:tcPr>
            <w:tcW w:w="1551" w:type="dxa"/>
            <w:tcBorders>
              <w:top w:val="single" w:color="auto" w:sz="4" w:space="0"/>
              <w:left w:val="nil"/>
              <w:bottom w:val="single" w:color="auto" w:sz="4" w:space="0"/>
              <w:right w:val="single" w:color="auto" w:sz="4" w:space="0"/>
            </w:tcBorders>
            <w:shd w:val="clear" w:color="auto" w:fill="auto"/>
            <w:vAlign w:val="center"/>
          </w:tcPr>
          <w:p w14:paraId="4EE75249">
            <w:pPr>
              <w:keepNext w:val="0"/>
              <w:keepLines w:val="0"/>
              <w:widowControl w:val="0"/>
              <w:suppressLineNumbers w:val="0"/>
              <w:topLinePunct/>
              <w:adjustRightInd w:val="0"/>
              <w:snapToGrid w:val="0"/>
              <w:spacing w:before="0" w:beforeAutospacing="0" w:after="0" w:afterAutospacing="0" w:line="360" w:lineRule="auto"/>
              <w:ind w:left="0" w:right="0"/>
              <w:jc w:val="center"/>
              <w:rPr>
                <w:rFonts w:hint="eastAsia" w:ascii="宋体" w:hAnsi="宋体" w:eastAsia="宋体" w:cs="Times New Roman"/>
                <w:color w:val="auto"/>
                <w:spacing w:val="4"/>
                <w:kern w:val="0"/>
                <w:sz w:val="24"/>
                <w:szCs w:val="24"/>
                <w:highlight w:val="none"/>
              </w:rPr>
            </w:pPr>
          </w:p>
        </w:tc>
      </w:tr>
      <w:tr w14:paraId="4303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jc w:val="center"/>
        </w:trPr>
        <w:tc>
          <w:tcPr>
            <w:tcW w:w="15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5A568C">
            <w:pPr>
              <w:keepNext w:val="0"/>
              <w:keepLines w:val="0"/>
              <w:widowControl w:val="0"/>
              <w:suppressLineNumbers w:val="0"/>
              <w:topLinePunct/>
              <w:adjustRightInd w:val="0"/>
              <w:snapToGrid w:val="0"/>
              <w:spacing w:before="0" w:beforeAutospacing="0" w:after="0" w:afterAutospacing="0" w:line="360" w:lineRule="auto"/>
              <w:ind w:left="0" w:right="0"/>
              <w:jc w:val="center"/>
              <w:rPr>
                <w:rFonts w:hint="eastAsia" w:ascii="宋体" w:hAnsi="宋体" w:eastAsia="宋体" w:cs="Times New Roman"/>
                <w:color w:val="auto"/>
                <w:spacing w:val="4"/>
                <w:kern w:val="0"/>
                <w:sz w:val="24"/>
                <w:szCs w:val="24"/>
                <w:highlight w:val="none"/>
              </w:rPr>
            </w:pPr>
          </w:p>
        </w:tc>
        <w:tc>
          <w:tcPr>
            <w:tcW w:w="1547" w:type="dxa"/>
            <w:tcBorders>
              <w:top w:val="single" w:color="auto" w:sz="4" w:space="0"/>
              <w:left w:val="nil"/>
              <w:bottom w:val="single" w:color="auto" w:sz="4" w:space="0"/>
              <w:right w:val="single" w:color="auto" w:sz="4" w:space="0"/>
            </w:tcBorders>
            <w:shd w:val="clear" w:color="auto" w:fill="auto"/>
            <w:vAlign w:val="center"/>
          </w:tcPr>
          <w:p w14:paraId="2B5FA165">
            <w:pPr>
              <w:keepNext w:val="0"/>
              <w:keepLines w:val="0"/>
              <w:widowControl w:val="0"/>
              <w:suppressLineNumbers w:val="0"/>
              <w:topLinePunct/>
              <w:adjustRightInd w:val="0"/>
              <w:snapToGrid w:val="0"/>
              <w:spacing w:before="0" w:beforeAutospacing="0" w:after="0" w:afterAutospacing="0" w:line="360" w:lineRule="auto"/>
              <w:ind w:left="0" w:right="0"/>
              <w:jc w:val="center"/>
              <w:rPr>
                <w:rFonts w:hint="eastAsia" w:ascii="宋体" w:hAnsi="宋体" w:eastAsia="宋体" w:cs="Times New Roman"/>
                <w:color w:val="auto"/>
                <w:spacing w:val="4"/>
                <w:kern w:val="0"/>
                <w:sz w:val="24"/>
                <w:szCs w:val="24"/>
                <w:highlight w:val="none"/>
              </w:rPr>
            </w:pPr>
          </w:p>
        </w:tc>
        <w:tc>
          <w:tcPr>
            <w:tcW w:w="1549" w:type="dxa"/>
            <w:gridSpan w:val="2"/>
            <w:tcBorders>
              <w:top w:val="single" w:color="auto" w:sz="4" w:space="0"/>
              <w:left w:val="nil"/>
              <w:bottom w:val="single" w:color="auto" w:sz="4" w:space="0"/>
              <w:right w:val="single" w:color="auto" w:sz="4" w:space="0"/>
            </w:tcBorders>
            <w:shd w:val="clear" w:color="auto" w:fill="auto"/>
            <w:vAlign w:val="center"/>
          </w:tcPr>
          <w:p w14:paraId="49B59A9F">
            <w:pPr>
              <w:keepNext w:val="0"/>
              <w:keepLines w:val="0"/>
              <w:widowControl w:val="0"/>
              <w:suppressLineNumbers w:val="0"/>
              <w:topLinePunct/>
              <w:adjustRightInd w:val="0"/>
              <w:snapToGrid w:val="0"/>
              <w:spacing w:before="0" w:beforeAutospacing="0" w:after="0" w:afterAutospacing="0" w:line="360" w:lineRule="auto"/>
              <w:ind w:left="0" w:right="0"/>
              <w:jc w:val="center"/>
              <w:rPr>
                <w:rFonts w:hint="eastAsia" w:ascii="宋体" w:hAnsi="宋体" w:eastAsia="宋体" w:cs="Times New Roman"/>
                <w:color w:val="auto"/>
                <w:spacing w:val="4"/>
                <w:kern w:val="0"/>
                <w:sz w:val="24"/>
                <w:szCs w:val="24"/>
                <w:highlight w:val="none"/>
              </w:rPr>
            </w:pPr>
          </w:p>
        </w:tc>
        <w:tc>
          <w:tcPr>
            <w:tcW w:w="1783" w:type="dxa"/>
            <w:gridSpan w:val="2"/>
            <w:tcBorders>
              <w:top w:val="single" w:color="auto" w:sz="4" w:space="0"/>
              <w:left w:val="nil"/>
              <w:bottom w:val="single" w:color="auto" w:sz="4" w:space="0"/>
              <w:right w:val="single" w:color="auto" w:sz="4" w:space="0"/>
            </w:tcBorders>
            <w:shd w:val="clear" w:color="auto" w:fill="auto"/>
            <w:vAlign w:val="center"/>
          </w:tcPr>
          <w:p w14:paraId="03083E28">
            <w:pPr>
              <w:keepNext w:val="0"/>
              <w:keepLines w:val="0"/>
              <w:widowControl w:val="0"/>
              <w:suppressLineNumbers w:val="0"/>
              <w:topLinePunct/>
              <w:adjustRightInd w:val="0"/>
              <w:snapToGrid w:val="0"/>
              <w:spacing w:before="0" w:beforeAutospacing="0" w:after="0" w:afterAutospacing="0" w:line="360" w:lineRule="auto"/>
              <w:ind w:left="0" w:right="0"/>
              <w:jc w:val="center"/>
              <w:rPr>
                <w:rFonts w:hint="eastAsia" w:ascii="宋体" w:hAnsi="宋体" w:eastAsia="宋体" w:cs="Times New Roman"/>
                <w:color w:val="auto"/>
                <w:spacing w:val="4"/>
                <w:kern w:val="0"/>
                <w:sz w:val="24"/>
                <w:szCs w:val="24"/>
                <w:highlight w:val="none"/>
              </w:rPr>
            </w:pPr>
          </w:p>
        </w:tc>
        <w:tc>
          <w:tcPr>
            <w:tcW w:w="1547" w:type="dxa"/>
            <w:gridSpan w:val="3"/>
            <w:tcBorders>
              <w:top w:val="single" w:color="auto" w:sz="4" w:space="0"/>
              <w:left w:val="nil"/>
              <w:bottom w:val="single" w:color="auto" w:sz="4" w:space="0"/>
              <w:right w:val="single" w:color="auto" w:sz="4" w:space="0"/>
            </w:tcBorders>
            <w:shd w:val="clear" w:color="auto" w:fill="auto"/>
            <w:vAlign w:val="center"/>
          </w:tcPr>
          <w:p w14:paraId="2BB0A207">
            <w:pPr>
              <w:keepNext w:val="0"/>
              <w:keepLines w:val="0"/>
              <w:widowControl w:val="0"/>
              <w:suppressLineNumbers w:val="0"/>
              <w:topLinePunct/>
              <w:adjustRightInd w:val="0"/>
              <w:snapToGrid w:val="0"/>
              <w:spacing w:before="0" w:beforeAutospacing="0" w:after="0" w:afterAutospacing="0" w:line="360" w:lineRule="auto"/>
              <w:ind w:left="0" w:right="0"/>
              <w:jc w:val="center"/>
              <w:rPr>
                <w:rFonts w:hint="eastAsia" w:ascii="宋体" w:hAnsi="宋体" w:eastAsia="宋体" w:cs="Times New Roman"/>
                <w:color w:val="auto"/>
                <w:spacing w:val="4"/>
                <w:kern w:val="0"/>
                <w:sz w:val="24"/>
                <w:szCs w:val="24"/>
                <w:highlight w:val="none"/>
              </w:rPr>
            </w:pPr>
          </w:p>
        </w:tc>
        <w:tc>
          <w:tcPr>
            <w:tcW w:w="1551" w:type="dxa"/>
            <w:tcBorders>
              <w:top w:val="single" w:color="auto" w:sz="4" w:space="0"/>
              <w:left w:val="nil"/>
              <w:bottom w:val="single" w:color="auto" w:sz="4" w:space="0"/>
              <w:right w:val="single" w:color="auto" w:sz="4" w:space="0"/>
            </w:tcBorders>
            <w:shd w:val="clear" w:color="auto" w:fill="auto"/>
            <w:vAlign w:val="center"/>
          </w:tcPr>
          <w:p w14:paraId="75CC8B44">
            <w:pPr>
              <w:keepNext w:val="0"/>
              <w:keepLines w:val="0"/>
              <w:widowControl w:val="0"/>
              <w:suppressLineNumbers w:val="0"/>
              <w:topLinePunct/>
              <w:adjustRightInd w:val="0"/>
              <w:snapToGrid w:val="0"/>
              <w:spacing w:before="0" w:beforeAutospacing="0" w:after="0" w:afterAutospacing="0" w:line="360" w:lineRule="auto"/>
              <w:ind w:left="0" w:right="0"/>
              <w:jc w:val="center"/>
              <w:rPr>
                <w:rFonts w:hint="eastAsia" w:ascii="宋体" w:hAnsi="宋体" w:eastAsia="宋体" w:cs="Times New Roman"/>
                <w:color w:val="auto"/>
                <w:spacing w:val="4"/>
                <w:kern w:val="0"/>
                <w:sz w:val="24"/>
                <w:szCs w:val="24"/>
                <w:highlight w:val="none"/>
              </w:rPr>
            </w:pPr>
          </w:p>
        </w:tc>
      </w:tr>
    </w:tbl>
    <w:p w14:paraId="3FED43CA">
      <w:pPr>
        <w:keepNext w:val="0"/>
        <w:keepLines w:val="0"/>
        <w:widowControl w:val="0"/>
        <w:suppressLineNumbers w:val="0"/>
        <w:topLinePunct/>
        <w:adjustRightInd w:val="0"/>
        <w:snapToGrid w:val="0"/>
        <w:spacing w:before="0" w:beforeAutospacing="0" w:after="0" w:afterAutospacing="0" w:line="360" w:lineRule="auto"/>
        <w:ind w:left="0" w:right="0" w:firstLine="3596" w:firstLineChars="1450"/>
        <w:jc w:val="both"/>
        <w:rPr>
          <w:rFonts w:hint="eastAsia" w:ascii="宋体" w:hAnsi="宋体" w:eastAsia="宋体" w:cs="Times New Roman"/>
          <w:color w:val="auto"/>
          <w:spacing w:val="4"/>
          <w:kern w:val="0"/>
          <w:sz w:val="24"/>
          <w:szCs w:val="24"/>
          <w:highlight w:val="none"/>
        </w:rPr>
      </w:pPr>
      <w:r>
        <w:rPr>
          <w:rFonts w:hint="eastAsia" w:ascii="宋体" w:hAnsi="宋体" w:eastAsia="宋体" w:cs="Times New Roman"/>
          <w:color w:val="auto"/>
          <w:spacing w:val="4"/>
          <w:kern w:val="0"/>
          <w:sz w:val="24"/>
          <w:szCs w:val="24"/>
          <w:highlight w:val="none"/>
          <w:lang w:val="en-US" w:eastAsia="zh-CN" w:bidi="ar"/>
        </w:rPr>
        <w:t xml:space="preserve"> </w:t>
      </w:r>
    </w:p>
    <w:p w14:paraId="02333290">
      <w:pPr>
        <w:keepNext w:val="0"/>
        <w:keepLines w:val="0"/>
        <w:widowControl w:val="0"/>
        <w:suppressLineNumbers w:val="0"/>
        <w:topLinePunct/>
        <w:adjustRightInd w:val="0"/>
        <w:snapToGrid w:val="0"/>
        <w:spacing w:before="0" w:beforeAutospacing="0" w:after="0" w:afterAutospacing="0" w:line="360" w:lineRule="auto"/>
        <w:ind w:left="0" w:right="0" w:firstLine="691" w:firstLineChars="279"/>
        <w:jc w:val="center"/>
        <w:rPr>
          <w:rFonts w:hint="eastAsia" w:ascii="宋体" w:hAnsi="宋体"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val="en-US" w:eastAsia="zh-CN" w:bidi="ar"/>
        </w:rPr>
        <w:t>投</w:t>
      </w:r>
      <w:r>
        <w:rPr>
          <w:rFonts w:hint="eastAsia" w:ascii="宋体" w:hAnsi="宋体" w:eastAsia="宋体" w:cs="Times New Roman"/>
          <w:color w:val="auto"/>
          <w:spacing w:val="4"/>
          <w:kern w:val="0"/>
          <w:sz w:val="24"/>
          <w:szCs w:val="24"/>
          <w:highlight w:val="none"/>
          <w:lang w:val="en-US" w:eastAsia="zh-CN" w:bidi="ar"/>
        </w:rPr>
        <w:t xml:space="preserve"> </w:t>
      </w:r>
      <w:r>
        <w:rPr>
          <w:rFonts w:hint="eastAsia" w:ascii="宋体" w:hAnsi="宋体" w:eastAsia="宋体" w:cs="宋体"/>
          <w:color w:val="auto"/>
          <w:spacing w:val="4"/>
          <w:kern w:val="0"/>
          <w:sz w:val="24"/>
          <w:szCs w:val="24"/>
          <w:highlight w:val="none"/>
          <w:lang w:val="en-US" w:eastAsia="zh-CN" w:bidi="ar"/>
        </w:rPr>
        <w:t>标</w:t>
      </w:r>
      <w:r>
        <w:rPr>
          <w:rFonts w:hint="eastAsia" w:ascii="宋体" w:hAnsi="宋体" w:eastAsia="宋体" w:cs="Times New Roman"/>
          <w:color w:val="auto"/>
          <w:spacing w:val="4"/>
          <w:kern w:val="0"/>
          <w:sz w:val="24"/>
          <w:szCs w:val="24"/>
          <w:highlight w:val="none"/>
          <w:lang w:val="en-US" w:eastAsia="zh-CN" w:bidi="ar"/>
        </w:rPr>
        <w:t xml:space="preserve"> </w:t>
      </w:r>
      <w:r>
        <w:rPr>
          <w:rFonts w:hint="eastAsia" w:ascii="宋体" w:hAnsi="宋体" w:eastAsia="宋体" w:cs="宋体"/>
          <w:color w:val="auto"/>
          <w:spacing w:val="4"/>
          <w:kern w:val="0"/>
          <w:sz w:val="24"/>
          <w:szCs w:val="24"/>
          <w:highlight w:val="none"/>
          <w:lang w:val="en-US" w:eastAsia="zh-CN" w:bidi="ar"/>
        </w:rPr>
        <w:t>人：（盖章）</w:t>
      </w:r>
    </w:p>
    <w:p w14:paraId="2694DD38">
      <w:pPr>
        <w:keepNext w:val="0"/>
        <w:keepLines w:val="0"/>
        <w:widowControl w:val="0"/>
        <w:suppressLineNumbers w:val="0"/>
        <w:topLinePunct/>
        <w:adjustRightInd w:val="0"/>
        <w:snapToGrid w:val="0"/>
        <w:spacing w:before="0" w:beforeAutospacing="0" w:after="0" w:afterAutospacing="0" w:line="360" w:lineRule="auto"/>
        <w:ind w:left="0" w:right="0" w:firstLine="691" w:firstLineChars="279"/>
        <w:jc w:val="center"/>
        <w:rPr>
          <w:rFonts w:hint="eastAsia" w:ascii="宋体" w:hAnsi="宋体" w:eastAsia="宋体" w:cs="Times New Roman"/>
          <w:color w:val="auto"/>
          <w:spacing w:val="4"/>
          <w:kern w:val="0"/>
          <w:sz w:val="24"/>
          <w:szCs w:val="24"/>
          <w:highlight w:val="none"/>
        </w:rPr>
      </w:pPr>
      <w:r>
        <w:rPr>
          <w:rFonts w:hint="eastAsia" w:ascii="宋体" w:hAnsi="宋体" w:eastAsia="宋体" w:cs="Times New Roman"/>
          <w:color w:val="auto"/>
          <w:spacing w:val="4"/>
          <w:kern w:val="0"/>
          <w:sz w:val="24"/>
          <w:szCs w:val="24"/>
          <w:highlight w:val="none"/>
          <w:lang w:val="en-US" w:eastAsia="zh-CN" w:bidi="ar"/>
        </w:rPr>
        <w:t xml:space="preserve">                   </w:t>
      </w:r>
      <w:r>
        <w:rPr>
          <w:rFonts w:hint="eastAsia" w:ascii="宋体" w:hAnsi="宋体" w:eastAsia="宋体" w:cs="宋体"/>
          <w:color w:val="auto"/>
          <w:spacing w:val="4"/>
          <w:kern w:val="0"/>
          <w:sz w:val="24"/>
          <w:szCs w:val="24"/>
          <w:highlight w:val="none"/>
          <w:lang w:val="en-US" w:eastAsia="zh-CN" w:bidi="ar"/>
        </w:rPr>
        <w:t>法定代表人或授权代理人（签字或盖章）：</w:t>
      </w:r>
    </w:p>
    <w:p w14:paraId="0AB33FCA">
      <w:pPr>
        <w:keepNext w:val="0"/>
        <w:keepLines w:val="0"/>
        <w:widowControl w:val="0"/>
        <w:suppressLineNumbers w:val="0"/>
        <w:spacing w:before="0" w:beforeAutospacing="0" w:after="0" w:afterAutospacing="0"/>
        <w:ind w:left="0" w:right="0"/>
        <w:jc w:val="right"/>
        <w:rPr>
          <w:color w:val="auto"/>
          <w:highlight w:val="none"/>
        </w:rPr>
      </w:pPr>
      <w:r>
        <w:rPr>
          <w:rFonts w:hint="eastAsia" w:ascii="宋体" w:hAnsi="宋体" w:eastAsia="宋体" w:cs="Times New Roman"/>
          <w:color w:val="auto"/>
          <w:spacing w:val="4"/>
          <w:kern w:val="0"/>
          <w:sz w:val="24"/>
          <w:szCs w:val="24"/>
          <w:highlight w:val="none"/>
          <w:lang w:val="en-US" w:eastAsia="zh-CN" w:bidi="ar"/>
        </w:rPr>
        <w:t xml:space="preserve">          </w:t>
      </w:r>
      <w:r>
        <w:rPr>
          <w:rFonts w:hint="eastAsia" w:ascii="宋体" w:hAnsi="宋体" w:eastAsia="宋体" w:cs="宋体"/>
          <w:color w:val="auto"/>
          <w:spacing w:val="4"/>
          <w:kern w:val="0"/>
          <w:sz w:val="24"/>
          <w:szCs w:val="24"/>
          <w:highlight w:val="none"/>
          <w:lang w:val="en-US" w:eastAsia="zh-CN" w:bidi="ar"/>
        </w:rPr>
        <w:t>日</w:t>
      </w:r>
      <w:r>
        <w:rPr>
          <w:rFonts w:hint="eastAsia" w:ascii="宋体" w:hAnsi="宋体" w:eastAsia="宋体" w:cs="Times New Roman"/>
          <w:color w:val="auto"/>
          <w:spacing w:val="4"/>
          <w:kern w:val="0"/>
          <w:sz w:val="24"/>
          <w:szCs w:val="24"/>
          <w:highlight w:val="none"/>
          <w:lang w:val="en-US" w:eastAsia="zh-CN" w:bidi="ar"/>
        </w:rPr>
        <w:t xml:space="preserve">    </w:t>
      </w:r>
      <w:r>
        <w:rPr>
          <w:rFonts w:hint="eastAsia" w:ascii="宋体" w:hAnsi="宋体" w:eastAsia="宋体" w:cs="宋体"/>
          <w:color w:val="auto"/>
          <w:spacing w:val="4"/>
          <w:kern w:val="0"/>
          <w:sz w:val="24"/>
          <w:szCs w:val="24"/>
          <w:highlight w:val="none"/>
          <w:lang w:val="en-US" w:eastAsia="zh-CN" w:bidi="ar"/>
        </w:rPr>
        <w:t>期：</w:t>
      </w:r>
      <w:r>
        <w:rPr>
          <w:rFonts w:hint="eastAsia" w:ascii="宋体" w:hAnsi="宋体" w:eastAsia="宋体" w:cs="Times New Roman"/>
          <w:color w:val="auto"/>
          <w:spacing w:val="4"/>
          <w:kern w:val="0"/>
          <w:sz w:val="24"/>
          <w:szCs w:val="24"/>
          <w:highlight w:val="none"/>
          <w:lang w:val="en-US" w:eastAsia="zh-CN" w:bidi="ar"/>
        </w:rPr>
        <w:t xml:space="preserve">    </w:t>
      </w:r>
      <w:r>
        <w:rPr>
          <w:rFonts w:hint="eastAsia" w:ascii="宋体" w:hAnsi="宋体" w:eastAsia="宋体" w:cs="宋体"/>
          <w:color w:val="auto"/>
          <w:spacing w:val="4"/>
          <w:kern w:val="0"/>
          <w:sz w:val="24"/>
          <w:szCs w:val="24"/>
          <w:highlight w:val="none"/>
          <w:lang w:val="en-US" w:eastAsia="zh-CN" w:bidi="ar"/>
        </w:rPr>
        <w:t>年</w:t>
      </w:r>
      <w:r>
        <w:rPr>
          <w:rFonts w:hint="eastAsia" w:ascii="宋体" w:hAnsi="宋体" w:eastAsia="宋体" w:cs="Times New Roman"/>
          <w:color w:val="auto"/>
          <w:spacing w:val="4"/>
          <w:kern w:val="0"/>
          <w:sz w:val="24"/>
          <w:szCs w:val="24"/>
          <w:highlight w:val="none"/>
          <w:lang w:val="en-US" w:eastAsia="zh-CN" w:bidi="ar"/>
        </w:rPr>
        <w:t xml:space="preserve">    </w:t>
      </w:r>
      <w:r>
        <w:rPr>
          <w:rFonts w:hint="eastAsia" w:ascii="宋体" w:hAnsi="宋体" w:eastAsia="宋体" w:cs="宋体"/>
          <w:color w:val="auto"/>
          <w:spacing w:val="4"/>
          <w:kern w:val="0"/>
          <w:sz w:val="24"/>
          <w:szCs w:val="24"/>
          <w:highlight w:val="none"/>
          <w:lang w:val="en-US" w:eastAsia="zh-CN" w:bidi="ar"/>
        </w:rPr>
        <w:t>月</w:t>
      </w:r>
      <w:r>
        <w:rPr>
          <w:rFonts w:hint="eastAsia" w:ascii="宋体" w:hAnsi="宋体" w:eastAsia="宋体" w:cs="Times New Roman"/>
          <w:color w:val="auto"/>
          <w:spacing w:val="4"/>
          <w:kern w:val="0"/>
          <w:sz w:val="24"/>
          <w:szCs w:val="24"/>
          <w:highlight w:val="none"/>
          <w:lang w:val="en-US" w:eastAsia="zh-CN" w:bidi="ar"/>
        </w:rPr>
        <w:t xml:space="preserve">    </w:t>
      </w:r>
      <w:r>
        <w:rPr>
          <w:rFonts w:hint="eastAsia" w:ascii="宋体" w:hAnsi="宋体" w:eastAsia="宋体" w:cs="宋体"/>
          <w:color w:val="auto"/>
          <w:spacing w:val="4"/>
          <w:kern w:val="0"/>
          <w:sz w:val="24"/>
          <w:szCs w:val="24"/>
          <w:highlight w:val="none"/>
          <w:lang w:val="en-US" w:eastAsia="zh-CN" w:bidi="ar"/>
        </w:rPr>
        <w:t>日</w:t>
      </w:r>
    </w:p>
    <w:p w14:paraId="1698DB62">
      <w:pPr>
        <w:keepNext w:val="0"/>
        <w:keepLines w:val="0"/>
        <w:widowControl w:val="0"/>
        <w:suppressLineNumbers w:val="0"/>
        <w:spacing w:before="0" w:beforeAutospacing="0" w:after="0" w:afterAutospacing="0"/>
        <w:ind w:left="0" w:right="0" w:firstLine="3600" w:firstLineChars="1500"/>
        <w:jc w:val="both"/>
        <w:rPr>
          <w:rFonts w:hint="default" w:ascii="宋体" w:hAnsi="宋体" w:eastAsia="宋体" w:cs="宋体"/>
          <w:color w:val="auto"/>
          <w:kern w:val="2"/>
          <w:sz w:val="24"/>
          <w:szCs w:val="24"/>
          <w:highlight w:val="none"/>
          <w:lang w:val="en-US" w:eastAsia="zh-CN" w:bidi="ar"/>
        </w:rPr>
      </w:pPr>
    </w:p>
    <w:p w14:paraId="67D63B67">
      <w:pPr>
        <w:keepNext w:val="0"/>
        <w:keepLines w:val="0"/>
        <w:widowControl/>
        <w:suppressLineNumbers w:val="0"/>
        <w:spacing w:before="0" w:beforeAutospacing="0" w:after="0" w:afterAutospacing="0" w:line="240" w:lineRule="auto"/>
        <w:ind w:left="0" w:right="0"/>
        <w:jc w:val="left"/>
        <w:rPr>
          <w:rFonts w:hint="default" w:ascii="宋体" w:hAnsi="宋体" w:eastAsia="宋体" w:cs="宋体"/>
          <w:color w:val="auto"/>
          <w:kern w:val="0"/>
          <w:sz w:val="32"/>
          <w:szCs w:val="32"/>
          <w:highlight w:val="none"/>
          <w:lang w:eastAsia="zh-CN" w:bidi="ar"/>
        </w:rPr>
      </w:pPr>
    </w:p>
    <w:p w14:paraId="343354B0">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auto"/>
          <w:kern w:val="0"/>
          <w:sz w:val="32"/>
          <w:szCs w:val="32"/>
          <w:highlight w:val="none"/>
        </w:rPr>
      </w:pPr>
      <w:r>
        <w:rPr>
          <w:rFonts w:hint="default" w:ascii="宋体" w:hAnsi="宋体" w:eastAsia="宋体" w:cs="宋体"/>
          <w:color w:val="auto"/>
          <w:kern w:val="0"/>
          <w:sz w:val="32"/>
          <w:szCs w:val="32"/>
          <w:highlight w:val="none"/>
          <w:lang w:eastAsia="zh-CN" w:bidi="ar"/>
        </w:rPr>
        <w:t>（五）</w:t>
      </w:r>
      <w:r>
        <w:rPr>
          <w:rFonts w:hint="eastAsia" w:ascii="宋体" w:hAnsi="宋体" w:eastAsia="宋体" w:cs="宋体"/>
          <w:color w:val="auto"/>
          <w:kern w:val="0"/>
          <w:sz w:val="32"/>
          <w:szCs w:val="32"/>
          <w:highlight w:val="none"/>
          <w:lang w:val="en-US" w:eastAsia="zh-CN" w:bidi="ar"/>
        </w:rPr>
        <w:t>其他资料（如有）</w:t>
      </w:r>
    </w:p>
    <w:p w14:paraId="714A2C1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0"/>
          <w:sz w:val="32"/>
          <w:szCs w:val="32"/>
          <w:highlight w:val="none"/>
          <w:lang w:val="en-US" w:eastAsia="zh-CN" w:bidi="ar"/>
        </w:rPr>
      </w:pPr>
      <w:r>
        <w:rPr>
          <w:rFonts w:hint="eastAsia" w:ascii="宋体" w:hAnsi="宋体" w:eastAsia="宋体" w:cs="宋体"/>
          <w:color w:val="auto"/>
          <w:kern w:val="0"/>
          <w:sz w:val="32"/>
          <w:szCs w:val="32"/>
          <w:highlight w:val="none"/>
          <w:lang w:val="en-US" w:eastAsia="zh-CN" w:bidi="ar"/>
        </w:rPr>
        <w:br w:type="page"/>
      </w:r>
      <w:bookmarkEnd w:id="150"/>
      <w:r>
        <w:rPr>
          <w:rFonts w:hint="default" w:ascii="宋体" w:hAnsi="宋体" w:eastAsia="宋体" w:cs="宋体"/>
          <w:color w:val="auto"/>
          <w:kern w:val="0"/>
          <w:sz w:val="32"/>
          <w:szCs w:val="32"/>
          <w:highlight w:val="none"/>
          <w:lang w:eastAsia="zh-CN" w:bidi="ar"/>
        </w:rPr>
        <w:t>六</w:t>
      </w:r>
      <w:r>
        <w:rPr>
          <w:rFonts w:hint="eastAsia" w:ascii="宋体" w:hAnsi="宋体" w:eastAsia="宋体" w:cs="宋体"/>
          <w:color w:val="auto"/>
          <w:kern w:val="0"/>
          <w:sz w:val="32"/>
          <w:szCs w:val="32"/>
          <w:highlight w:val="none"/>
          <w:lang w:val="en-US" w:eastAsia="zh-CN" w:bidi="ar"/>
        </w:rPr>
        <w:t>、技术部分</w:t>
      </w:r>
    </w:p>
    <w:p w14:paraId="0753CF3E">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auto"/>
          <w:kern w:val="2"/>
          <w:sz w:val="24"/>
          <w:szCs w:val="24"/>
          <w:highlight w:val="none"/>
          <w:lang w:bidi="ar"/>
        </w:rPr>
      </w:pPr>
      <w:bookmarkStart w:id="151" w:name="_Toc21972"/>
      <w:bookmarkEnd w:id="151"/>
      <w:r>
        <w:rPr>
          <w:rFonts w:hint="default" w:ascii="宋体" w:hAnsi="宋体" w:eastAsia="宋体" w:cs="宋体"/>
          <w:color w:val="auto"/>
          <w:kern w:val="2"/>
          <w:sz w:val="24"/>
          <w:szCs w:val="24"/>
          <w:highlight w:val="none"/>
          <w:lang w:eastAsia="zh-CN" w:bidi="ar"/>
        </w:rPr>
        <w:t>1）实施进度计划</w:t>
      </w:r>
    </w:p>
    <w:p w14:paraId="23C3D2B8">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auto"/>
          <w:kern w:val="2"/>
          <w:sz w:val="24"/>
          <w:szCs w:val="24"/>
          <w:highlight w:val="none"/>
          <w:lang w:eastAsia="zh-CN" w:bidi="ar"/>
        </w:rPr>
      </w:pPr>
      <w:r>
        <w:rPr>
          <w:rFonts w:hint="default" w:ascii="宋体" w:hAnsi="宋体" w:eastAsia="宋体" w:cs="宋体"/>
          <w:color w:val="auto"/>
          <w:kern w:val="2"/>
          <w:sz w:val="24"/>
          <w:szCs w:val="24"/>
          <w:highlight w:val="none"/>
          <w:lang w:eastAsia="zh-CN" w:bidi="ar"/>
        </w:rPr>
        <w:t>2）实施工艺科学先进程度</w:t>
      </w:r>
    </w:p>
    <w:p w14:paraId="3BB9C6B7">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auto"/>
          <w:kern w:val="2"/>
          <w:sz w:val="24"/>
          <w:szCs w:val="24"/>
          <w:highlight w:val="none"/>
          <w:lang w:eastAsia="zh-CN" w:bidi="ar"/>
        </w:rPr>
      </w:pPr>
      <w:r>
        <w:rPr>
          <w:rFonts w:hint="default" w:ascii="宋体" w:hAnsi="宋体" w:eastAsia="宋体" w:cs="宋体"/>
          <w:color w:val="auto"/>
          <w:kern w:val="2"/>
          <w:sz w:val="24"/>
          <w:szCs w:val="24"/>
          <w:highlight w:val="none"/>
          <w:lang w:eastAsia="zh-CN" w:bidi="ar"/>
        </w:rPr>
        <w:t>3)赛事保障能力</w:t>
      </w:r>
    </w:p>
    <w:p w14:paraId="5930B35F">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auto"/>
          <w:kern w:val="2"/>
          <w:sz w:val="24"/>
          <w:szCs w:val="24"/>
          <w:highlight w:val="none"/>
          <w:lang w:eastAsia="zh-CN" w:bidi="ar"/>
        </w:rPr>
      </w:pPr>
      <w:r>
        <w:rPr>
          <w:rFonts w:hint="default" w:ascii="宋体" w:hAnsi="宋体" w:eastAsia="宋体" w:cs="宋体"/>
          <w:color w:val="auto"/>
          <w:kern w:val="2"/>
          <w:sz w:val="24"/>
          <w:szCs w:val="24"/>
          <w:highlight w:val="none"/>
          <w:lang w:eastAsia="zh-CN" w:bidi="ar"/>
        </w:rPr>
        <w:t>4)售后保障能力</w:t>
      </w:r>
    </w:p>
    <w:p w14:paraId="1E1E029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default" w:ascii="宋体" w:hAnsi="宋体" w:eastAsia="宋体" w:cs="宋体"/>
          <w:color w:val="auto"/>
          <w:kern w:val="2"/>
          <w:sz w:val="24"/>
          <w:szCs w:val="24"/>
          <w:highlight w:val="none"/>
          <w:lang w:eastAsia="zh-CN" w:bidi="ar"/>
        </w:rPr>
        <w:t>5)</w:t>
      </w:r>
      <w:r>
        <w:rPr>
          <w:rFonts w:hint="eastAsia" w:ascii="宋体" w:hAnsi="宋体" w:eastAsia="宋体" w:cs="宋体"/>
          <w:color w:val="auto"/>
          <w:kern w:val="2"/>
          <w:sz w:val="24"/>
          <w:szCs w:val="24"/>
          <w:highlight w:val="none"/>
          <w:lang w:val="en-US" w:eastAsia="zh-CN" w:bidi="ar"/>
        </w:rPr>
        <w:t>合理化建议</w:t>
      </w:r>
    </w:p>
    <w:p w14:paraId="2854FB22">
      <w:pPr>
        <w:keepNext w:val="0"/>
        <w:keepLines w:val="0"/>
        <w:widowControl w:val="0"/>
        <w:suppressLineNumbers w:val="0"/>
        <w:spacing w:before="0" w:beforeAutospacing="0" w:after="0" w:afterAutospacing="0" w:line="360" w:lineRule="auto"/>
        <w:ind w:left="420" w:leftChars="200" w:right="0"/>
        <w:jc w:val="both"/>
        <w:rPr>
          <w:rFonts w:hint="default" w:ascii="宋体" w:hAnsi="宋体" w:eastAsia="宋体" w:cs="宋体"/>
          <w:color w:val="auto"/>
          <w:kern w:val="0"/>
          <w:sz w:val="32"/>
          <w:szCs w:val="32"/>
          <w:highlight w:val="none"/>
          <w:lang w:eastAsia="zh-CN" w:bidi="ar"/>
        </w:rPr>
      </w:pPr>
      <w:r>
        <w:rPr>
          <w:rFonts w:hint="default" w:ascii="宋体" w:hAnsi="宋体" w:eastAsia="宋体" w:cs="宋体"/>
          <w:color w:val="auto"/>
          <w:kern w:val="0"/>
          <w:sz w:val="32"/>
          <w:szCs w:val="32"/>
          <w:highlight w:val="none"/>
          <w:lang w:eastAsia="zh-CN" w:bidi="ar"/>
        </w:rPr>
        <w:t>（</w:t>
      </w:r>
      <w:r>
        <w:rPr>
          <w:rFonts w:hint="default" w:ascii="宋体" w:hAnsi="宋体" w:eastAsia="宋体" w:cs="宋体"/>
          <w:color w:val="auto"/>
          <w:kern w:val="0"/>
          <w:sz w:val="28"/>
          <w:szCs w:val="28"/>
          <w:highlight w:val="none"/>
          <w:lang w:eastAsia="zh-CN" w:bidi="ar"/>
        </w:rPr>
        <w:t>格式自拟</w:t>
      </w:r>
      <w:r>
        <w:rPr>
          <w:rFonts w:hint="default" w:ascii="宋体" w:hAnsi="宋体" w:eastAsia="宋体" w:cs="宋体"/>
          <w:color w:val="auto"/>
          <w:kern w:val="0"/>
          <w:sz w:val="32"/>
          <w:szCs w:val="32"/>
          <w:highlight w:val="none"/>
          <w:lang w:eastAsia="zh-CN" w:bidi="ar"/>
        </w:rPr>
        <w:t>）</w:t>
      </w:r>
      <w:r>
        <w:rPr>
          <w:rFonts w:hint="default" w:ascii="宋体" w:hAnsi="宋体" w:eastAsia="宋体" w:cs="宋体"/>
          <w:color w:val="auto"/>
          <w:kern w:val="0"/>
          <w:sz w:val="32"/>
          <w:szCs w:val="32"/>
          <w:highlight w:val="none"/>
          <w:lang w:eastAsia="zh-CN" w:bidi="ar"/>
        </w:rPr>
        <w:br w:type="page"/>
      </w:r>
    </w:p>
    <w:p w14:paraId="6AFCFDAD">
      <w:pPr>
        <w:keepNext/>
        <w:keepLines/>
        <w:widowControl/>
        <w:numPr>
          <w:ilvl w:val="-1"/>
          <w:numId w:val="0"/>
        </w:numPr>
        <w:suppressLineNumbers w:val="0"/>
        <w:spacing w:before="0" w:beforeAutospacing="0" w:after="0" w:afterAutospacing="0" w:line="360" w:lineRule="auto"/>
        <w:ind w:left="0" w:right="0"/>
        <w:jc w:val="left"/>
        <w:rPr>
          <w:rFonts w:hint="eastAsia" w:ascii="宋体" w:hAnsi="宋体" w:eastAsia="宋体" w:cs="宋体"/>
          <w:color w:val="auto"/>
          <w:kern w:val="0"/>
          <w:sz w:val="32"/>
          <w:szCs w:val="32"/>
          <w:highlight w:val="none"/>
          <w:lang w:val="en-US" w:eastAsia="zh-CN" w:bidi="ar"/>
        </w:rPr>
      </w:pPr>
      <w:r>
        <w:rPr>
          <w:rFonts w:hint="default" w:ascii="宋体" w:hAnsi="宋体" w:eastAsia="宋体" w:cs="宋体"/>
          <w:color w:val="auto"/>
          <w:kern w:val="0"/>
          <w:sz w:val="32"/>
          <w:szCs w:val="32"/>
          <w:highlight w:val="none"/>
          <w:lang w:eastAsia="zh-CN" w:bidi="ar"/>
        </w:rPr>
        <w:t>七、</w:t>
      </w:r>
      <w:r>
        <w:rPr>
          <w:rFonts w:hint="eastAsia" w:ascii="宋体" w:hAnsi="宋体" w:eastAsia="宋体" w:cs="宋体"/>
          <w:color w:val="auto"/>
          <w:kern w:val="0"/>
          <w:sz w:val="32"/>
          <w:szCs w:val="32"/>
          <w:highlight w:val="none"/>
          <w:lang w:val="en-US" w:eastAsia="zh-CN" w:bidi="ar"/>
        </w:rPr>
        <w:t>赞助承诺函</w:t>
      </w:r>
    </w:p>
    <w:p w14:paraId="57CD84F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lang w:val="en-US" w:eastAsia="zh-CN" w:bidi="ar"/>
        </w:rPr>
        <w:t>赞助承诺函</w:t>
      </w:r>
    </w:p>
    <w:p w14:paraId="6DADBEC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致：广州市重点公共建设项目管理中心</w:t>
      </w:r>
    </w:p>
    <w:p w14:paraId="7D2E591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我司现积极应征</w:t>
      </w:r>
      <w:r>
        <w:rPr>
          <w:rFonts w:hint="eastAsia" w:ascii="宋体" w:hAnsi="宋体" w:eastAsia="宋体" w:cs="宋体"/>
          <w:b w:val="0"/>
          <w:bCs/>
          <w:color w:val="auto"/>
          <w:kern w:val="2"/>
          <w:sz w:val="24"/>
          <w:szCs w:val="24"/>
          <w:highlight w:val="none"/>
          <w:u w:val="single"/>
          <w:lang w:val="en-US" w:eastAsia="zh-CN" w:bidi="ar"/>
        </w:rPr>
        <w:t>第十五届全运会广东奥林匹克体育中心升级改造项目、第十五届全运会广东省人民体育场改造项目体育工艺（场地设备类）采购及相关服务</w:t>
      </w:r>
      <w:r>
        <w:rPr>
          <w:rFonts w:hint="eastAsia" w:ascii="宋体" w:hAnsi="宋体" w:eastAsia="宋体" w:cs="宋体"/>
          <w:b w:val="0"/>
          <w:bCs/>
          <w:color w:val="auto"/>
          <w:kern w:val="2"/>
          <w:sz w:val="24"/>
          <w:szCs w:val="24"/>
          <w:highlight w:val="none"/>
          <w:lang w:val="en-US" w:eastAsia="zh-CN" w:bidi="ar"/>
        </w:rPr>
        <w:t xml:space="preserve">招标项目，在服务工作过程中，将严格执行国家有关法律法规，维护招标人及十五运会的利益，提供优质服务，现对本项目郑重承诺如下： </w:t>
      </w:r>
    </w:p>
    <w:p w14:paraId="7E15BC2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 xml:space="preserve">一、赞助履约承诺 </w:t>
      </w:r>
    </w:p>
    <w:p w14:paraId="27E71EB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 xml:space="preserve">我司承诺，中标后于3个工作日内配合启动赞助企业资格审定等相关工作并于30日之内完成赞助合同/协议的签订，并根据赞助合同/协议履行赞助义务，为十五运会成功举办，发挥企业担当。 </w:t>
      </w:r>
    </w:p>
    <w:p w14:paraId="07C201F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 xml:space="preserve">二、赞助额度承诺 </w:t>
      </w:r>
    </w:p>
    <w:p w14:paraId="593AF2C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 xml:space="preserve">我司承诺，在第十五届全运会广东奥林匹克体育中心升级改造项目、第十五届全运会广东省人民体育场改造项目体育工艺（场地设备类）采购及相关服务总中标额度之外，确保以赞助VIK（产品及服务）的形式提供响应文件中赞助报价所对应的产品和服务，且保证赞助的VIK内容对应满足招标项目中全部的技术要求、数量要求。 我司对上述承诺的真实性负责，如有虚假，将依法承担相应责任。 </w:t>
      </w:r>
    </w:p>
    <w:p w14:paraId="6EE8ADE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 xml:space="preserve">投标人名称（盖公章）： </w:t>
      </w:r>
    </w:p>
    <w:p w14:paraId="7D76653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 xml:space="preserve">法定代表人或委托代理人签字或盖章： </w:t>
      </w:r>
    </w:p>
    <w:p w14:paraId="30826A9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2024 年 月 日</w:t>
      </w:r>
    </w:p>
    <w:p w14:paraId="1CFD4E07">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注：提供赞助的须按上述格式提供本承诺函。</w:t>
      </w:r>
    </w:p>
    <w:p w14:paraId="2AD1E2AB">
      <w:pPr>
        <w:keepNext w:val="0"/>
        <w:keepLines w:val="0"/>
        <w:widowControl/>
        <w:suppressLineNumbers w:val="0"/>
        <w:spacing w:before="156" w:beforeLines="50" w:beforeAutospacing="0" w:after="0" w:afterAutospacing="0" w:line="360" w:lineRule="auto"/>
        <w:ind w:left="0" w:right="0"/>
        <w:jc w:val="left"/>
        <w:rPr>
          <w:rFonts w:hint="default" w:ascii="Times New Roman" w:hAnsi="Times New Roman" w:eastAsia="宋体" w:cs="Times New Roman"/>
          <w:b/>
          <w:bCs w:val="0"/>
          <w:color w:val="auto"/>
          <w:sz w:val="24"/>
          <w:szCs w:val="24"/>
          <w:highlight w:val="none"/>
        </w:rPr>
      </w:pPr>
      <w:r>
        <w:rPr>
          <w:rFonts w:hint="default" w:ascii="宋体" w:hAnsi="宋体" w:eastAsia="宋体" w:cs="宋体"/>
          <w:b/>
          <w:bCs w:val="0"/>
          <w:color w:val="auto"/>
          <w:kern w:val="0"/>
          <w:sz w:val="24"/>
          <w:szCs w:val="24"/>
          <w:highlight w:val="none"/>
          <w:lang w:eastAsia="zh-CN" w:bidi="ar"/>
        </w:rPr>
        <w:t>附件1 赞助权益回报清单</w:t>
      </w:r>
    </w:p>
    <w:tbl>
      <w:tblPr>
        <w:tblStyle w:val="10"/>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71"/>
        <w:gridCol w:w="1834"/>
        <w:gridCol w:w="740"/>
        <w:gridCol w:w="1393"/>
        <w:gridCol w:w="1087"/>
        <w:gridCol w:w="867"/>
        <w:gridCol w:w="813"/>
        <w:gridCol w:w="820"/>
      </w:tblGrid>
      <w:tr w14:paraId="3421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74113C">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b/>
                <w:bCs w:val="0"/>
                <w:color w:val="auto"/>
                <w:sz w:val="18"/>
                <w:szCs w:val="18"/>
                <w:highlight w:val="none"/>
              </w:rPr>
            </w:pPr>
            <w:r>
              <w:rPr>
                <w:rFonts w:hint="eastAsia" w:ascii="仿宋_GB2312" w:hAnsi="Times New Roman" w:eastAsia="仿宋_GB2312" w:cs="仿宋_GB2312"/>
                <w:b/>
                <w:bCs w:val="0"/>
                <w:color w:val="auto"/>
                <w:kern w:val="0"/>
                <w:sz w:val="18"/>
                <w:szCs w:val="18"/>
                <w:highlight w:val="none"/>
                <w:lang w:val="en-US" w:eastAsia="zh-CN" w:bidi="ar"/>
              </w:rPr>
              <w:t>权益回报内容</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4D4419B">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b/>
                <w:bCs w:val="0"/>
                <w:color w:val="auto"/>
                <w:sz w:val="18"/>
                <w:szCs w:val="18"/>
                <w:highlight w:val="none"/>
              </w:rPr>
            </w:pPr>
            <w:r>
              <w:rPr>
                <w:rFonts w:hint="eastAsia" w:ascii="仿宋_GB2312" w:hAnsi="Times New Roman" w:eastAsia="仿宋_GB2312" w:cs="仿宋_GB2312"/>
                <w:b/>
                <w:bCs w:val="0"/>
                <w:color w:val="auto"/>
                <w:kern w:val="0"/>
                <w:sz w:val="18"/>
                <w:szCs w:val="18"/>
                <w:highlight w:val="none"/>
                <w:lang w:val="en-US" w:eastAsia="zh-CN" w:bidi="ar"/>
              </w:rPr>
              <w:t>合作伙伴</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4AE1248F">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b/>
                <w:bCs w:val="0"/>
                <w:color w:val="auto"/>
                <w:sz w:val="18"/>
                <w:szCs w:val="18"/>
                <w:highlight w:val="none"/>
              </w:rPr>
            </w:pPr>
            <w:r>
              <w:rPr>
                <w:rFonts w:hint="eastAsia" w:ascii="仿宋_GB2312" w:hAnsi="Times New Roman" w:eastAsia="仿宋_GB2312" w:cs="仿宋_GB2312"/>
                <w:b/>
                <w:bCs w:val="0"/>
                <w:color w:val="auto"/>
                <w:kern w:val="0"/>
                <w:sz w:val="18"/>
                <w:szCs w:val="18"/>
                <w:highlight w:val="none"/>
                <w:lang w:val="en-US" w:eastAsia="zh-CN" w:bidi="ar"/>
              </w:rPr>
              <w:t>赞助商</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69341CAA">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b/>
                <w:bCs w:val="0"/>
                <w:color w:val="auto"/>
                <w:sz w:val="18"/>
                <w:szCs w:val="18"/>
                <w:highlight w:val="none"/>
              </w:rPr>
            </w:pPr>
            <w:r>
              <w:rPr>
                <w:rFonts w:hint="eastAsia" w:ascii="仿宋_GB2312" w:hAnsi="Times New Roman" w:eastAsia="仿宋_GB2312" w:cs="仿宋_GB2312"/>
                <w:b/>
                <w:bCs w:val="0"/>
                <w:color w:val="auto"/>
                <w:kern w:val="0"/>
                <w:sz w:val="18"/>
                <w:szCs w:val="18"/>
                <w:highlight w:val="none"/>
                <w:lang w:val="en-US" w:eastAsia="zh-CN" w:bidi="ar"/>
              </w:rPr>
              <w:t>独家</w:t>
            </w:r>
          </w:p>
          <w:p w14:paraId="7FC7C6F4">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b/>
                <w:bCs w:val="0"/>
                <w:color w:val="auto"/>
                <w:sz w:val="18"/>
                <w:szCs w:val="18"/>
                <w:highlight w:val="none"/>
              </w:rPr>
            </w:pPr>
            <w:r>
              <w:rPr>
                <w:rFonts w:hint="eastAsia" w:ascii="仿宋_GB2312" w:hAnsi="Times New Roman" w:eastAsia="仿宋_GB2312" w:cs="仿宋_GB2312"/>
                <w:b/>
                <w:bCs w:val="0"/>
                <w:color w:val="auto"/>
                <w:kern w:val="0"/>
                <w:sz w:val="18"/>
                <w:szCs w:val="18"/>
                <w:highlight w:val="none"/>
                <w:lang w:val="en-US" w:eastAsia="zh-CN" w:bidi="ar"/>
              </w:rPr>
              <w:t>供应商</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06CF6F75">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b/>
                <w:bCs w:val="0"/>
                <w:color w:val="auto"/>
                <w:sz w:val="18"/>
                <w:szCs w:val="18"/>
                <w:highlight w:val="none"/>
              </w:rPr>
            </w:pPr>
            <w:r>
              <w:rPr>
                <w:rFonts w:hint="eastAsia" w:ascii="仿宋_GB2312" w:hAnsi="Times New Roman" w:eastAsia="仿宋_GB2312" w:cs="仿宋_GB2312"/>
                <w:b/>
                <w:bCs w:val="0"/>
                <w:color w:val="auto"/>
                <w:kern w:val="0"/>
                <w:sz w:val="18"/>
                <w:szCs w:val="18"/>
                <w:highlight w:val="none"/>
                <w:lang w:val="en-US" w:eastAsia="zh-CN" w:bidi="ar"/>
              </w:rPr>
              <w:t>供应商</w:t>
            </w:r>
          </w:p>
        </w:tc>
      </w:tr>
      <w:tr w14:paraId="6D29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71" w:type="dxa"/>
            <w:vMerge w:val="restart"/>
            <w:tcBorders>
              <w:top w:val="nil"/>
              <w:left w:val="single" w:color="auto" w:sz="4" w:space="0"/>
              <w:bottom w:val="single" w:color="auto" w:sz="4" w:space="0"/>
              <w:right w:val="single" w:color="auto" w:sz="4" w:space="0"/>
            </w:tcBorders>
            <w:shd w:val="clear" w:color="auto" w:fill="auto"/>
            <w:vAlign w:val="center"/>
          </w:tcPr>
          <w:p w14:paraId="6F88C88B">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一、类别排他权</w:t>
            </w: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7F51C8">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（一）产品/服务类别的营销权</w:t>
            </w:r>
          </w:p>
        </w:tc>
        <w:tc>
          <w:tcPr>
            <w:tcW w:w="1087" w:type="dxa"/>
            <w:vMerge w:val="restart"/>
            <w:tcBorders>
              <w:top w:val="nil"/>
              <w:left w:val="single" w:color="auto" w:sz="4" w:space="0"/>
              <w:bottom w:val="single" w:color="auto" w:sz="4" w:space="0"/>
              <w:right w:val="single" w:color="auto" w:sz="4" w:space="0"/>
            </w:tcBorders>
            <w:shd w:val="clear" w:color="auto" w:fill="auto"/>
            <w:vAlign w:val="center"/>
          </w:tcPr>
          <w:p w14:paraId="45E29CD8">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排他</w:t>
            </w:r>
          </w:p>
        </w:tc>
        <w:tc>
          <w:tcPr>
            <w:tcW w:w="867" w:type="dxa"/>
            <w:vMerge w:val="restart"/>
            <w:tcBorders>
              <w:top w:val="nil"/>
              <w:left w:val="single" w:color="auto" w:sz="4" w:space="0"/>
              <w:bottom w:val="single" w:color="auto" w:sz="4" w:space="0"/>
              <w:right w:val="single" w:color="auto" w:sz="4" w:space="0"/>
            </w:tcBorders>
            <w:shd w:val="clear" w:color="auto" w:fill="auto"/>
            <w:vAlign w:val="center"/>
          </w:tcPr>
          <w:p w14:paraId="2D313CEE">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排他</w:t>
            </w:r>
          </w:p>
        </w:tc>
        <w:tc>
          <w:tcPr>
            <w:tcW w:w="813" w:type="dxa"/>
            <w:vMerge w:val="restart"/>
            <w:tcBorders>
              <w:top w:val="nil"/>
              <w:left w:val="single" w:color="auto" w:sz="4" w:space="0"/>
              <w:bottom w:val="single" w:color="auto" w:sz="4" w:space="0"/>
              <w:right w:val="single" w:color="auto" w:sz="4" w:space="0"/>
            </w:tcBorders>
            <w:shd w:val="clear" w:color="auto" w:fill="auto"/>
            <w:vAlign w:val="center"/>
          </w:tcPr>
          <w:p w14:paraId="593EA72E">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排他</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9F8932">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不排他</w:t>
            </w:r>
          </w:p>
        </w:tc>
      </w:tr>
      <w:tr w14:paraId="3197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0A7F343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E90020">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（二）在赞助总额内向组委会供应赞助类别内产品及服务的优先权</w:t>
            </w:r>
          </w:p>
        </w:tc>
        <w:tc>
          <w:tcPr>
            <w:tcW w:w="1087" w:type="dxa"/>
            <w:vMerge w:val="continue"/>
            <w:tcBorders>
              <w:top w:val="nil"/>
              <w:left w:val="single" w:color="auto" w:sz="4" w:space="0"/>
              <w:bottom w:val="single" w:color="auto" w:sz="4" w:space="0"/>
              <w:right w:val="single" w:color="auto" w:sz="4" w:space="0"/>
            </w:tcBorders>
            <w:shd w:val="clear" w:color="auto" w:fill="auto"/>
            <w:vAlign w:val="center"/>
          </w:tcPr>
          <w:p w14:paraId="2B4F094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67" w:type="dxa"/>
            <w:vMerge w:val="continue"/>
            <w:tcBorders>
              <w:top w:val="nil"/>
              <w:left w:val="single" w:color="auto" w:sz="4" w:space="0"/>
              <w:bottom w:val="single" w:color="auto" w:sz="4" w:space="0"/>
              <w:right w:val="single" w:color="auto" w:sz="4" w:space="0"/>
            </w:tcBorders>
            <w:shd w:val="clear" w:color="auto" w:fill="auto"/>
            <w:vAlign w:val="center"/>
          </w:tcPr>
          <w:p w14:paraId="2EB4DFF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13" w:type="dxa"/>
            <w:vMerge w:val="continue"/>
            <w:tcBorders>
              <w:top w:val="nil"/>
              <w:left w:val="single" w:color="auto" w:sz="4" w:space="0"/>
              <w:bottom w:val="single" w:color="auto" w:sz="4" w:space="0"/>
              <w:right w:val="single" w:color="auto" w:sz="4" w:space="0"/>
            </w:tcBorders>
            <w:shd w:val="clear" w:color="auto" w:fill="auto"/>
            <w:vAlign w:val="center"/>
          </w:tcPr>
          <w:p w14:paraId="4437119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D110C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6622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71" w:type="dxa"/>
            <w:vMerge w:val="restart"/>
            <w:tcBorders>
              <w:top w:val="nil"/>
              <w:left w:val="single" w:color="auto" w:sz="4" w:space="0"/>
              <w:bottom w:val="single" w:color="auto" w:sz="4" w:space="0"/>
              <w:right w:val="single" w:color="auto" w:sz="4" w:space="0"/>
            </w:tcBorders>
            <w:shd w:val="clear" w:color="auto" w:fill="auto"/>
            <w:vAlign w:val="center"/>
          </w:tcPr>
          <w:p w14:paraId="1EF4530B">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二、无形资产使用权</w:t>
            </w: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423A78">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（一）授权称谓</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47495ED">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949AAE8">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2A0F42C8">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3E1688E8">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r>
      <w:tr w14:paraId="10AC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6F47E70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34" w:type="dxa"/>
            <w:vMerge w:val="restart"/>
            <w:tcBorders>
              <w:top w:val="nil"/>
              <w:left w:val="single" w:color="auto" w:sz="4" w:space="0"/>
              <w:bottom w:val="single" w:color="auto" w:sz="4" w:space="0"/>
              <w:right w:val="single" w:color="auto" w:sz="4" w:space="0"/>
            </w:tcBorders>
            <w:shd w:val="clear" w:color="auto" w:fill="auto"/>
            <w:vAlign w:val="center"/>
          </w:tcPr>
          <w:p w14:paraId="051A95C2">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（二）十五运会标志</w:t>
            </w:r>
          </w:p>
        </w:tc>
        <w:tc>
          <w:tcPr>
            <w:tcW w:w="21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1B6524">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1.标志和称谓使用</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E27C420">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AE9D471">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2A93C415">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5AEE36D9">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3F6E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3F6E9FA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34" w:type="dxa"/>
            <w:vMerge w:val="continue"/>
            <w:tcBorders>
              <w:top w:val="nil"/>
              <w:left w:val="single" w:color="auto" w:sz="4" w:space="0"/>
              <w:bottom w:val="single" w:color="auto" w:sz="4" w:space="0"/>
              <w:right w:val="single" w:color="auto" w:sz="4" w:space="0"/>
            </w:tcBorders>
            <w:shd w:val="clear" w:color="auto" w:fill="auto"/>
            <w:vAlign w:val="center"/>
          </w:tcPr>
          <w:p w14:paraId="687D51D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F40830">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2.组合标志</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A637F0A">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0DF599F">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052870CB">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4BF61276">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0D16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76E97C5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34" w:type="dxa"/>
            <w:vMerge w:val="continue"/>
            <w:tcBorders>
              <w:top w:val="nil"/>
              <w:left w:val="single" w:color="auto" w:sz="4" w:space="0"/>
              <w:bottom w:val="single" w:color="auto" w:sz="4" w:space="0"/>
              <w:right w:val="single" w:color="auto" w:sz="4" w:space="0"/>
            </w:tcBorders>
            <w:shd w:val="clear" w:color="auto" w:fill="auto"/>
            <w:vAlign w:val="center"/>
          </w:tcPr>
          <w:p w14:paraId="131CCAB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12F56E">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3.个性化吉祥物</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7707F73">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70657CBF">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6B1335D3">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70515A99">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4BF7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0746BD8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23B561">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（三）十五运会口号、理念、主题歌曲</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996AB6E">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72F99DD2">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2BD9C01E">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2C81DBCC">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r>
      <w:tr w14:paraId="0F9F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098869C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3DE72B">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（四）促销品的生产及分发</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B96C3C5">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3407F39">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689E6249">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138FE5AB">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59EC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471" w:type="dxa"/>
            <w:vMerge w:val="restart"/>
            <w:tcBorders>
              <w:top w:val="nil"/>
              <w:left w:val="single" w:color="auto" w:sz="4" w:space="0"/>
              <w:bottom w:val="single" w:color="auto" w:sz="4" w:space="0"/>
              <w:right w:val="single" w:color="auto" w:sz="4" w:space="0"/>
            </w:tcBorders>
            <w:shd w:val="clear" w:color="auto" w:fill="auto"/>
            <w:vAlign w:val="center"/>
          </w:tcPr>
          <w:p w14:paraId="4194C269">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三、识别计划</w:t>
            </w:r>
          </w:p>
        </w:tc>
        <w:tc>
          <w:tcPr>
            <w:tcW w:w="257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713183E1">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（一）组委会官方网站的识别</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723F1C56">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主页</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70AA41E">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B3C22EF">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213AA930">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6439D858">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0EB2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66D2914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7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2B8C806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72927D16">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市场开发页面</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0D0B966">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1979F8B">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5BEECDE6">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70BF591E">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r>
      <w:tr w14:paraId="35B3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7895FE2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D2BB27">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（二）组委会媒体宣传活动的识别</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B4FCB8C">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C8E3282">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3B10F0B1">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2AACE05C">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2418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4FE27DB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2A8A70A">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（三）国内媒体广告中的识别</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379FA77">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2845AF90">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2898C11F">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3E7F9B0E">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18D7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6E53CF3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6362771">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（四）相关出版物中的识别（如可行）</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713D904">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900D19F">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4FE4B475">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谈判权</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077FEA8A">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0241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460D097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39CF88">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（五）门票（电子票、纸质票）的识别</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75505B0">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57864475">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585D77AE">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16405BA1">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161C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0449048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8778BA">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（六）证件的识别</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EA1CD1B">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8F04468">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46FF9AC6">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64EDD917">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5D0C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2A6F515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FC4022">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（七）竞赛场馆入口处的识别</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92D0276">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439D093F">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55A5212B">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5ACC48D5">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r>
      <w:tr w14:paraId="165A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6B7CCFC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6972068">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（八）非竞赛场馆的识别</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EF11512">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C52C6C7">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59710479">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2FB1C4F0">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r>
      <w:tr w14:paraId="278D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42A7EF6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C1D2C0">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（九）场馆和活动媒体背景板的识别</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B59631F">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7BBF02B">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3A6C0382">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27838EB8">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2F98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419A98A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816EAA">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（十）高交通流量位置的识别</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1642222">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C2FCAFA">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49446EDA">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55160B58">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752F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71" w:type="dxa"/>
            <w:vMerge w:val="restart"/>
            <w:tcBorders>
              <w:top w:val="nil"/>
              <w:left w:val="single" w:color="auto" w:sz="4" w:space="0"/>
              <w:bottom w:val="single" w:color="auto" w:sz="4" w:space="0"/>
              <w:right w:val="single" w:color="auto" w:sz="4" w:space="0"/>
            </w:tcBorders>
            <w:shd w:val="clear" w:color="auto" w:fill="auto"/>
            <w:vAlign w:val="center"/>
          </w:tcPr>
          <w:p w14:paraId="123EB542">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四、广告机会</w:t>
            </w: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FD8652">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（一）赛场广告牌（赛时）</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86D7890">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7B2682BD">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4D7A8C02">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谈判权</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6CEFBEEF">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谈判权</w:t>
            </w:r>
          </w:p>
        </w:tc>
      </w:tr>
      <w:tr w14:paraId="3244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44DFDC3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31FD1E">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（二）单项赛事项目冠名</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2EEFBA8">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谈判权</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5E8C8424">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谈判权</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289CADBC">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59E95A2E">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68C6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5E73C59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3C4DCB">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（三）冠名比赛场地地胶广告发布（如可行）</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2ECC171">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谈判权</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319AB76">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谈判权</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55C7AAE5">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5BBE3B0D">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620F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436EF07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30453C">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（四）冠名赛事颁奖（如可行）</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0259223">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谈判权</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72E097FF">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谈判权</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37E2CD6E">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476DD9C8">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25FD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5C2B129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23C62B5">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（五）冠名赛事出版物</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BDD363A">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谈判权</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B2BCA41">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谈判权</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3A35F51D">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28C5FEBC">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51C6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04C238C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403C18">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（六）运动员号码布（如可行）</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11ED815">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谈判权</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4131C155">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谈判权</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529AA873">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677C1AFD">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72D2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6D0705C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2B64AE">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（七）赛场LED显示屏播放企业宣传广告</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3B9CCA2">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9BF5617">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07A72FC5">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7865001C">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3A25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7E855B3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7F494C">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（八）赛事转播赞助及广告时段购买优先谈判权（如可行，优先权限定于符合赞助类别的广告）</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31C4886">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第一谈</w:t>
            </w:r>
          </w:p>
          <w:p w14:paraId="4B93859D">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判权</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5BC7E4AA">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第二谈判权</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51F676F4">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第三谈判权</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0D2CBE57">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第四谈判权</w:t>
            </w:r>
          </w:p>
        </w:tc>
      </w:tr>
      <w:tr w14:paraId="362D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58755D5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2777C4">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（九）赛事出版物广告插页（如有）</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88CA6D0">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2DEF05FC">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4A5DE07A">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551DBDF8">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7AC5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71" w:type="dxa"/>
            <w:vMerge w:val="restart"/>
            <w:tcBorders>
              <w:top w:val="nil"/>
              <w:left w:val="single" w:color="auto" w:sz="4" w:space="0"/>
              <w:bottom w:val="single" w:color="auto" w:sz="4" w:space="0"/>
              <w:right w:val="single" w:color="auto" w:sz="4" w:space="0"/>
            </w:tcBorders>
            <w:shd w:val="clear" w:color="auto" w:fill="auto"/>
            <w:vAlign w:val="center"/>
          </w:tcPr>
          <w:p w14:paraId="647ED60F">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五、现场展示</w:t>
            </w: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847FB7">
            <w:pPr>
              <w:keepNext w:val="0"/>
              <w:keepLines w:val="0"/>
              <w:widowControl/>
              <w:suppressLineNumbers w:val="0"/>
              <w:autoSpaceDE w:val="0"/>
              <w:autoSpaceDN w:val="0"/>
              <w:adjustRightInd w:val="0"/>
              <w:spacing w:before="0" w:beforeAutospacing="0" w:after="0" w:afterAutospacing="0"/>
              <w:ind w:left="0" w:right="0" w:firstLine="90" w:firstLineChars="5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（一）赛时场馆现场售卖</w:t>
            </w:r>
          </w:p>
          <w:p w14:paraId="5877471E">
            <w:pPr>
              <w:keepNext w:val="0"/>
              <w:keepLines w:val="0"/>
              <w:widowControl/>
              <w:suppressLineNumbers w:val="0"/>
              <w:autoSpaceDE w:val="0"/>
              <w:autoSpaceDN w:val="0"/>
              <w:adjustRightInd w:val="0"/>
              <w:spacing w:before="0" w:beforeAutospacing="0" w:after="0" w:afterAutospacing="0"/>
              <w:ind w:left="0" w:right="0" w:firstLine="90" w:firstLineChars="5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（赛时，如有，成本自行承担）</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A9AAA60">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7DF1233">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谈判权</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31554741">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3A4EA83C">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3CE8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149CF62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401B4E">
            <w:pPr>
              <w:keepNext w:val="0"/>
              <w:keepLines w:val="0"/>
              <w:widowControl/>
              <w:suppressLineNumbers w:val="0"/>
              <w:autoSpaceDE w:val="0"/>
              <w:autoSpaceDN w:val="0"/>
              <w:adjustRightInd w:val="0"/>
              <w:spacing w:before="0" w:beforeAutospacing="0" w:after="0" w:afterAutospacing="0"/>
              <w:ind w:left="0" w:right="0" w:firstLine="90" w:firstLineChars="5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（二）赛时场馆现场展示</w:t>
            </w:r>
          </w:p>
          <w:p w14:paraId="22630C0F">
            <w:pPr>
              <w:keepNext w:val="0"/>
              <w:keepLines w:val="0"/>
              <w:widowControl/>
              <w:suppressLineNumbers w:val="0"/>
              <w:autoSpaceDE w:val="0"/>
              <w:autoSpaceDN w:val="0"/>
              <w:adjustRightInd w:val="0"/>
              <w:spacing w:before="0" w:beforeAutospacing="0" w:after="0" w:afterAutospacing="0"/>
              <w:ind w:left="0" w:right="0" w:firstLine="90" w:firstLineChars="5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（赛时，如有，成本自行承担）</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58BF0FB">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780FF33F">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139D1115">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350C46F5">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4208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71" w:type="dxa"/>
            <w:vMerge w:val="restart"/>
            <w:tcBorders>
              <w:top w:val="nil"/>
              <w:left w:val="single" w:color="auto" w:sz="4" w:space="0"/>
              <w:bottom w:val="single" w:color="auto" w:sz="4" w:space="0"/>
              <w:right w:val="single" w:color="auto" w:sz="4" w:space="0"/>
            </w:tcBorders>
            <w:shd w:val="clear" w:color="auto" w:fill="auto"/>
            <w:vAlign w:val="center"/>
          </w:tcPr>
          <w:p w14:paraId="44E555F8">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六、活动和公关</w:t>
            </w: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3BD382">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（一）火炬接力名额（活动周期内，如有）</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A887C44">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2E0FCB47">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322BD0C8">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38F98AE0">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r>
      <w:tr w14:paraId="6A1B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1DBDBC1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D75833">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（二）受邀出席组委会官方主题活动</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B3BB4F3">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7B77EADF">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678A0660">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2A858967">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r>
      <w:tr w14:paraId="698B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63E1DBE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A54E70">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（三）官方公关推广活动赞助优先谈判权</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1D7FC9C">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第一谈</w:t>
            </w:r>
          </w:p>
          <w:p w14:paraId="434BB1A2">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判权</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4BE60597">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第二谈判权</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618CF530">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第三谈判权</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0F68B7DD">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第四谈判权</w:t>
            </w:r>
          </w:p>
        </w:tc>
      </w:tr>
      <w:tr w14:paraId="2026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3C1883C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C40768">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（四）</w:t>
            </w:r>
            <w:bookmarkStart w:id="152" w:name="_Hlk534654056"/>
            <w:r>
              <w:rPr>
                <w:rFonts w:hint="eastAsia" w:ascii="仿宋_GB2312" w:hAnsi="Times New Roman" w:eastAsia="仿宋_GB2312" w:cs="仿宋_GB2312"/>
                <w:color w:val="auto"/>
                <w:kern w:val="0"/>
                <w:sz w:val="18"/>
                <w:szCs w:val="18"/>
                <w:highlight w:val="none"/>
                <w:lang w:val="en-US" w:eastAsia="zh-CN" w:bidi="ar"/>
              </w:rPr>
              <w:t>企业</w:t>
            </w:r>
            <w:bookmarkEnd w:id="152"/>
            <w:r>
              <w:rPr>
                <w:rFonts w:hint="eastAsia" w:ascii="仿宋_GB2312" w:hAnsi="Times New Roman" w:eastAsia="仿宋_GB2312" w:cs="仿宋_GB2312"/>
                <w:color w:val="auto"/>
                <w:kern w:val="0"/>
                <w:sz w:val="18"/>
                <w:szCs w:val="18"/>
                <w:highlight w:val="none"/>
                <w:lang w:val="en-US" w:eastAsia="zh-CN" w:bidi="ar"/>
              </w:rPr>
              <w:t>专属宣传机会（费用自付）</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EBBB414">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谈判权</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4CC58660">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谈判权</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71291367">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5E49DEC3">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066A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71" w:type="dxa"/>
            <w:vMerge w:val="restart"/>
            <w:tcBorders>
              <w:top w:val="nil"/>
              <w:left w:val="single" w:color="auto" w:sz="4" w:space="0"/>
              <w:bottom w:val="single" w:color="auto" w:sz="4" w:space="0"/>
              <w:right w:val="single" w:color="auto" w:sz="4" w:space="0"/>
            </w:tcBorders>
            <w:shd w:val="clear" w:color="auto" w:fill="auto"/>
            <w:vAlign w:val="center"/>
          </w:tcPr>
          <w:p w14:paraId="34D6196D">
            <w:pPr>
              <w:keepNext w:val="0"/>
              <w:keepLines w:val="0"/>
              <w:widowControl/>
              <w:numPr>
                <w:ilvl w:val="0"/>
                <w:numId w:val="1"/>
              </w:numPr>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市场开发支持</w:t>
            </w: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5591D4">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（一）受邀参加赞助企业研讨会</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1E14464">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7041569B">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06CC4C1F">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5FEBF757">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r>
      <w:tr w14:paraId="6C04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4D2776C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DA0E12">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（二）获得组委会出版物</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449DE81">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556FEDCE">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509D5673">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50739424">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r>
      <w:tr w14:paraId="7BC0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71" w:type="dxa"/>
            <w:vMerge w:val="restart"/>
            <w:tcBorders>
              <w:top w:val="nil"/>
              <w:left w:val="single" w:color="auto" w:sz="4" w:space="0"/>
              <w:bottom w:val="single" w:color="auto" w:sz="4" w:space="0"/>
              <w:right w:val="single" w:color="auto" w:sz="4" w:space="0"/>
            </w:tcBorders>
            <w:shd w:val="clear" w:color="auto" w:fill="auto"/>
            <w:vAlign w:val="center"/>
          </w:tcPr>
          <w:p w14:paraId="01A698FD">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八、款待计划</w:t>
            </w: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188E2D">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（一）开、闭幕式贵宾票权益票</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BFDAFC9">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A5E27AC">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4046FA72">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6E249592">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r>
      <w:tr w14:paraId="1225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36828BA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B977A7">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（二）开、闭幕式普通票权益票</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6CED060">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4ECF360E">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17D41D1D">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0410D047">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r>
      <w:tr w14:paraId="18EF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08E0C6B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D7E4BF">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（三）单项比赛门票权益票（每日最高限额，具体场次待协商）</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C0335CF">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172F74E">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2DCA3ADB">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53B930A4">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r>
      <w:tr w14:paraId="532E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10630B9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C92723">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（四）额外门票的优先购买权（如有）</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E0E5B84">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第一谈</w:t>
            </w:r>
          </w:p>
          <w:p w14:paraId="19BB3980">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判权</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A0C22D3">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第二谈判权</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6E8EB654">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第三谈判权</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3FD9872D">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第四谈判权</w:t>
            </w:r>
          </w:p>
        </w:tc>
      </w:tr>
      <w:tr w14:paraId="36E9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491A468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7B7FB7">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（五）酒店房间数量（费用自付）</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98B30D7">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85F6645">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40F97D96">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5D6030F7">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r>
      <w:tr w14:paraId="113A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0F9DBCB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F9FF65">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（六）额外房间的租用优先权（如有, 费用自付）</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EBB6FD9">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第一谈</w:t>
            </w:r>
          </w:p>
          <w:p w14:paraId="7C4F8C1D">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判权</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2D9EAB38">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第二谈判权</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08491824">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第三谈判权</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31EC6105">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第四谈判权</w:t>
            </w:r>
          </w:p>
        </w:tc>
      </w:tr>
      <w:tr w14:paraId="46DB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319C346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AE2DD2">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（七）组委会款待设施预定权（额外付费）</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A627911">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第一谈</w:t>
            </w:r>
          </w:p>
          <w:p w14:paraId="1DB9BADD">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判权</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54A2E357">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第二谈判权</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4DF2F97A">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第三谈判权</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65D0722F">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第四谈判权</w:t>
            </w:r>
          </w:p>
        </w:tc>
      </w:tr>
      <w:tr w14:paraId="73D8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29E1B3A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61EC52E">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（八）VIP证件（赛时）</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EA9817D">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E0920AA">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谈判权</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0D7247CD">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0AE19408">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7EAF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20537F5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969CCC">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（九）工作证件（赛时）</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B6E3434">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7EE5F482">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24FA34C6">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6D945CA9">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r>
      <w:tr w14:paraId="3213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14:paraId="4DA7D2C6">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九、反隐性营销</w:t>
            </w: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D40FA3">
            <w:pPr>
              <w:keepNext w:val="0"/>
              <w:keepLines w:val="0"/>
              <w:widowControl/>
              <w:suppressLineNumbers w:val="0"/>
              <w:autoSpaceDE w:val="0"/>
              <w:autoSpaceDN w:val="0"/>
              <w:adjustRightInd w:val="0"/>
              <w:spacing w:before="0" w:beforeAutospacing="0" w:after="0" w:afterAutospacing="0"/>
              <w:ind w:left="0" w:right="0" w:firstLine="90" w:firstLineChars="5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参与组委会反隐性营销计划并受到保护</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0142988">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0CC825B">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72D6E6C5">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780DCB80">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r>
      <w:tr w14:paraId="4394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restart"/>
            <w:tcBorders>
              <w:top w:val="nil"/>
              <w:left w:val="single" w:color="auto" w:sz="4" w:space="0"/>
              <w:bottom w:val="single" w:color="auto" w:sz="4" w:space="0"/>
              <w:right w:val="single" w:color="auto" w:sz="4" w:space="0"/>
            </w:tcBorders>
            <w:shd w:val="clear" w:color="auto" w:fill="auto"/>
            <w:vAlign w:val="center"/>
          </w:tcPr>
          <w:p w14:paraId="0500A83E">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十、荣誉待遇</w:t>
            </w: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FCAEACD">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（一）</w:t>
            </w:r>
            <w:bookmarkStart w:id="153" w:name="_Hlk534659248"/>
            <w:r>
              <w:rPr>
                <w:rFonts w:hint="eastAsia" w:ascii="仿宋_GB2312" w:hAnsi="Times New Roman" w:eastAsia="仿宋_GB2312" w:cs="仿宋_GB2312"/>
                <w:color w:val="auto"/>
                <w:kern w:val="0"/>
                <w:sz w:val="18"/>
                <w:szCs w:val="18"/>
                <w:highlight w:val="none"/>
                <w:lang w:val="en-US" w:eastAsia="zh-CN" w:bidi="ar"/>
              </w:rPr>
              <w:t>十五运合作伙伴俱乐部成员</w:t>
            </w:r>
            <w:bookmarkEnd w:id="153"/>
            <w:r>
              <w:rPr>
                <w:rFonts w:hint="eastAsia" w:ascii="仿宋_GB2312" w:hAnsi="Times New Roman" w:eastAsia="仿宋_GB2312" w:cs="仿宋_GB2312"/>
                <w:color w:val="auto"/>
                <w:kern w:val="0"/>
                <w:sz w:val="18"/>
                <w:szCs w:val="18"/>
                <w:highlight w:val="none"/>
                <w:lang w:val="en-US" w:eastAsia="zh-CN" w:bidi="ar"/>
              </w:rPr>
              <w:t>（可得到提供给相同层级商业伙伴的一般性其他任何服务机会）</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1FFFE5A">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DE2EE28">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658D1EAA">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2EA8BE01">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4A01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58C97A6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5FD054">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（二）签约仪式</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62E5ECA">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8FF6871">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6A836A3D">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270E9BCE">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76F2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553A8F3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3F596B">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（三）全运接待中心（如有）</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D46E953">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2EDB7553">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2FADCC3F">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5E0A92FB">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4876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7393D8C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F96109">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（四）赛事官方报告（赛后）</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03C4387">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4CAB690B">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2877BC61">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074687D7">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r>
      <w:tr w14:paraId="5E25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44CAB95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F53411">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（五）对社会效果突出的企业营销活动给予表彰</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59E5FE4">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7DD59276">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72B0EC28">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6864F038">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r>
      <w:tr w14:paraId="612C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6DD6C1E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081DCD">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（六）赛会资源供需对接（如可行）</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3303ED5">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EFC1AB4">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61684E3E">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1AB154A9">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r w14:paraId="7CDB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tcBorders>
              <w:top w:val="single" w:color="auto" w:sz="4" w:space="0"/>
              <w:left w:val="single" w:color="auto" w:sz="4" w:space="0"/>
              <w:bottom w:val="single" w:color="auto" w:sz="4" w:space="0"/>
              <w:right w:val="single" w:color="auto" w:sz="4" w:space="0"/>
            </w:tcBorders>
            <w:shd w:val="clear" w:color="auto" w:fill="auto"/>
            <w:vAlign w:val="top"/>
          </w:tcPr>
          <w:p w14:paraId="3C8903CF">
            <w:pPr>
              <w:keepNext w:val="0"/>
              <w:keepLines w:val="0"/>
              <w:widowControl/>
              <w:suppressLineNumbers w:val="0"/>
              <w:autoSpaceDE w:val="0"/>
              <w:autoSpaceDN w:val="0"/>
              <w:adjustRightInd w:val="0"/>
              <w:spacing w:before="0" w:beforeAutospacing="0" w:after="0" w:afterAutospacing="0"/>
              <w:ind w:left="540" w:right="0" w:hanging="540" w:hangingChars="30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十一、特许经营权</w:t>
            </w:r>
          </w:p>
        </w:tc>
        <w:tc>
          <w:tcPr>
            <w:tcW w:w="39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403448">
            <w:pPr>
              <w:keepNext w:val="0"/>
              <w:keepLines w:val="0"/>
              <w:widowControl/>
              <w:suppressLineNumbers w:val="0"/>
              <w:autoSpaceDE w:val="0"/>
              <w:autoSpaceDN w:val="0"/>
              <w:adjustRightInd w:val="0"/>
              <w:spacing w:before="0" w:beforeAutospacing="0" w:after="0" w:afterAutospacing="0"/>
              <w:ind w:left="0" w:right="0"/>
              <w:jc w:val="left"/>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与产品相关的特许经营权（额外支付特许权费）</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CB5DD65">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有</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2E57526E">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13368D25">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653991EC">
            <w:pPr>
              <w:keepNext w:val="0"/>
              <w:keepLines w:val="0"/>
              <w:widowControl/>
              <w:suppressLineNumbers w:val="0"/>
              <w:autoSpaceDE w:val="0"/>
              <w:autoSpaceDN w:val="0"/>
              <w:adjustRightInd w:val="0"/>
              <w:spacing w:before="0" w:beforeAutospacing="0" w:after="0" w:afterAutospacing="0"/>
              <w:ind w:left="0" w:right="0"/>
              <w:jc w:val="center"/>
              <w:rPr>
                <w:rFonts w:hint="eastAsia" w:ascii="仿宋_GB2312" w:eastAsia="仿宋_GB2312" w:cs="仿宋"/>
                <w:color w:val="auto"/>
                <w:sz w:val="18"/>
                <w:szCs w:val="18"/>
                <w:highlight w:val="none"/>
              </w:rPr>
            </w:pPr>
            <w:r>
              <w:rPr>
                <w:rFonts w:hint="eastAsia" w:ascii="仿宋_GB2312" w:hAnsi="Times New Roman" w:eastAsia="仿宋_GB2312" w:cs="仿宋_GB2312"/>
                <w:color w:val="auto"/>
                <w:kern w:val="0"/>
                <w:sz w:val="18"/>
                <w:szCs w:val="18"/>
                <w:highlight w:val="none"/>
                <w:lang w:val="en-US" w:eastAsia="zh-CN" w:bidi="ar"/>
              </w:rPr>
              <w:t>无</w:t>
            </w:r>
          </w:p>
        </w:tc>
      </w:tr>
    </w:tbl>
    <w:p w14:paraId="490BA3C2">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Cs/>
          <w:color w:val="auto"/>
          <w:szCs w:val="21"/>
          <w:highlight w:val="none"/>
          <w:lang w:bidi="ar"/>
        </w:rPr>
      </w:pPr>
      <w:r>
        <w:rPr>
          <w:rFonts w:hint="eastAsia" w:ascii="宋体" w:hAnsi="宋体" w:eastAsia="宋体" w:cs="宋体"/>
          <w:b/>
          <w:bCs w:val="0"/>
          <w:color w:val="auto"/>
          <w:sz w:val="21"/>
          <w:szCs w:val="21"/>
          <w:highlight w:val="none"/>
          <w:lang w:bidi="ar"/>
        </w:rPr>
        <w:t>注:</w:t>
      </w:r>
      <w:r>
        <w:rPr>
          <w:rFonts w:hint="eastAsia" w:ascii="宋体" w:hAnsi="宋体" w:eastAsia="宋体" w:cs="宋体"/>
          <w:bCs/>
          <w:color w:val="auto"/>
          <w:szCs w:val="21"/>
          <w:highlight w:val="none"/>
          <w:lang w:bidi="ar"/>
        </w:rPr>
        <w:t>在本项目中，中标企业通过签订赞助协议成为赞助企业，如赞助金额达到十五运会广东区独家供应商层级及以上，将取得相应的赞助层级权益，享有特定的类别排他权，所获授称谓需前缀“十五运会广州赛区省属场馆设备类/设施类”。</w:t>
      </w:r>
    </w:p>
    <w:p w14:paraId="16F666D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类别排他权是指，以特定类别产品排除任何其他非赞助企业与十五运会相关联进行市场宣传的</w:t>
      </w:r>
      <w:r>
        <w:rPr>
          <w:rFonts w:hint="eastAsia" w:ascii="宋体" w:hAnsi="宋体" w:eastAsia="宋体" w:cs="宋体"/>
          <w:bCs/>
          <w:color w:val="auto"/>
          <w:szCs w:val="21"/>
          <w:highlight w:val="none"/>
          <w:lang w:val="en-US" w:eastAsia="zh-CN" w:bidi="ar"/>
        </w:rPr>
        <w:t>权益</w:t>
      </w:r>
      <w:bookmarkStart w:id="154" w:name="_GoBack"/>
      <w:bookmarkEnd w:id="154"/>
      <w:r>
        <w:rPr>
          <w:rFonts w:hint="eastAsia" w:ascii="宋体" w:hAnsi="宋体" w:eastAsia="宋体" w:cs="宋体"/>
          <w:bCs/>
          <w:color w:val="auto"/>
          <w:szCs w:val="21"/>
          <w:highlight w:val="none"/>
          <w:lang w:bidi="ar"/>
        </w:rPr>
        <w:t>，并有权在指定区域的限定使用场景中排除其他任何非赞助企业同类产品在赞助提供的VIK(现金等价物)额度内的使用。</w:t>
      </w:r>
    </w:p>
    <w:p w14:paraId="004F81C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val="0"/>
          <w:bCs/>
          <w:color w:val="auto"/>
          <w:sz w:val="21"/>
          <w:szCs w:val="21"/>
          <w:highlight w:val="none"/>
          <w:lang w:bidi="ar"/>
        </w:rPr>
      </w:pPr>
      <w:r>
        <w:rPr>
          <w:rFonts w:hint="eastAsia" w:ascii="宋体" w:hAnsi="宋体" w:eastAsia="宋体" w:cs="宋体"/>
          <w:bCs/>
          <w:color w:val="auto"/>
          <w:szCs w:val="21"/>
          <w:highlight w:val="none"/>
          <w:lang w:bidi="ar"/>
        </w:rPr>
        <w:t>十五运会省执委会指定的类别排他权区域为广东省奥林匹克体育中心体育场及广东省人民体育场内；限定使用场景为指定区域内纳入预算范围的体育工艺需求。在以上指定区域及场景中优先使用中标/赞助企业在约定赞助额度内的产品。</w:t>
      </w:r>
    </w:p>
    <w:p w14:paraId="73A460F0">
      <w:pPr>
        <w:keepNext w:val="0"/>
        <w:keepLines w:val="0"/>
        <w:widowControl w:val="0"/>
        <w:suppressLineNumbers w:val="0"/>
        <w:spacing w:before="0" w:beforeAutospacing="0" w:after="0" w:afterAutospacing="0" w:line="360" w:lineRule="auto"/>
        <w:ind w:left="0" w:right="0" w:firstLine="442" w:firstLineChars="200"/>
        <w:jc w:val="both"/>
        <w:rPr>
          <w:rFonts w:hint="eastAsia" w:ascii="宋体" w:hAnsi="宋体" w:eastAsia="宋体" w:cs="宋体"/>
          <w:b/>
          <w:bCs w:val="0"/>
          <w:color w:val="auto"/>
          <w:sz w:val="22"/>
          <w:szCs w:val="22"/>
          <w:highlight w:val="none"/>
          <w:lang w:bidi="ar"/>
        </w:rPr>
      </w:pPr>
    </w:p>
    <w:p w14:paraId="27ECE5D3">
      <w:pPr>
        <w:keepNext w:val="0"/>
        <w:keepLines w:val="0"/>
        <w:widowControl w:val="0"/>
        <w:suppressLineNumbers w:val="0"/>
        <w:spacing w:before="0" w:beforeAutospacing="0" w:after="0" w:afterAutospacing="0" w:line="360" w:lineRule="auto"/>
        <w:ind w:left="0" w:right="0"/>
        <w:jc w:val="both"/>
        <w:rPr>
          <w:rFonts w:hint="eastAsia" w:ascii="仿宋_GB2312" w:eastAsia="仿宋_GB2312" w:cs="仿宋_GB2312"/>
          <w:b/>
          <w:bCs w:val="0"/>
          <w:color w:val="auto"/>
          <w:kern w:val="2"/>
          <w:sz w:val="24"/>
          <w:szCs w:val="24"/>
          <w:highlight w:val="none"/>
        </w:rPr>
      </w:pPr>
      <w:r>
        <w:rPr>
          <w:rFonts w:hint="default" w:ascii="仿宋_GB2312" w:hAnsi="Calibri" w:eastAsia="仿宋_GB2312" w:cs="仿宋_GB2312"/>
          <w:b/>
          <w:bCs w:val="0"/>
          <w:color w:val="auto"/>
          <w:kern w:val="2"/>
          <w:sz w:val="24"/>
          <w:szCs w:val="24"/>
          <w:highlight w:val="none"/>
          <w:lang w:eastAsia="zh-CN" w:bidi="ar"/>
        </w:rPr>
        <w:t xml:space="preserve">附件2 </w:t>
      </w:r>
      <w:r>
        <w:rPr>
          <w:rFonts w:hint="eastAsia" w:ascii="仿宋_GB2312" w:hAnsi="Calibri" w:eastAsia="仿宋_GB2312" w:cs="仿宋_GB2312"/>
          <w:b/>
          <w:bCs w:val="0"/>
          <w:color w:val="auto"/>
          <w:kern w:val="2"/>
          <w:sz w:val="24"/>
          <w:szCs w:val="24"/>
          <w:highlight w:val="none"/>
          <w:lang w:val="en-US" w:eastAsia="zh-CN" w:bidi="ar"/>
        </w:rPr>
        <w:t>十五运会赞助层级设定</w:t>
      </w:r>
    </w:p>
    <w:p w14:paraId="7A59250C">
      <w:pPr>
        <w:pStyle w:val="8"/>
        <w:keepNext w:val="0"/>
        <w:keepLines w:val="0"/>
        <w:widowControl w:val="0"/>
        <w:suppressLineNumbers w:val="0"/>
        <w:spacing w:before="0" w:beforeAutospacing="0" w:after="0" w:afterAutospacing="0" w:line="360" w:lineRule="auto"/>
        <w:ind w:left="0" w:right="0"/>
        <w:jc w:val="both"/>
        <w:rPr>
          <w:rFonts w:hint="eastAsia" w:ascii="仿宋_GB2312" w:eastAsia="仿宋_GB2312" w:cs="仿宋_GB2312"/>
          <w:b w:val="0"/>
          <w:color w:val="auto"/>
          <w:kern w:val="2"/>
          <w:sz w:val="24"/>
          <w:szCs w:val="24"/>
          <w:highlight w:val="none"/>
        </w:rPr>
      </w:pPr>
      <w:r>
        <w:rPr>
          <w:rFonts w:hint="eastAsia" w:ascii="仿宋_GB2312" w:hAnsi="Calibri" w:eastAsia="仿宋_GB2312" w:cs="仿宋_GB2312"/>
          <w:b w:val="0"/>
          <w:color w:val="auto"/>
          <w:kern w:val="2"/>
          <w:sz w:val="24"/>
          <w:szCs w:val="24"/>
          <w:highlight w:val="none"/>
          <w:lang w:val="en-US" w:eastAsia="zh-CN" w:bidi="ar"/>
        </w:rPr>
        <w:t>十五运会赞助企业设定为四个层级，对应基准价包括现金和现金等价物，分别是：</w:t>
      </w:r>
    </w:p>
    <w:p w14:paraId="73F64CF2">
      <w:pPr>
        <w:pStyle w:val="8"/>
        <w:keepNext w:val="0"/>
        <w:keepLines w:val="0"/>
        <w:widowControl w:val="0"/>
        <w:suppressLineNumbers w:val="0"/>
        <w:spacing w:before="0" w:beforeAutospacing="0" w:after="0" w:afterAutospacing="0" w:line="360" w:lineRule="auto"/>
        <w:ind w:left="0" w:right="0"/>
        <w:jc w:val="both"/>
        <w:rPr>
          <w:rFonts w:hint="eastAsia" w:ascii="仿宋_GB2312" w:eastAsia="仿宋_GB2312" w:cs="仿宋_GB2312"/>
          <w:b w:val="0"/>
          <w:color w:val="auto"/>
          <w:kern w:val="2"/>
          <w:sz w:val="24"/>
          <w:szCs w:val="24"/>
          <w:highlight w:val="none"/>
        </w:rPr>
      </w:pPr>
      <w:r>
        <w:rPr>
          <w:rFonts w:hint="eastAsia" w:ascii="仿宋_GB2312" w:hAnsi="Calibri" w:eastAsia="仿宋_GB2312" w:cs="仿宋_GB2312"/>
          <w:b w:val="0"/>
          <w:color w:val="auto"/>
          <w:kern w:val="2"/>
          <w:sz w:val="24"/>
          <w:szCs w:val="24"/>
          <w:highlight w:val="none"/>
          <w:lang w:val="en-US" w:eastAsia="zh-CN" w:bidi="ar"/>
        </w:rPr>
        <w:t>第一层级：合作伙伴，赞助基准价不低于1.5亿元</w:t>
      </w:r>
    </w:p>
    <w:p w14:paraId="468E32EF">
      <w:pPr>
        <w:pStyle w:val="8"/>
        <w:keepNext w:val="0"/>
        <w:keepLines w:val="0"/>
        <w:widowControl w:val="0"/>
        <w:suppressLineNumbers w:val="0"/>
        <w:spacing w:before="0" w:beforeAutospacing="0" w:after="0" w:afterAutospacing="0" w:line="360" w:lineRule="auto"/>
        <w:ind w:left="0" w:right="0"/>
        <w:jc w:val="both"/>
        <w:rPr>
          <w:rFonts w:hint="eastAsia" w:ascii="仿宋_GB2312" w:eastAsia="仿宋_GB2312" w:cs="仿宋_GB2312"/>
          <w:b w:val="0"/>
          <w:color w:val="auto"/>
          <w:kern w:val="2"/>
          <w:sz w:val="24"/>
          <w:szCs w:val="24"/>
          <w:highlight w:val="none"/>
        </w:rPr>
      </w:pPr>
      <w:r>
        <w:rPr>
          <w:rFonts w:hint="eastAsia" w:ascii="仿宋_GB2312" w:hAnsi="Calibri" w:eastAsia="仿宋_GB2312" w:cs="仿宋_GB2312"/>
          <w:b w:val="0"/>
          <w:color w:val="auto"/>
          <w:kern w:val="2"/>
          <w:sz w:val="24"/>
          <w:szCs w:val="24"/>
          <w:highlight w:val="none"/>
          <w:lang w:val="en-US" w:eastAsia="zh-CN" w:bidi="ar"/>
        </w:rPr>
        <w:t>第二层级：赞助商，赞助基准价不低于3000万元</w:t>
      </w:r>
    </w:p>
    <w:p w14:paraId="235E7BFE">
      <w:pPr>
        <w:pStyle w:val="8"/>
        <w:keepNext w:val="0"/>
        <w:keepLines w:val="0"/>
        <w:widowControl w:val="0"/>
        <w:suppressLineNumbers w:val="0"/>
        <w:spacing w:before="0" w:beforeAutospacing="0" w:after="0" w:afterAutospacing="0" w:line="360" w:lineRule="auto"/>
        <w:ind w:left="0" w:right="0"/>
        <w:jc w:val="both"/>
        <w:rPr>
          <w:rFonts w:hint="eastAsia" w:ascii="仿宋_GB2312" w:eastAsia="仿宋_GB2312" w:cs="仿宋_GB2312"/>
          <w:b w:val="0"/>
          <w:color w:val="auto"/>
          <w:kern w:val="2"/>
          <w:sz w:val="24"/>
          <w:szCs w:val="24"/>
          <w:highlight w:val="none"/>
        </w:rPr>
      </w:pPr>
      <w:r>
        <w:rPr>
          <w:rFonts w:hint="eastAsia" w:ascii="仿宋_GB2312" w:hAnsi="Calibri" w:eastAsia="仿宋_GB2312" w:cs="仿宋_GB2312"/>
          <w:b w:val="0"/>
          <w:color w:val="auto"/>
          <w:kern w:val="2"/>
          <w:sz w:val="24"/>
          <w:szCs w:val="24"/>
          <w:highlight w:val="none"/>
          <w:lang w:val="en-US" w:eastAsia="zh-CN" w:bidi="ar"/>
        </w:rPr>
        <w:t>第三层级：独家供应商，赞助基准价不低于1000万元</w:t>
      </w:r>
    </w:p>
    <w:p w14:paraId="7D5E9E8C">
      <w:pPr>
        <w:pStyle w:val="8"/>
        <w:keepNext w:val="0"/>
        <w:keepLines w:val="0"/>
        <w:widowControl w:val="0"/>
        <w:suppressLineNumbers w:val="0"/>
        <w:spacing w:before="0" w:beforeAutospacing="0" w:after="0" w:afterAutospacing="0" w:line="360" w:lineRule="auto"/>
        <w:ind w:left="0" w:right="0"/>
        <w:jc w:val="both"/>
        <w:rPr>
          <w:rFonts w:hint="eastAsia" w:ascii="仿宋_GB2312" w:eastAsia="仿宋_GB2312" w:cs="仿宋_GB2312"/>
          <w:b w:val="0"/>
          <w:color w:val="auto"/>
          <w:kern w:val="2"/>
          <w:sz w:val="24"/>
          <w:szCs w:val="24"/>
          <w:highlight w:val="none"/>
        </w:rPr>
      </w:pPr>
      <w:r>
        <w:rPr>
          <w:rFonts w:hint="eastAsia" w:ascii="仿宋_GB2312" w:hAnsi="Calibri" w:eastAsia="仿宋_GB2312" w:cs="仿宋_GB2312"/>
          <w:b w:val="0"/>
          <w:color w:val="auto"/>
          <w:kern w:val="2"/>
          <w:sz w:val="24"/>
          <w:szCs w:val="24"/>
          <w:highlight w:val="none"/>
          <w:lang w:val="en-US" w:eastAsia="zh-CN" w:bidi="ar"/>
        </w:rPr>
        <w:t>第四层级：供应商，赞助基准价不低于500万元</w:t>
      </w:r>
    </w:p>
    <w:p w14:paraId="1BF69740">
      <w:pPr>
        <w:keepNext w:val="0"/>
        <w:keepLines w:val="0"/>
        <w:widowControl w:val="0"/>
        <w:suppressLineNumbers w:val="0"/>
        <w:spacing w:before="0" w:beforeAutospacing="0" w:after="0" w:afterAutospacing="0" w:line="360" w:lineRule="auto"/>
        <w:ind w:left="0" w:right="0" w:firstLine="0" w:firstLineChars="0"/>
        <w:jc w:val="both"/>
        <w:rPr>
          <w:rFonts w:hint="default" w:ascii="宋体" w:hAnsi="宋体" w:eastAsia="宋体" w:cs="宋体"/>
          <w:color w:val="auto"/>
          <w:kern w:val="0"/>
          <w:sz w:val="32"/>
          <w:szCs w:val="32"/>
          <w:highlight w:val="none"/>
          <w:lang w:eastAsia="zh-CN" w:bidi="ar"/>
        </w:rPr>
      </w:pPr>
    </w:p>
    <w:p w14:paraId="2E31C868">
      <w:pPr>
        <w:keepNext w:val="0"/>
        <w:keepLines w:val="0"/>
        <w:widowControl w:val="0"/>
        <w:suppressLineNumbers w:val="0"/>
        <w:spacing w:before="0" w:beforeAutospacing="0" w:after="0" w:afterAutospacing="0" w:line="360" w:lineRule="auto"/>
        <w:ind w:left="0" w:right="0" w:firstLine="0" w:firstLineChars="0"/>
        <w:jc w:val="both"/>
        <w:rPr>
          <w:rFonts w:hint="default" w:ascii="宋体" w:hAnsi="宋体" w:eastAsia="宋体" w:cs="宋体"/>
          <w:color w:val="auto"/>
          <w:kern w:val="0"/>
          <w:sz w:val="32"/>
          <w:szCs w:val="32"/>
          <w:highlight w:val="none"/>
          <w:lang w:eastAsia="zh-CN" w:bidi="ar"/>
        </w:rPr>
      </w:pPr>
    </w:p>
    <w:p w14:paraId="7680091D">
      <w:pPr>
        <w:keepNext w:val="0"/>
        <w:keepLines w:val="0"/>
        <w:widowControl w:val="0"/>
        <w:suppressLineNumbers w:val="0"/>
        <w:spacing w:before="0" w:beforeAutospacing="0" w:after="0" w:afterAutospacing="0" w:line="360" w:lineRule="auto"/>
        <w:ind w:left="0" w:right="0" w:firstLine="0" w:firstLineChars="0"/>
        <w:jc w:val="both"/>
        <w:rPr>
          <w:rFonts w:hint="default" w:ascii="宋体" w:hAnsi="宋体" w:eastAsia="宋体" w:cs="宋体"/>
          <w:color w:val="auto"/>
          <w:kern w:val="0"/>
          <w:sz w:val="32"/>
          <w:szCs w:val="32"/>
          <w:highlight w:val="none"/>
          <w:lang w:eastAsia="zh-CN" w:bidi="ar"/>
        </w:rPr>
      </w:pPr>
    </w:p>
    <w:p w14:paraId="5C1A71B2">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color w:val="auto"/>
          <w:kern w:val="0"/>
          <w:sz w:val="32"/>
          <w:szCs w:val="32"/>
          <w:highlight w:val="none"/>
          <w:lang w:bidi="ar"/>
        </w:rPr>
      </w:pPr>
      <w:r>
        <w:rPr>
          <w:rFonts w:hint="default" w:ascii="宋体" w:hAnsi="宋体" w:eastAsia="宋体" w:cs="宋体"/>
          <w:color w:val="auto"/>
          <w:kern w:val="0"/>
          <w:sz w:val="32"/>
          <w:szCs w:val="32"/>
          <w:highlight w:val="none"/>
          <w:lang w:eastAsia="zh-CN" w:bidi="ar"/>
        </w:rPr>
        <w:t>八、</w:t>
      </w:r>
      <w:r>
        <w:rPr>
          <w:rFonts w:hint="default" w:ascii="宋体" w:hAnsi="宋体" w:eastAsia="宋体" w:cs="宋体"/>
          <w:color w:val="auto"/>
          <w:kern w:val="0"/>
          <w:sz w:val="32"/>
          <w:szCs w:val="32"/>
          <w:highlight w:val="none"/>
          <w:lang w:val="en-US" w:eastAsia="zh-CN" w:bidi="ar"/>
        </w:rPr>
        <w:t>投标人认为需要提供的其他资料</w:t>
      </w:r>
    </w:p>
    <w:p w14:paraId="081781E4">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MS Mincho">
    <w:altName w:val="Arial"/>
    <w:panose1 w:val="00000000000000000000"/>
    <w:charset w:val="00"/>
    <w:family w:val="auto"/>
    <w:pitch w:val="default"/>
    <w:sig w:usb0="00000000" w:usb1="00000000" w:usb2="00000000" w:usb3="00000000" w:csb0="00000000" w:csb1="00000000"/>
  </w:font>
  <w:font w:name="MT Extra">
    <w:panose1 w:val="05050102010205020202"/>
    <w:charset w:val="00"/>
    <w:family w:val="auto"/>
    <w:pitch w:val="default"/>
    <w:sig w:usb0="8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DCE91">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E0780">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5E371">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32D6">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AF2C6"/>
    <w:multiLevelType w:val="multilevel"/>
    <w:tmpl w:val="BEBAF2C6"/>
    <w:lvl w:ilvl="0" w:tentative="0">
      <w:start w:val="7"/>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108C6E46"/>
    <w:rsid w:val="1E4853C1"/>
    <w:rsid w:val="1FB060A5"/>
    <w:rsid w:val="6A14417F"/>
    <w:rsid w:val="6B980FF3"/>
    <w:rsid w:val="6BE5703D"/>
    <w:rsid w:val="71A57726"/>
    <w:rsid w:val="781A71BD"/>
    <w:rsid w:val="7D896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widowControl w:val="0"/>
      <w:suppressLineNumbers w:val="0"/>
      <w:spacing w:before="340" w:beforeAutospacing="0" w:after="330" w:afterAutospacing="0" w:line="576" w:lineRule="auto"/>
      <w:jc w:val="both"/>
      <w:outlineLvl w:val="0"/>
    </w:pPr>
    <w:rPr>
      <w:rFonts w:hint="default" w:ascii="Times New Roman" w:hAnsi="Times New Roman" w:eastAsia="宋体" w:cs="Times New Roman"/>
      <w:b/>
      <w:kern w:val="44"/>
      <w:sz w:val="44"/>
      <w:szCs w:val="4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semiHidden/>
    <w:unhideWhenUsed/>
    <w:qFormat/>
    <w:uiPriority w:val="99"/>
    <w:pPr>
      <w:keepNext w:val="0"/>
      <w:keepLines w:val="0"/>
      <w:widowControl w:val="0"/>
      <w:suppressLineNumbers w:val="0"/>
      <w:spacing w:after="120" w:afterAutospacing="0"/>
      <w:jc w:val="both"/>
    </w:pPr>
    <w:rPr>
      <w:rFonts w:hint="default" w:ascii="Calibri" w:hAnsi="Calibri" w:cs="Calibri"/>
      <w:kern w:val="0"/>
      <w:sz w:val="20"/>
      <w:szCs w:val="20"/>
      <w:lang w:val="en-US" w:eastAsia="zh-CN" w:bidi="ar"/>
    </w:rPr>
  </w:style>
  <w:style w:type="paragraph" w:styleId="4">
    <w:name w:val="Plain Text"/>
    <w:basedOn w:val="1"/>
    <w:semiHidden/>
    <w:unhideWhenUsed/>
    <w:qFormat/>
    <w:uiPriority w:val="99"/>
    <w:pPr>
      <w:keepNext w:val="0"/>
      <w:keepLines w:val="0"/>
      <w:widowControl w:val="0"/>
      <w:suppressLineNumbers w:val="0"/>
      <w:spacing w:before="0" w:beforeAutospacing="0" w:after="0" w:afterAutospacing="0"/>
      <w:ind w:left="0" w:right="0"/>
      <w:jc w:val="both"/>
    </w:pPr>
    <w:rPr>
      <w:rFonts w:hint="eastAsia" w:ascii="宋体" w:hAnsi="Courier New" w:eastAsia="宋体" w:cs="宋体"/>
      <w:kern w:val="0"/>
      <w:sz w:val="20"/>
      <w:szCs w:val="20"/>
      <w:lang w:val="en-US" w:eastAsia="zh-CN" w:bidi="ar"/>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semiHidden/>
    <w:unhideWhenUsed/>
    <w:qFormat/>
    <w:uiPriority w:val="39"/>
    <w:pPr>
      <w:keepNext w:val="0"/>
      <w:keepLines w:val="0"/>
      <w:widowControl/>
      <w:suppressLineNumbers w:val="0"/>
      <w:spacing w:after="100" w:afterAutospacing="0" w:line="273" w:lineRule="auto"/>
      <w:jc w:val="left"/>
    </w:pPr>
    <w:rPr>
      <w:rFonts w:hint="default" w:ascii="Calibri" w:hAnsi="Calibri" w:eastAsia="宋体" w:cs="Times New Roman"/>
      <w:kern w:val="0"/>
      <w:sz w:val="22"/>
      <w:szCs w:val="22"/>
      <w:lang w:val="en-US" w:eastAsia="zh-CN" w:bidi="ar"/>
    </w:rPr>
  </w:style>
  <w:style w:type="paragraph" w:styleId="8">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9">
    <w:name w:val="Body Text First Indent 2"/>
    <w:semiHidden/>
    <w:unhideWhenUsed/>
    <w:qFormat/>
    <w:uiPriority w:val="99"/>
    <w:pPr>
      <w:keepNext w:val="0"/>
      <w:keepLines w:val="0"/>
      <w:widowControl w:val="0"/>
      <w:suppressLineNumbers w:val="0"/>
      <w:spacing w:after="120" w:afterAutospacing="0" w:line="240" w:lineRule="auto"/>
      <w:ind w:left="200" w:leftChars="200" w:firstLine="200" w:firstLineChars="200"/>
      <w:jc w:val="both"/>
    </w:pPr>
    <w:rPr>
      <w:rFonts w:hint="default" w:ascii="Calibri" w:hAnsi="Calibri" w:eastAsia="宋体" w:cs="Times New Roman"/>
      <w:kern w:val="2"/>
      <w:sz w:val="21"/>
      <w:szCs w:val="21"/>
      <w:lang w:val="en-US" w:eastAsia="zh-CN" w:bidi="ar"/>
    </w:rPr>
  </w:style>
  <w:style w:type="character" w:styleId="12">
    <w:name w:val="Hyperlink"/>
    <w:basedOn w:val="11"/>
    <w:semiHidden/>
    <w:unhideWhenUsed/>
    <w:qFormat/>
    <w:uiPriority w:val="99"/>
    <w:rPr>
      <w:color w:val="0000FF"/>
      <w:u w:val="single"/>
    </w:rPr>
  </w:style>
  <w:style w:type="paragraph" w:customStyle="1" w:styleId="13">
    <w:name w:val="Table Paragraph"/>
    <w:basedOn w:val="1"/>
    <w:hidden/>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77</Pages>
  <Words>30094</Words>
  <Characters>31386</Characters>
  <Lines>0</Lines>
  <Paragraphs>0</Paragraphs>
  <TotalTime>17</TotalTime>
  <ScaleCrop>false</ScaleCrop>
  <LinksUpToDate>false</LinksUpToDate>
  <CharactersWithSpaces>32257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2024-09-12T03:28:00Z</dcterms:created>
  <dc:creator>SHERRY</dc:creator>
  <cp:lastModifiedBy>kobekakaxi薛</cp:lastModifiedBy>
  <dcterms:modified xsi:type="dcterms:W3CDTF">2024-09-14T13:51:27Z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381656E8A1E543C4B206F2F2B0900F43_12</vt:lpwstr>
  </property>
</Properties>
</file>