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53CD4">
      <w:pPr>
        <w:spacing w:line="360" w:lineRule="auto"/>
        <w:jc w:val="center"/>
        <w:rPr>
          <w:rFonts w:hint="eastAsia" w:ascii="Times New Roman" w:hAnsi="Times New Roman" w:eastAsia="宋体" w:cs="Times New Roman"/>
          <w:b/>
          <w:bCs/>
          <w:kern w:val="44"/>
          <w:sz w:val="44"/>
          <w:szCs w:val="44"/>
          <w:highlight w:val="none"/>
          <w:lang w:val="en-US" w:eastAsia="zh-CN" w:bidi="ar-SA"/>
        </w:rPr>
      </w:pPr>
      <w:r>
        <w:rPr>
          <w:rFonts w:hint="eastAsia" w:ascii="Times New Roman" w:hAnsi="Times New Roman" w:eastAsia="宋体" w:cs="Times New Roman"/>
          <w:b/>
          <w:bCs/>
          <w:kern w:val="44"/>
          <w:sz w:val="44"/>
          <w:szCs w:val="44"/>
          <w:highlight w:val="none"/>
          <w:lang w:val="en-US" w:eastAsia="zh-CN" w:bidi="ar-SA"/>
        </w:rPr>
        <w:t>南方医科大学南方医院国家创伤区域医疗中心及门急诊改扩建项目</w:t>
      </w:r>
    </w:p>
    <w:p w14:paraId="6F5BF061">
      <w:pPr>
        <w:spacing w:line="360" w:lineRule="auto"/>
        <w:jc w:val="center"/>
        <w:rPr>
          <w:rFonts w:hint="eastAsia" w:ascii="Times New Roman" w:hAnsi="Times New Roman" w:eastAsia="宋体" w:cs="Times New Roman"/>
          <w:b/>
          <w:bCs/>
          <w:kern w:val="44"/>
          <w:sz w:val="44"/>
          <w:szCs w:val="44"/>
          <w:highlight w:val="none"/>
          <w:lang w:val="en-US" w:eastAsia="zh-CN" w:bidi="ar-SA"/>
        </w:rPr>
      </w:pPr>
      <w:r>
        <w:rPr>
          <w:rFonts w:hint="eastAsia" w:ascii="Times New Roman" w:hAnsi="Times New Roman" w:eastAsia="宋体" w:cs="Times New Roman"/>
          <w:b/>
          <w:bCs/>
          <w:kern w:val="44"/>
          <w:sz w:val="44"/>
          <w:szCs w:val="44"/>
          <w:highlight w:val="none"/>
          <w:lang w:val="en-US" w:eastAsia="zh-CN" w:bidi="ar-SA"/>
        </w:rPr>
        <w:t>《招标配套清单综合单价》</w:t>
      </w:r>
    </w:p>
    <w:p w14:paraId="337A4C52">
      <w:pPr>
        <w:pStyle w:val="2"/>
        <w:bidi w:val="0"/>
        <w:rPr>
          <w:rFonts w:hint="eastAsia" w:eastAsia="宋体"/>
          <w:highlight w:val="none"/>
          <w:lang w:val="en-US" w:eastAsia="zh-CN"/>
        </w:rPr>
      </w:pPr>
      <w:r>
        <w:rPr>
          <w:rFonts w:hint="eastAsia"/>
          <w:highlight w:val="none"/>
        </w:rPr>
        <w:t>编制</w:t>
      </w:r>
      <w:r>
        <w:rPr>
          <w:rFonts w:hint="eastAsia"/>
          <w:highlight w:val="none"/>
          <w:lang w:eastAsia="zh-CN"/>
        </w:rPr>
        <w:t>报告</w:t>
      </w:r>
    </w:p>
    <w:p w14:paraId="497C49E5">
      <w:pPr>
        <w:pStyle w:val="3"/>
        <w:keepNext/>
        <w:keepLines/>
        <w:pageBreakBefore w:val="0"/>
        <w:widowControl w:val="0"/>
        <w:kinsoku/>
        <w:wordWrap/>
        <w:overflowPunct/>
        <w:topLinePunct w:val="0"/>
        <w:autoSpaceDE/>
        <w:autoSpaceDN/>
        <w:bidi w:val="0"/>
        <w:adjustRightInd w:val="0"/>
        <w:snapToGrid w:val="0"/>
        <w:ind w:firstLine="643" w:firstLineChars="200"/>
        <w:textAlignment w:val="auto"/>
        <w:rPr>
          <w:rFonts w:hint="eastAsia"/>
          <w:highlight w:val="none"/>
        </w:rPr>
      </w:pPr>
      <w:r>
        <w:rPr>
          <w:rFonts w:hint="eastAsia"/>
          <w:highlight w:val="none"/>
        </w:rPr>
        <w:t>一、工程概况</w:t>
      </w:r>
    </w:p>
    <w:p w14:paraId="03384601">
      <w:pPr>
        <w:rPr>
          <w:rFonts w:hint="eastAsia"/>
          <w:highlight w:val="none"/>
        </w:rPr>
      </w:pPr>
      <w:r>
        <w:rPr>
          <w:rFonts w:hint="eastAsia"/>
          <w:highlight w:val="none"/>
        </w:rPr>
        <w:t>（</w:t>
      </w:r>
      <w:r>
        <w:rPr>
          <w:rFonts w:hint="eastAsia"/>
          <w:highlight w:val="none"/>
          <w:lang w:eastAsia="zh-CN"/>
        </w:rPr>
        <w:t>一</w:t>
      </w:r>
      <w:r>
        <w:rPr>
          <w:rFonts w:hint="eastAsia"/>
          <w:highlight w:val="none"/>
        </w:rPr>
        <w:t>）工程内容</w:t>
      </w:r>
    </w:p>
    <w:p w14:paraId="68CDBB27">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本项目占地面积1,975.00平方米，总建筑面积约6,649.73平方米，其中包括一栋地上4层及局部地下1层通道的医院建筑以及配套室外工程。其中，地上建筑面积为6,557.57平方米，用作急诊楼；地下建筑面积为92.16平方米，用于建设地下通道。包括土石方及基坑支护、建筑结构、装饰装修、室外园林绿化、室外道路、室内及室外给排水（含纯水系统）、电气、通风空调、消防、智能化、电梯、箱式物流系统、抗震支架工程、医气、洁净空调、火灾自动报警工程、标识标牌工程等。</w:t>
      </w:r>
    </w:p>
    <w:p w14:paraId="6ED11F8F">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（二）工程地点：广州市白云区。</w:t>
      </w:r>
    </w:p>
    <w:p w14:paraId="7F003468">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（三）实施单位</w:t>
      </w:r>
    </w:p>
    <w:p w14:paraId="4BF12A7A">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建设单位：广东省代建项目管理局；</w:t>
      </w:r>
    </w:p>
    <w:p w14:paraId="1444EB81">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设计单位：广东省建筑设计研究院有限公司。</w:t>
      </w:r>
    </w:p>
    <w:p w14:paraId="4F4FFB78">
      <w:pPr>
        <w:pStyle w:val="3"/>
        <w:keepNext/>
        <w:keepLines/>
        <w:pageBreakBefore w:val="0"/>
        <w:widowControl w:val="0"/>
        <w:kinsoku/>
        <w:wordWrap/>
        <w:overflowPunct/>
        <w:topLinePunct w:val="0"/>
        <w:autoSpaceDE/>
        <w:autoSpaceDN/>
        <w:bidi w:val="0"/>
        <w:adjustRightInd w:val="0"/>
        <w:snapToGrid w:val="0"/>
        <w:ind w:firstLine="643" w:firstLineChars="200"/>
        <w:textAlignment w:val="auto"/>
        <w:rPr>
          <w:rFonts w:hint="eastAsia"/>
          <w:highlight w:val="none"/>
          <w:lang w:eastAsia="zh-CN"/>
        </w:rPr>
      </w:pPr>
      <w:r>
        <w:rPr>
          <w:rFonts w:hint="eastAsia"/>
          <w:highlight w:val="none"/>
          <w:lang w:eastAsia="zh-CN"/>
        </w:rPr>
        <w:t>二、编制范围</w:t>
      </w:r>
    </w:p>
    <w:p w14:paraId="009F1C4B">
      <w:pPr>
        <w:pStyle w:val="3"/>
        <w:keepNext/>
        <w:keepLines/>
        <w:pageBreakBefore w:val="0"/>
        <w:widowControl w:val="0"/>
        <w:kinsoku/>
        <w:wordWrap/>
        <w:overflowPunct/>
        <w:topLinePunct w:val="0"/>
        <w:autoSpaceDE/>
        <w:autoSpaceDN/>
        <w:bidi w:val="0"/>
        <w:adjustRightInd w:val="0"/>
        <w:snapToGrid w:val="0"/>
        <w:ind w:firstLine="640" w:firstLineChars="200"/>
        <w:textAlignment w:val="auto"/>
        <w:rPr>
          <w:rFonts w:hint="eastAsia" w:ascii="仿宋" w:hAnsi="仿宋" w:eastAsia="仿宋" w:cs="Times New Roman"/>
          <w:b w:val="0"/>
          <w:kern w:val="2"/>
          <w:sz w:val="32"/>
          <w:szCs w:val="24"/>
          <w:highlight w:val="none"/>
          <w:lang w:val="en-US" w:eastAsia="zh-CN" w:bidi="ar-SA"/>
        </w:rPr>
      </w:pPr>
      <w:r>
        <w:rPr>
          <w:rFonts w:hint="eastAsia" w:ascii="仿宋" w:hAnsi="仿宋" w:eastAsia="仿宋" w:cs="Times New Roman"/>
          <w:b w:val="0"/>
          <w:kern w:val="2"/>
          <w:sz w:val="32"/>
          <w:szCs w:val="24"/>
          <w:highlight w:val="none"/>
          <w:lang w:val="en-US" w:eastAsia="zh-CN" w:bidi="ar-SA"/>
        </w:rPr>
        <w:t>1.建筑工程：土石方工程、基坑支护、桩基础工程、砌筑工程、砼及钢筋砼工程、金属结构工程、门窗工程、防水工程等；</w:t>
      </w:r>
    </w:p>
    <w:p w14:paraId="559268FE">
      <w:pPr>
        <w:rPr>
          <w:rFonts w:hint="eastAsia" w:cs="Times New Roman"/>
          <w:b w:val="0"/>
          <w:kern w:val="2"/>
          <w:sz w:val="32"/>
          <w:szCs w:val="24"/>
          <w:highlight w:val="none"/>
          <w:lang w:val="en-US" w:eastAsia="zh-CN" w:bidi="ar-SA"/>
        </w:rPr>
      </w:pPr>
      <w:r>
        <w:rPr>
          <w:rFonts w:hint="eastAsia" w:cs="Times New Roman"/>
          <w:b w:val="0"/>
          <w:kern w:val="2"/>
          <w:sz w:val="32"/>
          <w:szCs w:val="24"/>
          <w:highlight w:val="none"/>
          <w:lang w:val="en-US" w:eastAsia="zh-CN" w:bidi="ar-SA"/>
        </w:rPr>
        <w:t>2.装饰工程（含二次装修）：楼地面工程、墙柱面装饰工程、天棚工程、油漆涂料裱糊工程、其他装饰工程等；</w:t>
      </w:r>
    </w:p>
    <w:p w14:paraId="6EA259E6">
      <w:pPr>
        <w:rPr>
          <w:rFonts w:hint="eastAsia" w:cs="Times New Roman"/>
          <w:b w:val="0"/>
          <w:kern w:val="2"/>
          <w:sz w:val="32"/>
          <w:szCs w:val="24"/>
          <w:highlight w:val="none"/>
          <w:lang w:val="en-US" w:eastAsia="zh-CN" w:bidi="ar-SA"/>
        </w:rPr>
      </w:pPr>
      <w:r>
        <w:rPr>
          <w:rFonts w:hint="eastAsia" w:cs="Times New Roman"/>
          <w:b w:val="0"/>
          <w:kern w:val="2"/>
          <w:sz w:val="32"/>
          <w:szCs w:val="24"/>
          <w:highlight w:val="none"/>
          <w:lang w:val="en-US" w:eastAsia="zh-CN" w:bidi="ar-SA"/>
        </w:rPr>
        <w:t>3.机电安装工程：电气工程、给排水工程、消防水工程</w:t>
      </w:r>
      <w:r>
        <w:rPr>
          <w:rFonts w:hint="eastAsia" w:cs="Times New Roman"/>
          <w:b w:val="0"/>
          <w:kern w:val="2"/>
          <w:sz w:val="32"/>
          <w:szCs w:val="24"/>
          <w:highlight w:val="none"/>
          <w:lang w:val="en-US" w:eastAsia="zh-CN" w:bidi="ar-SA"/>
        </w:rPr>
        <w:t>、</w:t>
      </w:r>
      <w:r>
        <w:rPr>
          <w:rFonts w:hint="eastAsia" w:cs="Times New Roman"/>
          <w:b w:val="0"/>
          <w:kern w:val="2"/>
          <w:sz w:val="32"/>
          <w:szCs w:val="24"/>
          <w:highlight w:val="none"/>
          <w:lang w:val="en-US" w:eastAsia="zh-CN" w:bidi="ar-SA"/>
        </w:rPr>
        <w:t>火宅自动报警工程</w:t>
      </w:r>
      <w:r>
        <w:rPr>
          <w:rFonts w:hint="eastAsia" w:cs="Times New Roman"/>
          <w:b w:val="0"/>
          <w:kern w:val="2"/>
          <w:sz w:val="32"/>
          <w:szCs w:val="24"/>
          <w:highlight w:val="none"/>
          <w:lang w:val="en-US" w:eastAsia="zh-CN" w:bidi="ar-SA"/>
        </w:rPr>
        <w:t>、</w:t>
      </w:r>
      <w:r>
        <w:rPr>
          <w:rFonts w:hint="eastAsia" w:cs="Times New Roman"/>
          <w:b w:val="0"/>
          <w:kern w:val="2"/>
          <w:sz w:val="32"/>
          <w:szCs w:val="24"/>
          <w:highlight w:val="none"/>
          <w:lang w:val="en-US" w:eastAsia="zh-CN" w:bidi="ar-SA"/>
        </w:rPr>
        <w:t>通风空调工程、智能化系统工程、洁净空调工程、医气工程、抗震支架工程、箱式物流系统、电梯工程</w:t>
      </w:r>
      <w:r>
        <w:rPr>
          <w:rFonts w:hint="eastAsia" w:cs="Times New Roman"/>
          <w:b w:val="0"/>
          <w:kern w:val="2"/>
          <w:sz w:val="32"/>
          <w:szCs w:val="24"/>
          <w:highlight w:val="none"/>
          <w:lang w:val="en-US" w:eastAsia="zh-CN" w:bidi="ar-SA"/>
        </w:rPr>
        <w:t>等；</w:t>
      </w:r>
    </w:p>
    <w:p w14:paraId="648994B9">
      <w:pPr>
        <w:rPr>
          <w:rFonts w:hint="default" w:cs="Times New Roman"/>
          <w:b w:val="0"/>
          <w:kern w:val="2"/>
          <w:sz w:val="32"/>
          <w:szCs w:val="24"/>
          <w:highlight w:val="none"/>
          <w:lang w:val="en-US" w:eastAsia="zh-CN" w:bidi="ar-SA"/>
        </w:rPr>
      </w:pPr>
      <w:r>
        <w:rPr>
          <w:rFonts w:hint="eastAsia" w:cs="Times New Roman"/>
          <w:b w:val="0"/>
          <w:kern w:val="2"/>
          <w:sz w:val="32"/>
          <w:szCs w:val="24"/>
          <w:highlight w:val="none"/>
          <w:lang w:val="en-US" w:eastAsia="zh-CN" w:bidi="ar-SA"/>
        </w:rPr>
        <w:t>4.室外及配套工程：室外广场、道路工程、绿化工程、喷灌工程、景观照明、室外给排水、标识工程</w:t>
      </w:r>
      <w:r>
        <w:rPr>
          <w:rFonts w:hint="eastAsia" w:cs="Times New Roman"/>
          <w:b w:val="0"/>
          <w:kern w:val="2"/>
          <w:sz w:val="32"/>
          <w:szCs w:val="24"/>
          <w:highlight w:val="none"/>
          <w:lang w:val="en-US" w:eastAsia="zh-CN" w:bidi="ar-SA"/>
        </w:rPr>
        <w:t>等。</w:t>
      </w:r>
    </w:p>
    <w:p w14:paraId="5A5EC650">
      <w:pPr>
        <w:pStyle w:val="3"/>
        <w:keepNext/>
        <w:keepLines/>
        <w:pageBreakBefore w:val="0"/>
        <w:widowControl w:val="0"/>
        <w:kinsoku/>
        <w:wordWrap/>
        <w:overflowPunct/>
        <w:topLinePunct w:val="0"/>
        <w:autoSpaceDE/>
        <w:autoSpaceDN/>
        <w:bidi w:val="0"/>
        <w:adjustRightInd w:val="0"/>
        <w:snapToGrid w:val="0"/>
        <w:ind w:firstLine="643" w:firstLineChars="200"/>
        <w:textAlignment w:val="auto"/>
        <w:rPr>
          <w:rFonts w:hint="eastAsia"/>
          <w:highlight w:val="none"/>
          <w:lang w:eastAsia="zh-CN"/>
        </w:rPr>
      </w:pPr>
      <w:r>
        <w:rPr>
          <w:rFonts w:hint="eastAsia"/>
          <w:highlight w:val="none"/>
          <w:lang w:eastAsia="zh-CN"/>
        </w:rPr>
        <w:t>三、编制依据</w:t>
      </w:r>
    </w:p>
    <w:p w14:paraId="2BD729CA">
      <w:pPr>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楷体" w:hAnsi="楷体" w:eastAsia="楷体" w:cs="楷体"/>
          <w:highlight w:val="none"/>
          <w:lang w:eastAsia="zh-CN"/>
        </w:rPr>
        <w:t>（一）工程量依据</w:t>
      </w:r>
    </w:p>
    <w:p w14:paraId="5EA5E0A2">
      <w:pPr>
        <w:pStyle w:val="8"/>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1.广东省建筑设计研究院有限公司的《南方医科大学南方医院国家创伤区域医疗中心及门急诊改扩建项目初步设计图纸》（2022年11月）；</w:t>
      </w:r>
    </w:p>
    <w:p w14:paraId="3F07A62B">
      <w:pPr>
        <w:keepNext w:val="0"/>
        <w:keepLines w:val="0"/>
        <w:widowControl/>
        <w:suppressLineNumbers w:val="0"/>
        <w:jc w:val="left"/>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2.广东省地质建设工程勘察院的《南方医科大学南方医院门急诊改扩建工程岩土工程地质勘察报告》（2020年8月）。</w:t>
      </w:r>
    </w:p>
    <w:p w14:paraId="5D83E12C">
      <w:pPr>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24"/>
          <w:highlight w:val="none"/>
          <w:lang w:val="en-US" w:eastAsia="zh-CN" w:bidi="ar-SA"/>
        </w:rPr>
        <w:t>（二）执行规范及定额</w:t>
      </w:r>
    </w:p>
    <w:p w14:paraId="75BF4F53">
      <w:pPr>
        <w:rPr>
          <w:rFonts w:hint="eastAsia"/>
          <w:highlight w:val="none"/>
          <w:lang w:eastAsia="zh-CN"/>
        </w:rPr>
      </w:pPr>
      <w:r>
        <w:rPr>
          <w:rFonts w:hint="eastAsia"/>
          <w:highlight w:val="none"/>
          <w:lang w:eastAsia="zh-CN"/>
        </w:rPr>
        <w:t>1</w:t>
      </w:r>
      <w:r>
        <w:rPr>
          <w:rFonts w:hint="eastAsia"/>
          <w:highlight w:val="none"/>
          <w:lang w:val="en-US" w:eastAsia="zh-CN"/>
        </w:rPr>
        <w:t>.</w:t>
      </w:r>
      <w:r>
        <w:rPr>
          <w:rFonts w:hint="eastAsia"/>
          <w:highlight w:val="none"/>
          <w:lang w:eastAsia="zh-CN"/>
        </w:rPr>
        <w:t>《建设工程工程量清单计价规范》（（GB50500-201</w:t>
      </w:r>
      <w:r>
        <w:rPr>
          <w:rFonts w:hint="eastAsia"/>
          <w:highlight w:val="none"/>
          <w:lang w:val="en-US" w:eastAsia="zh-CN"/>
        </w:rPr>
        <w:t>8</w:t>
      </w:r>
      <w:r>
        <w:rPr>
          <w:rFonts w:hint="eastAsia"/>
          <w:highlight w:val="none"/>
          <w:lang w:eastAsia="zh-CN"/>
        </w:rPr>
        <w:t>）及《广东省建设工程计价通则201</w:t>
      </w:r>
      <w:r>
        <w:rPr>
          <w:rFonts w:hint="eastAsia"/>
          <w:highlight w:val="none"/>
          <w:lang w:val="en-US" w:eastAsia="zh-CN"/>
        </w:rPr>
        <w:t>8</w:t>
      </w:r>
      <w:r>
        <w:rPr>
          <w:rFonts w:hint="eastAsia"/>
          <w:highlight w:val="none"/>
          <w:lang w:eastAsia="zh-CN"/>
        </w:rPr>
        <w:t>》；</w:t>
      </w:r>
    </w:p>
    <w:p w14:paraId="377DC8C4">
      <w:pPr>
        <w:rPr>
          <w:rFonts w:hint="eastAsia"/>
          <w:highlight w:val="none"/>
          <w:lang w:eastAsia="zh-CN"/>
        </w:rPr>
      </w:pPr>
      <w:r>
        <w:rPr>
          <w:rFonts w:hint="eastAsia"/>
          <w:highlight w:val="none"/>
          <w:lang w:val="en-US" w:eastAsia="zh-CN"/>
        </w:rPr>
        <w:t>2.</w:t>
      </w:r>
      <w:r>
        <w:rPr>
          <w:rFonts w:hint="eastAsia"/>
          <w:highlight w:val="none"/>
          <w:lang w:eastAsia="zh-CN"/>
        </w:rPr>
        <w:t>《广东省房屋建筑与装饰工程综合定额（2018）》；</w:t>
      </w:r>
    </w:p>
    <w:p w14:paraId="158C9197">
      <w:pPr>
        <w:rPr>
          <w:rFonts w:hint="eastAsia"/>
          <w:highlight w:val="none"/>
          <w:lang w:eastAsia="zh-CN"/>
        </w:rPr>
      </w:pPr>
      <w:r>
        <w:rPr>
          <w:rFonts w:hint="eastAsia"/>
          <w:highlight w:val="none"/>
          <w:lang w:val="en-US" w:eastAsia="zh-CN"/>
        </w:rPr>
        <w:t>3.</w:t>
      </w:r>
      <w:r>
        <w:rPr>
          <w:rFonts w:hint="eastAsia"/>
          <w:highlight w:val="none"/>
          <w:lang w:eastAsia="zh-CN"/>
        </w:rPr>
        <w:t>《广东省通用安装工程综合定额（2018）》；</w:t>
      </w:r>
    </w:p>
    <w:p w14:paraId="5546A8DA">
      <w:pPr>
        <w:rPr>
          <w:rFonts w:hint="eastAsia"/>
          <w:highlight w:val="none"/>
          <w:lang w:eastAsia="zh-CN"/>
        </w:rPr>
      </w:pPr>
      <w:r>
        <w:rPr>
          <w:rFonts w:hint="eastAsia"/>
          <w:highlight w:val="none"/>
          <w:lang w:val="en-US" w:eastAsia="zh-CN"/>
        </w:rPr>
        <w:t>4.</w:t>
      </w:r>
      <w:r>
        <w:rPr>
          <w:rFonts w:hint="eastAsia"/>
          <w:highlight w:val="none"/>
          <w:lang w:eastAsia="zh-CN"/>
        </w:rPr>
        <w:t>《广东省市政工程综合定额（201</w:t>
      </w:r>
      <w:r>
        <w:rPr>
          <w:rFonts w:hint="eastAsia"/>
          <w:highlight w:val="none"/>
          <w:lang w:val="en-US" w:eastAsia="zh-CN"/>
        </w:rPr>
        <w:t>8</w:t>
      </w:r>
      <w:r>
        <w:rPr>
          <w:rFonts w:hint="eastAsia"/>
          <w:highlight w:val="none"/>
          <w:lang w:eastAsia="zh-CN"/>
        </w:rPr>
        <w:t>年）》；</w:t>
      </w:r>
    </w:p>
    <w:p w14:paraId="6747D2AB">
      <w:pPr>
        <w:rPr>
          <w:rFonts w:hint="eastAsia"/>
          <w:highlight w:val="none"/>
          <w:lang w:eastAsia="zh-CN"/>
        </w:rPr>
      </w:pPr>
      <w:r>
        <w:rPr>
          <w:rFonts w:hint="eastAsia"/>
          <w:highlight w:val="none"/>
          <w:lang w:val="en-US" w:eastAsia="zh-CN"/>
        </w:rPr>
        <w:t>5.</w:t>
      </w:r>
      <w:r>
        <w:rPr>
          <w:rFonts w:hint="eastAsia"/>
          <w:highlight w:val="none"/>
          <w:lang w:eastAsia="zh-CN"/>
        </w:rPr>
        <w:t xml:space="preserve">《广东省园林绿化工程综合定额（2018）》；  </w:t>
      </w:r>
    </w:p>
    <w:p w14:paraId="5323EA62">
      <w:pPr>
        <w:rPr>
          <w:rFonts w:hint="eastAsia"/>
          <w:highlight w:val="none"/>
          <w:lang w:eastAsia="zh-CN"/>
        </w:rPr>
      </w:pPr>
      <w:r>
        <w:rPr>
          <w:rFonts w:hint="eastAsia"/>
          <w:highlight w:val="none"/>
          <w:lang w:val="en-US" w:eastAsia="zh-CN"/>
        </w:rPr>
        <w:t>6.</w:t>
      </w:r>
      <w:r>
        <w:rPr>
          <w:rFonts w:hint="eastAsia"/>
          <w:highlight w:val="none"/>
          <w:lang w:eastAsia="zh-CN"/>
        </w:rPr>
        <w:t>人工、主要材料和设备、机械台班价格：</w:t>
      </w:r>
    </w:p>
    <w:p w14:paraId="21B1A7B3">
      <w:pPr>
        <w:rPr>
          <w:rFonts w:hint="eastAsia"/>
          <w:highlight w:val="none"/>
          <w:lang w:eastAsia="zh-CN"/>
        </w:rPr>
      </w:pPr>
      <w:r>
        <w:rPr>
          <w:rFonts w:hint="eastAsia"/>
          <w:highlight w:val="none"/>
          <w:lang w:eastAsia="zh-CN"/>
        </w:rPr>
        <w:t>（1）人工、主要材料和设备、机械台班价格执行</w:t>
      </w:r>
      <w:r>
        <w:rPr>
          <w:rFonts w:hint="default"/>
          <w:highlight w:val="none"/>
          <w:lang w:val="en-US" w:eastAsia="zh-CN"/>
        </w:rPr>
        <w:t>《关于</w:t>
      </w:r>
      <w:r>
        <w:rPr>
          <w:rFonts w:hint="eastAsia"/>
          <w:highlight w:val="none"/>
          <w:lang w:val="en-US" w:eastAsia="zh-CN"/>
        </w:rPr>
        <w:t>发布</w:t>
      </w:r>
      <w:r>
        <w:rPr>
          <w:rFonts w:hint="default"/>
          <w:highlight w:val="none"/>
          <w:lang w:val="en-US" w:eastAsia="zh-CN"/>
        </w:rPr>
        <w:t>20</w:t>
      </w:r>
      <w:r>
        <w:rPr>
          <w:rFonts w:hint="eastAsia"/>
          <w:highlight w:val="none"/>
          <w:lang w:val="en-US" w:eastAsia="zh-CN"/>
        </w:rPr>
        <w:t>24</w:t>
      </w:r>
      <w:r>
        <w:rPr>
          <w:rFonts w:hint="default"/>
          <w:highlight w:val="none"/>
          <w:lang w:val="en-US" w:eastAsia="zh-CN"/>
        </w:rPr>
        <w:t>年</w:t>
      </w:r>
      <w:r>
        <w:rPr>
          <w:rFonts w:hint="eastAsia"/>
          <w:highlight w:val="none"/>
          <w:lang w:val="en-US" w:eastAsia="zh-CN"/>
        </w:rPr>
        <w:t>7</w:t>
      </w:r>
      <w:r>
        <w:rPr>
          <w:rFonts w:hint="default"/>
          <w:highlight w:val="none"/>
          <w:lang w:val="en-US" w:eastAsia="zh-CN"/>
        </w:rPr>
        <w:t>月份广州市建设工程价格信息及有关计价办法的通知》</w:t>
      </w:r>
      <w:r>
        <w:rPr>
          <w:rFonts w:hint="eastAsia"/>
          <w:highlight w:val="none"/>
          <w:lang w:val="en-US" w:eastAsia="zh-CN"/>
        </w:rPr>
        <w:t>，</w:t>
      </w:r>
      <w:r>
        <w:rPr>
          <w:rFonts w:hint="eastAsia"/>
          <w:highlight w:val="none"/>
          <w:lang w:eastAsia="zh-CN"/>
        </w:rPr>
        <w:t>不足部分参考周边城市工程信息价以及结合市场询价。</w:t>
      </w:r>
    </w:p>
    <w:p w14:paraId="244E20B4">
      <w:pPr>
        <w:pStyle w:val="3"/>
        <w:keepNext/>
        <w:keepLines/>
        <w:pageBreakBefore w:val="0"/>
        <w:widowControl w:val="0"/>
        <w:kinsoku/>
        <w:wordWrap/>
        <w:overflowPunct/>
        <w:topLinePunct w:val="0"/>
        <w:autoSpaceDE/>
        <w:autoSpaceDN/>
        <w:bidi w:val="0"/>
        <w:adjustRightInd w:val="0"/>
        <w:snapToGrid w:val="0"/>
        <w:ind w:firstLine="643" w:firstLineChars="200"/>
        <w:textAlignment w:val="auto"/>
        <w:rPr>
          <w:rFonts w:hint="eastAsia"/>
          <w:highlight w:val="none"/>
          <w:lang w:eastAsia="zh-CN"/>
        </w:rPr>
      </w:pPr>
      <w:r>
        <w:rPr>
          <w:rFonts w:hint="eastAsia"/>
          <w:highlight w:val="none"/>
          <w:lang w:eastAsia="zh-CN"/>
        </w:rPr>
        <w:t>四、编制情况说明</w:t>
      </w:r>
    </w:p>
    <w:p w14:paraId="6AC75246">
      <w:pPr>
        <w:pStyle w:val="8"/>
        <w:keepNext w:val="0"/>
        <w:keepLines w:val="0"/>
        <w:widowControl/>
        <w:suppressLineNumbers w:val="0"/>
        <w:spacing w:before="0" w:beforeAutospacing="0" w:after="0" w:afterAutospacing="0"/>
        <w:ind w:left="0" w:right="0" w:firstLine="0"/>
        <w:rPr>
          <w:rFonts w:hint="default"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1.余方弃置（土方、石方、桩头废料</w:t>
      </w:r>
      <w:r>
        <w:rPr>
          <w:rFonts w:hint="eastAsia" w:cs="Times New Roman"/>
          <w:kern w:val="2"/>
          <w:sz w:val="32"/>
          <w:szCs w:val="24"/>
          <w:highlight w:val="none"/>
          <w:lang w:val="en-US" w:eastAsia="zh-CN" w:bidi="ar-SA"/>
        </w:rPr>
        <w:t>及其它拆除废料</w:t>
      </w:r>
      <w:r>
        <w:rPr>
          <w:rFonts w:hint="eastAsia" w:ascii="仿宋" w:hAnsi="仿宋" w:eastAsia="仿宋" w:cs="Times New Roman"/>
          <w:kern w:val="2"/>
          <w:sz w:val="32"/>
          <w:szCs w:val="24"/>
          <w:highlight w:val="none"/>
          <w:lang w:val="en-US" w:eastAsia="zh-CN" w:bidi="ar-SA"/>
        </w:rPr>
        <w:t>、淤泥、流砂、泥浆等）运距由投标人综合考虑，结算不做调整；</w:t>
      </w:r>
    </w:p>
    <w:p w14:paraId="230646D2">
      <w:pPr>
        <w:adjustRightInd w:val="0"/>
        <w:snapToGrid w:val="0"/>
        <w:spacing w:line="580" w:lineRule="atLeast"/>
        <w:ind w:left="0" w:leftChars="0" w:firstLine="640" w:firstLineChars="200"/>
        <w:jc w:val="left"/>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2.“箱式物流系统”没有详图，按概算批复金额205.95万元（含税）设置为暂估项目，该清单为限额设计的最高限价；</w:t>
      </w:r>
    </w:p>
    <w:p w14:paraId="0283AC8C">
      <w:pPr>
        <w:adjustRightInd w:val="0"/>
        <w:snapToGrid w:val="0"/>
        <w:spacing w:line="580" w:lineRule="atLeast"/>
        <w:ind w:left="0" w:leftChars="0" w:firstLine="640" w:firstLineChars="200"/>
        <w:jc w:val="left"/>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3.“低温库”、“标本库”、“暗室”等特殊房间装修没有详图，按概算批复金额25.60万元（含税）设置为暂估项目，该清单为限额设计的最高限价；</w:t>
      </w:r>
    </w:p>
    <w:p w14:paraId="18643C53">
      <w:pPr>
        <w:adjustRightInd w:val="0"/>
        <w:snapToGrid w:val="0"/>
        <w:spacing w:line="580" w:lineRule="atLeast"/>
        <w:ind w:left="0" w:leftChars="0" w:firstLine="640" w:firstLineChars="200"/>
        <w:jc w:val="left"/>
        <w:rPr>
          <w:rFonts w:hint="eastAsia"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4</w:t>
      </w:r>
      <w:r>
        <w:rPr>
          <w:rFonts w:hint="eastAsia" w:ascii="仿宋" w:hAnsi="仿宋" w:eastAsia="仿宋" w:cs="Times New Roman"/>
          <w:kern w:val="2"/>
          <w:sz w:val="32"/>
          <w:szCs w:val="24"/>
          <w:highlight w:val="none"/>
          <w:lang w:val="en-US" w:eastAsia="zh-CN" w:bidi="ar-SA"/>
        </w:rPr>
        <w:t>.“标识系统”没有详图，按概算批复金额19.63万元（含税）设置为暂估项目，该清单为限额设计的最高限价；</w:t>
      </w:r>
    </w:p>
    <w:p w14:paraId="762725D7">
      <w:pPr>
        <w:adjustRightInd w:val="0"/>
        <w:snapToGrid w:val="0"/>
        <w:spacing w:line="580" w:lineRule="atLeast"/>
        <w:ind w:left="0" w:leftChars="0" w:firstLine="640" w:firstLineChars="200"/>
        <w:jc w:val="left"/>
        <w:rPr>
          <w:rFonts w:hint="eastAsia"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5</w:t>
      </w:r>
      <w:r>
        <w:rPr>
          <w:rFonts w:hint="eastAsia" w:ascii="仿宋" w:hAnsi="仿宋" w:eastAsia="仿宋" w:cs="Times New Roman"/>
          <w:kern w:val="2"/>
          <w:sz w:val="32"/>
          <w:szCs w:val="24"/>
          <w:highlight w:val="none"/>
          <w:lang w:val="en-US" w:eastAsia="zh-CN" w:bidi="ar-SA"/>
        </w:rPr>
        <w:t>.“纯水系统”没有详图，按概算批复金额19.55万元（含税）设置为暂估项目，该清单为限额设计的最高限价。</w:t>
      </w:r>
    </w:p>
    <w:p w14:paraId="35E719EF">
      <w:pPr>
        <w:rPr>
          <w:rFonts w:hint="eastAsia"/>
          <w:highlight w:val="none"/>
          <w:lang w:val="en-US" w:eastAsia="zh-CN"/>
        </w:rPr>
      </w:pPr>
      <w:r>
        <w:rPr>
          <w:rFonts w:hint="eastAsia"/>
          <w:highlight w:val="none"/>
          <w:lang w:val="en-US" w:eastAsia="zh-CN"/>
        </w:rPr>
        <w:t>6.绿色施工安全防护措施费依据单位工程专业不同，建筑装饰工程以分部分项人工费、分部分项机械费之和的19%计取；道路、管网工程以分部分项人工费、分部分项机械费之和的16.50%计取；园林绿化工程以分部分项人工费、分部分项机械费之和的10%计取；安装工程以分部分项人工费、分部分项机械费之和的35.77%计；</w:t>
      </w:r>
    </w:p>
    <w:p w14:paraId="6CAF3777">
      <w:pPr>
        <w:rPr>
          <w:rFonts w:hint="eastAsia"/>
          <w:highlight w:val="none"/>
          <w:lang w:val="en-US" w:eastAsia="zh-CN"/>
        </w:rPr>
      </w:pPr>
      <w:r>
        <w:rPr>
          <w:rFonts w:hint="eastAsia"/>
          <w:highlight w:val="none"/>
          <w:lang w:val="en-US" w:eastAsia="zh-CN"/>
        </w:rPr>
        <w:t>7.预算包干费依据2018定额按单位工程专业划分取费，建筑装饰工程以按分部分项的人工费与施工机具费之和的7.00%计取，室外工程以按分部分项的人工费与施工机具费之和的6.00%计取，安装工程以按分部分项的人工费与施工机具费之和的10.00%计取；</w:t>
      </w:r>
    </w:p>
    <w:p w14:paraId="017DBB7F">
      <w:pPr>
        <w:rPr>
          <w:rFonts w:hint="default"/>
          <w:highlight w:val="none"/>
          <w:lang w:val="en-US" w:eastAsia="zh-CN"/>
        </w:rPr>
      </w:pPr>
      <w:r>
        <w:rPr>
          <w:rFonts w:hint="eastAsia"/>
          <w:highlight w:val="none"/>
          <w:lang w:val="en-US" w:eastAsia="zh-CN"/>
        </w:rPr>
        <w:t>8.税金以分部分项工程费、措施项目费、其他项目费之和的9%计取。</w:t>
      </w:r>
    </w:p>
    <w:p w14:paraId="42B23D93">
      <w:pPr>
        <w:ind w:left="0" w:leftChars="0" w:firstLine="0" w:firstLineChars="0"/>
        <w:rPr>
          <w:rFonts w:hint="eastAsia"/>
          <w:highlight w:val="none"/>
          <w:lang w:eastAsia="zh-CN"/>
        </w:rPr>
      </w:pPr>
    </w:p>
    <w:p w14:paraId="4A9D9DC0">
      <w:pPr>
        <w:pStyle w:val="3"/>
        <w:keepNext/>
        <w:keepLines/>
        <w:pageBreakBefore w:val="0"/>
        <w:widowControl w:val="0"/>
        <w:kinsoku/>
        <w:wordWrap/>
        <w:overflowPunct/>
        <w:topLinePunct w:val="0"/>
        <w:autoSpaceDE/>
        <w:autoSpaceDN/>
        <w:bidi w:val="0"/>
        <w:adjustRightInd w:val="0"/>
        <w:snapToGrid w:val="0"/>
        <w:ind w:left="1920" w:leftChars="200" w:hanging="1280" w:hangingChars="400"/>
        <w:textAlignment w:val="auto"/>
        <w:rPr>
          <w:rFonts w:hint="eastAsia" w:ascii="仿宋" w:hAnsi="仿宋" w:eastAsia="仿宋" w:cs="Times New Roman"/>
          <w:b w:val="0"/>
          <w:kern w:val="2"/>
          <w:sz w:val="32"/>
          <w:szCs w:val="24"/>
          <w:highlight w:val="none"/>
          <w:lang w:val="en-US" w:eastAsia="zh-CN" w:bidi="ar-SA"/>
        </w:rPr>
      </w:pPr>
      <w:r>
        <w:rPr>
          <w:rFonts w:hint="eastAsia" w:ascii="仿宋" w:hAnsi="仿宋" w:eastAsia="仿宋" w:cs="Times New Roman"/>
          <w:b w:val="0"/>
          <w:kern w:val="2"/>
          <w:sz w:val="32"/>
          <w:szCs w:val="24"/>
          <w:highlight w:val="none"/>
          <w:lang w:val="en-US" w:eastAsia="zh-CN" w:bidi="ar-SA"/>
        </w:rPr>
        <w:t>附件：1.南方医科大学南方医院国家创伤区域医疗中心及门急诊改扩建项目清单计价说明</w:t>
      </w:r>
    </w:p>
    <w:p w14:paraId="5A541107">
      <w:pPr>
        <w:spacing w:line="360" w:lineRule="auto"/>
        <w:ind w:left="0" w:leftChars="0" w:firstLine="1600" w:firstLineChars="500"/>
        <w:jc w:val="both"/>
        <w:rPr>
          <w:rFonts w:hint="eastAsia" w:ascii="Times New Roman" w:hAnsi="Times New Roman" w:eastAsia="宋体" w:cs="Times New Roman"/>
          <w:b/>
          <w:bCs/>
          <w:kern w:val="44"/>
          <w:sz w:val="44"/>
          <w:szCs w:val="44"/>
          <w:highlight w:val="none"/>
          <w:lang w:val="en-US" w:eastAsia="zh-CN" w:bidi="ar-SA"/>
        </w:rPr>
      </w:pPr>
      <w:r>
        <w:rPr>
          <w:rFonts w:hint="eastAsia" w:cs="Times New Roman"/>
          <w:b w:val="0"/>
          <w:kern w:val="2"/>
          <w:sz w:val="32"/>
          <w:szCs w:val="24"/>
          <w:highlight w:val="none"/>
          <w:lang w:val="en-US" w:eastAsia="zh-CN" w:bidi="ar-SA"/>
        </w:rPr>
        <w:t>2.</w:t>
      </w:r>
      <w:r>
        <w:rPr>
          <w:rFonts w:hint="eastAsia" w:ascii="仿宋" w:hAnsi="仿宋" w:eastAsia="仿宋" w:cs="Times New Roman"/>
          <w:b w:val="0"/>
          <w:kern w:val="2"/>
          <w:sz w:val="32"/>
          <w:szCs w:val="24"/>
          <w:highlight w:val="none"/>
          <w:lang w:val="en-US" w:eastAsia="zh-CN" w:bidi="ar-SA"/>
        </w:rPr>
        <w:t>《招标配套清单综合单价》</w:t>
      </w:r>
    </w:p>
    <w:p w14:paraId="544668DD">
      <w:pPr>
        <w:rPr>
          <w:rFonts w:hint="eastAsia"/>
          <w:highlight w:val="none"/>
          <w:lang w:eastAsia="zh-CN"/>
        </w:rPr>
      </w:pPr>
    </w:p>
    <w:p w14:paraId="06603F7E">
      <w:pPr>
        <w:jc w:val="right"/>
        <w:rPr>
          <w:rFonts w:hint="eastAsia"/>
          <w:highlight w:val="none"/>
          <w:lang w:val="en-US" w:eastAsia="zh-CN"/>
        </w:rPr>
      </w:pPr>
      <w:bookmarkStart w:id="0" w:name="_GoBack"/>
      <w:bookmarkEnd w:id="0"/>
    </w:p>
    <w:p w14:paraId="3B1F7A07">
      <w:pPr>
        <w:jc w:val="right"/>
        <w:rPr>
          <w:rFonts w:hint="default"/>
          <w:highlight w:val="none"/>
          <w:lang w:val="en-US" w:eastAsia="zh-CN"/>
        </w:rPr>
      </w:pPr>
      <w:r>
        <w:rPr>
          <w:rFonts w:hint="eastAsia"/>
          <w:highlight w:val="none"/>
          <w:lang w:val="en-US" w:eastAsia="zh-CN"/>
        </w:rPr>
        <w:t>广州菲达建筑咨询有限公司</w:t>
      </w:r>
    </w:p>
    <w:p w14:paraId="44FE985E">
      <w:pPr>
        <w:rPr>
          <w:rFonts w:hint="eastAsia"/>
          <w:highlight w:val="none"/>
          <w:lang w:eastAsia="zh-CN"/>
        </w:rPr>
      </w:pPr>
      <w:r>
        <w:rPr>
          <w:rFonts w:hint="eastAsia"/>
          <w:highlight w:val="none"/>
          <w:lang w:eastAsia="zh-CN"/>
        </w:rPr>
        <w:t xml:space="preserve">                           </w:t>
      </w:r>
      <w:r>
        <w:rPr>
          <w:rFonts w:hint="eastAsia"/>
          <w:highlight w:val="none"/>
          <w:lang w:val="en-US" w:eastAsia="zh-CN"/>
        </w:rPr>
        <w:t xml:space="preserve">    2024</w:t>
      </w:r>
      <w:r>
        <w:rPr>
          <w:rFonts w:hint="eastAsia"/>
          <w:highlight w:val="none"/>
          <w:lang w:eastAsia="zh-CN"/>
        </w:rPr>
        <w:t xml:space="preserve">年 </w:t>
      </w:r>
      <w:r>
        <w:rPr>
          <w:rFonts w:hint="eastAsia"/>
          <w:highlight w:val="none"/>
          <w:lang w:val="en-US" w:eastAsia="zh-CN"/>
        </w:rPr>
        <w:t>9</w:t>
      </w:r>
      <w:r>
        <w:rPr>
          <w:rFonts w:hint="eastAsia"/>
          <w:highlight w:val="none"/>
          <w:lang w:eastAsia="zh-CN"/>
        </w:rPr>
        <w:t xml:space="preserve"> 月</w:t>
      </w:r>
      <w:r>
        <w:rPr>
          <w:rFonts w:hint="eastAsia"/>
          <w:highlight w:val="none"/>
          <w:lang w:val="en-US" w:eastAsia="zh-CN"/>
        </w:rPr>
        <w:t>14</w:t>
      </w:r>
      <w:r>
        <w:rPr>
          <w:rFonts w:hint="eastAsia"/>
          <w:highlight w:val="none"/>
          <w:lang w:eastAsia="zh-CN"/>
        </w:rPr>
        <w:t xml:space="preserve"> 日</w:t>
      </w:r>
    </w:p>
    <w:p w14:paraId="46E40C95">
      <w:pPr>
        <w:ind w:left="0" w:leftChars="0" w:firstLine="0" w:firstLineChars="0"/>
        <w:rPr>
          <w:rFonts w:hint="eastAsia"/>
          <w:highlight w:val="none"/>
        </w:rPr>
      </w:pPr>
    </w:p>
    <w:sectPr>
      <w:footerReference r:id="rId5" w:type="default"/>
      <w:pgSz w:w="11906" w:h="16838"/>
      <w:pgMar w:top="1440" w:right="1800" w:bottom="1440" w:left="1800" w:header="851" w:footer="737"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7A4A6">
    <w:pPr>
      <w:pStyle w:val="6"/>
      <w:keepNext w:val="0"/>
      <w:keepLines w:val="0"/>
      <w:pageBreakBefore w:val="0"/>
      <w:widowControl w:val="0"/>
      <w:kinsoku/>
      <w:wordWrap/>
      <w:overflowPunct/>
      <w:topLinePunct w:val="0"/>
      <w:autoSpaceDE/>
      <w:autoSpaceDN/>
      <w:bidi w:val="0"/>
      <w:adjustRightInd w:val="0"/>
      <w:snapToGrid w:val="0"/>
      <w:ind w:firstLine="0" w:firstLineChars="0"/>
      <w:textAlignment w:val="auto"/>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0511B1">
                          <w:pPr>
                            <w:pStyle w:val="6"/>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780511B1">
                    <w:pPr>
                      <w:pStyle w:val="6"/>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YjVlM2U4OWUyMzI0NzZmNzcxOWY1MTQ2ZDI1NTUifQ=="/>
  </w:docVars>
  <w:rsids>
    <w:rsidRoot w:val="7A533946"/>
    <w:rsid w:val="00267ADA"/>
    <w:rsid w:val="01D30889"/>
    <w:rsid w:val="01F33622"/>
    <w:rsid w:val="0247556A"/>
    <w:rsid w:val="052F0625"/>
    <w:rsid w:val="074B3CB2"/>
    <w:rsid w:val="074F79B4"/>
    <w:rsid w:val="09607F46"/>
    <w:rsid w:val="097325E1"/>
    <w:rsid w:val="098D5F74"/>
    <w:rsid w:val="09955F8B"/>
    <w:rsid w:val="0A491099"/>
    <w:rsid w:val="0AC06197"/>
    <w:rsid w:val="0AE50887"/>
    <w:rsid w:val="0B041058"/>
    <w:rsid w:val="0B2E1846"/>
    <w:rsid w:val="0B652543"/>
    <w:rsid w:val="0B9C4D62"/>
    <w:rsid w:val="0DF10D45"/>
    <w:rsid w:val="0DFE559A"/>
    <w:rsid w:val="0E2F75DE"/>
    <w:rsid w:val="0F59002D"/>
    <w:rsid w:val="10D85AB6"/>
    <w:rsid w:val="11944CC5"/>
    <w:rsid w:val="11DE7F8F"/>
    <w:rsid w:val="14222236"/>
    <w:rsid w:val="160804E3"/>
    <w:rsid w:val="16544222"/>
    <w:rsid w:val="18383533"/>
    <w:rsid w:val="188A5E2D"/>
    <w:rsid w:val="1941239E"/>
    <w:rsid w:val="19DB074F"/>
    <w:rsid w:val="1B3B259F"/>
    <w:rsid w:val="1B764AD2"/>
    <w:rsid w:val="1BFC52A7"/>
    <w:rsid w:val="1CFA1874"/>
    <w:rsid w:val="1E352583"/>
    <w:rsid w:val="1F257CB7"/>
    <w:rsid w:val="1F3C18E6"/>
    <w:rsid w:val="1FC46AAC"/>
    <w:rsid w:val="2039587C"/>
    <w:rsid w:val="20F408B6"/>
    <w:rsid w:val="21217CBC"/>
    <w:rsid w:val="22F83A6F"/>
    <w:rsid w:val="24A719AE"/>
    <w:rsid w:val="24AD001A"/>
    <w:rsid w:val="261F62A9"/>
    <w:rsid w:val="264A402D"/>
    <w:rsid w:val="2741572B"/>
    <w:rsid w:val="274F39B2"/>
    <w:rsid w:val="27E62FAC"/>
    <w:rsid w:val="298612EE"/>
    <w:rsid w:val="2A136F26"/>
    <w:rsid w:val="2BCA6F65"/>
    <w:rsid w:val="2C166CE1"/>
    <w:rsid w:val="2CDF3555"/>
    <w:rsid w:val="2D2E54AB"/>
    <w:rsid w:val="2E522D8F"/>
    <w:rsid w:val="30730E37"/>
    <w:rsid w:val="30AF5C04"/>
    <w:rsid w:val="32007AD4"/>
    <w:rsid w:val="323400A4"/>
    <w:rsid w:val="32B35258"/>
    <w:rsid w:val="338B567D"/>
    <w:rsid w:val="33F5133C"/>
    <w:rsid w:val="34244149"/>
    <w:rsid w:val="34745AFB"/>
    <w:rsid w:val="34891EEF"/>
    <w:rsid w:val="356F733A"/>
    <w:rsid w:val="35764994"/>
    <w:rsid w:val="35FD7B19"/>
    <w:rsid w:val="36092BD1"/>
    <w:rsid w:val="36484BD4"/>
    <w:rsid w:val="36A9743F"/>
    <w:rsid w:val="37490FD0"/>
    <w:rsid w:val="37F37239"/>
    <w:rsid w:val="38016EF7"/>
    <w:rsid w:val="3A5131FB"/>
    <w:rsid w:val="3AE77802"/>
    <w:rsid w:val="3B231AE8"/>
    <w:rsid w:val="3CA04998"/>
    <w:rsid w:val="3D2F2395"/>
    <w:rsid w:val="3D8715A6"/>
    <w:rsid w:val="3EAB7882"/>
    <w:rsid w:val="3EDC7F89"/>
    <w:rsid w:val="3F6C2B90"/>
    <w:rsid w:val="428B3142"/>
    <w:rsid w:val="43F21893"/>
    <w:rsid w:val="441740DF"/>
    <w:rsid w:val="461E0749"/>
    <w:rsid w:val="469734F7"/>
    <w:rsid w:val="48725D81"/>
    <w:rsid w:val="48E1595E"/>
    <w:rsid w:val="49250F8D"/>
    <w:rsid w:val="49E557F1"/>
    <w:rsid w:val="4B1C3C17"/>
    <w:rsid w:val="4CFA440A"/>
    <w:rsid w:val="4FDB2A34"/>
    <w:rsid w:val="50342C5E"/>
    <w:rsid w:val="50502365"/>
    <w:rsid w:val="517F2AAC"/>
    <w:rsid w:val="51D53D1E"/>
    <w:rsid w:val="52FB6601"/>
    <w:rsid w:val="582F4D26"/>
    <w:rsid w:val="58AC0DD6"/>
    <w:rsid w:val="5A5902B0"/>
    <w:rsid w:val="5C0F5F7E"/>
    <w:rsid w:val="5CAD3CCD"/>
    <w:rsid w:val="5F751DF5"/>
    <w:rsid w:val="5FC53278"/>
    <w:rsid w:val="62C36CA3"/>
    <w:rsid w:val="63246EC6"/>
    <w:rsid w:val="652A31DB"/>
    <w:rsid w:val="654140B7"/>
    <w:rsid w:val="6589067C"/>
    <w:rsid w:val="664B7FCA"/>
    <w:rsid w:val="67CF1CCB"/>
    <w:rsid w:val="68425F41"/>
    <w:rsid w:val="698F7F71"/>
    <w:rsid w:val="6A5B13C3"/>
    <w:rsid w:val="6C3E42D0"/>
    <w:rsid w:val="6CEA6DDF"/>
    <w:rsid w:val="6D4D16F0"/>
    <w:rsid w:val="6DD733D3"/>
    <w:rsid w:val="6F556126"/>
    <w:rsid w:val="706D6F95"/>
    <w:rsid w:val="70FF5B11"/>
    <w:rsid w:val="715000AB"/>
    <w:rsid w:val="743E193F"/>
    <w:rsid w:val="7547180D"/>
    <w:rsid w:val="76CF643C"/>
    <w:rsid w:val="7739149B"/>
    <w:rsid w:val="77622C59"/>
    <w:rsid w:val="77F61F04"/>
    <w:rsid w:val="77FC7E73"/>
    <w:rsid w:val="7A533946"/>
    <w:rsid w:val="7AD666CB"/>
    <w:rsid w:val="7B8A4479"/>
    <w:rsid w:val="7C3F4427"/>
    <w:rsid w:val="7CFE5817"/>
    <w:rsid w:val="7DC40A4C"/>
    <w:rsid w:val="7E2E26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仿宋" w:hAnsi="仿宋" w:eastAsia="仿宋" w:cs="Times New Roman"/>
      <w:kern w:val="2"/>
      <w:sz w:val="32"/>
      <w:szCs w:val="24"/>
      <w:lang w:val="en-US" w:eastAsia="zh-CN" w:bidi="ar-SA"/>
    </w:rPr>
  </w:style>
  <w:style w:type="paragraph" w:styleId="2">
    <w:name w:val="heading 1"/>
    <w:basedOn w:val="1"/>
    <w:next w:val="1"/>
    <w:qFormat/>
    <w:uiPriority w:val="0"/>
    <w:pPr>
      <w:keepNext/>
      <w:keepLines/>
      <w:widowControl w:val="0"/>
      <w:adjustRightInd w:val="0"/>
      <w:snapToGrid w:val="0"/>
      <w:spacing w:line="360" w:lineRule="auto"/>
      <w:ind w:firstLine="0" w:firstLineChars="0"/>
      <w:jc w:val="center"/>
      <w:outlineLvl w:val="0"/>
    </w:pPr>
    <w:rPr>
      <w:rFonts w:ascii="Times New Roman" w:hAnsi="Times New Roman" w:eastAsia="宋体"/>
      <w:b/>
      <w:bCs/>
      <w:kern w:val="44"/>
      <w:sz w:val="44"/>
      <w:szCs w:val="44"/>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outlineLvl w:val="1"/>
    </w:pPr>
    <w:rPr>
      <w:rFonts w:ascii="Arial" w:hAnsi="Arial" w:eastAsia="黑体"/>
      <w:b/>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firstLine="640" w:firstLineChars="200"/>
    </w:pPr>
    <w:rPr>
      <w:rFonts w:ascii="宋体" w:hAnsi="宋体"/>
      <w:color w:val="000000"/>
      <w:sz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1521</Words>
  <Characters>1656</Characters>
  <Lines>0</Lines>
  <Paragraphs>0</Paragraphs>
  <TotalTime>3</TotalTime>
  <ScaleCrop>false</ScaleCrop>
  <LinksUpToDate>false</LinksUpToDate>
  <CharactersWithSpaces>1692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2019-04-15T01:10:00Z</dcterms:created>
  <dc:creator>暖风1382456015</dc:creator>
  <cp:lastModifiedBy>青春不复返</cp:lastModifiedBy>
  <cp:lastPrinted>2022-01-24T02:32:00Z</cp:lastPrinted>
  <dcterms:modified xsi:type="dcterms:W3CDTF">2024-09-14T03:11:28Z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CFC20E2C31524DB99438F28ACCA78B42_13</vt:lpwstr>
  </property>
</Properties>
</file>