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20B8BB">
      <w:pPr>
        <w:spacing w:line="360" w:lineRule="auto"/>
        <w:ind w:firstLine="960" w:firstLineChars="300"/>
        <w:rPr>
          <w:rStyle w:val="66"/>
          <w:rFonts w:ascii="宋体" w:hAnsi="宋体"/>
          <w:sz w:val="32"/>
          <w:highlight w:val="none"/>
        </w:rPr>
      </w:pPr>
    </w:p>
    <w:p w14:paraId="1F987742">
      <w:pPr>
        <w:widowControl w:val="0"/>
        <w:spacing w:line="360" w:lineRule="auto"/>
        <w:jc w:val="center"/>
        <w:textAlignment w:val="auto"/>
        <w:rPr>
          <w:rFonts w:hint="eastAsia" w:ascii="宋体" w:hAnsi="宋体" w:eastAsia="宋体"/>
          <w:b/>
          <w:bCs/>
          <w:spacing w:val="26"/>
          <w:sz w:val="44"/>
          <w:szCs w:val="72"/>
          <w:highlight w:val="none"/>
          <w:lang w:eastAsia="zh-CN"/>
        </w:rPr>
      </w:pPr>
      <w:r>
        <w:rPr>
          <w:rFonts w:hint="eastAsia" w:ascii="宋体" w:hAnsi="宋体" w:cs="宋体"/>
          <w:b/>
          <w:bCs/>
          <w:sz w:val="52"/>
          <w:szCs w:val="52"/>
          <w:highlight w:val="none"/>
          <w:lang w:eastAsia="zh-CN"/>
        </w:rPr>
        <w:t>海珠区妇女儿童医院建设项目永久用电工程</w:t>
      </w:r>
    </w:p>
    <w:p w14:paraId="4D0D5CA2">
      <w:pPr>
        <w:spacing w:line="360" w:lineRule="auto"/>
        <w:rPr>
          <w:rFonts w:ascii="宋体" w:hAnsi="宋体"/>
          <w:b/>
          <w:bCs/>
          <w:spacing w:val="26"/>
          <w:sz w:val="52"/>
          <w:szCs w:val="110"/>
          <w:highlight w:val="none"/>
        </w:rPr>
      </w:pPr>
    </w:p>
    <w:p w14:paraId="66C9DD7D">
      <w:pPr>
        <w:spacing w:line="360" w:lineRule="auto"/>
        <w:rPr>
          <w:rFonts w:ascii="宋体" w:hAnsi="宋体"/>
          <w:b/>
          <w:bCs/>
          <w:spacing w:val="26"/>
          <w:sz w:val="52"/>
          <w:szCs w:val="110"/>
          <w:highlight w:val="none"/>
        </w:rPr>
      </w:pPr>
    </w:p>
    <w:p w14:paraId="2116B4E2">
      <w:pPr>
        <w:spacing w:line="360" w:lineRule="auto"/>
        <w:rPr>
          <w:rFonts w:ascii="宋体" w:hAnsi="宋体"/>
          <w:b/>
          <w:bCs/>
          <w:spacing w:val="26"/>
          <w:sz w:val="52"/>
          <w:szCs w:val="110"/>
          <w:highlight w:val="none"/>
        </w:rPr>
      </w:pPr>
    </w:p>
    <w:p w14:paraId="056DEB56">
      <w:pPr>
        <w:spacing w:line="360" w:lineRule="auto"/>
        <w:rPr>
          <w:rFonts w:ascii="宋体" w:hAnsi="宋体"/>
          <w:b/>
          <w:bCs/>
          <w:spacing w:val="26"/>
          <w:sz w:val="44"/>
          <w:szCs w:val="110"/>
          <w:highlight w:val="none"/>
        </w:rPr>
      </w:pPr>
    </w:p>
    <w:p w14:paraId="2A74C7C5">
      <w:pPr>
        <w:spacing w:line="360" w:lineRule="auto"/>
        <w:jc w:val="center"/>
        <w:rPr>
          <w:rFonts w:ascii="宋体" w:hAnsi="宋体"/>
          <w:b/>
          <w:bCs/>
          <w:spacing w:val="26"/>
          <w:sz w:val="110"/>
          <w:szCs w:val="110"/>
          <w:highlight w:val="none"/>
        </w:rPr>
      </w:pPr>
      <w:r>
        <w:rPr>
          <w:rFonts w:hint="eastAsia" w:ascii="宋体" w:hAnsi="宋体"/>
          <w:b/>
          <w:bCs/>
          <w:spacing w:val="26"/>
          <w:sz w:val="110"/>
          <w:szCs w:val="110"/>
          <w:highlight w:val="none"/>
        </w:rPr>
        <w:t>招标文件</w:t>
      </w:r>
    </w:p>
    <w:p w14:paraId="5CC867EC">
      <w:pPr>
        <w:spacing w:line="360" w:lineRule="auto"/>
        <w:ind w:firstLine="2560" w:firstLineChars="800"/>
        <w:rPr>
          <w:rFonts w:ascii="宋体" w:hAnsi="宋体"/>
          <w:sz w:val="32"/>
          <w:highlight w:val="none"/>
        </w:rPr>
      </w:pPr>
    </w:p>
    <w:p w14:paraId="1C1D8574">
      <w:pPr>
        <w:spacing w:line="360" w:lineRule="auto"/>
        <w:rPr>
          <w:rFonts w:ascii="宋体" w:hAnsi="宋体"/>
          <w:sz w:val="52"/>
          <w:highlight w:val="none"/>
        </w:rPr>
      </w:pPr>
    </w:p>
    <w:p w14:paraId="0226FEAF">
      <w:pPr>
        <w:spacing w:line="360" w:lineRule="auto"/>
        <w:rPr>
          <w:rFonts w:ascii="宋体" w:hAnsi="宋体"/>
          <w:sz w:val="52"/>
          <w:highlight w:val="none"/>
        </w:rPr>
      </w:pPr>
    </w:p>
    <w:p w14:paraId="6400846C">
      <w:pPr>
        <w:spacing w:line="360" w:lineRule="auto"/>
        <w:rPr>
          <w:rFonts w:ascii="宋体" w:hAnsi="宋体"/>
          <w:sz w:val="52"/>
          <w:highlight w:val="none"/>
        </w:rPr>
      </w:pPr>
    </w:p>
    <w:p w14:paraId="18680D12">
      <w:pPr>
        <w:autoSpaceDE w:val="0"/>
        <w:autoSpaceDN w:val="0"/>
        <w:adjustRightInd w:val="0"/>
        <w:spacing w:line="360" w:lineRule="auto"/>
        <w:jc w:val="center"/>
        <w:rPr>
          <w:rFonts w:ascii="宋体" w:hAnsi="宋体"/>
          <w:b/>
          <w:bCs/>
          <w:sz w:val="32"/>
          <w:szCs w:val="32"/>
          <w:highlight w:val="none"/>
        </w:rPr>
      </w:pPr>
      <w:r>
        <w:rPr>
          <w:rFonts w:hint="eastAsia" w:ascii="宋体" w:hAnsi="宋体" w:cs="宋体"/>
          <w:b/>
          <w:bCs/>
          <w:sz w:val="32"/>
          <w:szCs w:val="30"/>
          <w:highlight w:val="none"/>
          <w:lang w:val="zh-CN"/>
        </w:rPr>
        <w:t>招标人：</w:t>
      </w:r>
      <w:r>
        <w:rPr>
          <w:rFonts w:hint="eastAsia" w:ascii="宋体" w:hAnsi="宋体" w:cs="宋体"/>
          <w:b/>
          <w:bCs/>
          <w:sz w:val="32"/>
          <w:szCs w:val="30"/>
          <w:highlight w:val="none"/>
        </w:rPr>
        <w:t>广州市海珠区重点工程项目建设中心</w:t>
      </w:r>
    </w:p>
    <w:p w14:paraId="60D3977E">
      <w:pPr>
        <w:autoSpaceDE w:val="0"/>
        <w:autoSpaceDN w:val="0"/>
        <w:adjustRightInd w:val="0"/>
        <w:spacing w:line="360" w:lineRule="auto"/>
        <w:jc w:val="center"/>
        <w:rPr>
          <w:rFonts w:hint="eastAsia" w:ascii="宋体" w:hAnsi="宋体" w:eastAsia="宋体" w:cs="宋体"/>
          <w:b/>
          <w:bCs/>
          <w:sz w:val="32"/>
          <w:szCs w:val="30"/>
          <w:highlight w:val="none"/>
          <w:lang w:eastAsia="zh-CN"/>
        </w:rPr>
      </w:pPr>
      <w:r>
        <w:rPr>
          <w:rFonts w:hint="eastAsia" w:ascii="宋体" w:hAnsi="宋体" w:cs="宋体"/>
          <w:b/>
          <w:bCs/>
          <w:sz w:val="32"/>
          <w:szCs w:val="30"/>
          <w:highlight w:val="none"/>
          <w:lang w:val="zh-CN"/>
        </w:rPr>
        <w:t>招标代理机构：</w:t>
      </w:r>
      <w:r>
        <w:rPr>
          <w:rFonts w:hint="eastAsia" w:ascii="宋体" w:hAnsi="宋体" w:cs="宋体"/>
          <w:b/>
          <w:bCs/>
          <w:sz w:val="32"/>
          <w:szCs w:val="30"/>
          <w:highlight w:val="none"/>
          <w:lang w:eastAsia="zh-CN"/>
        </w:rPr>
        <w:t>广东省机电设备招标有限公司</w:t>
      </w:r>
    </w:p>
    <w:p w14:paraId="712441C0">
      <w:pPr>
        <w:spacing w:line="360" w:lineRule="auto"/>
        <w:jc w:val="center"/>
        <w:rPr>
          <w:rFonts w:ascii="宋体" w:hAnsi="宋体"/>
          <w:sz w:val="32"/>
          <w:highlight w:val="none"/>
        </w:rPr>
      </w:pPr>
      <w:r>
        <w:rPr>
          <w:rFonts w:hint="eastAsia" w:ascii="宋体" w:hAnsi="宋体" w:cs="宋体"/>
          <w:b/>
          <w:bCs/>
          <w:sz w:val="32"/>
          <w:szCs w:val="30"/>
          <w:highlight w:val="none"/>
          <w:lang w:val="zh-CN"/>
        </w:rPr>
        <w:t>日期：</w:t>
      </w:r>
      <w:r>
        <w:rPr>
          <w:rFonts w:hint="eastAsia" w:ascii="宋体" w:hAnsi="宋体" w:cs="宋体"/>
          <w:b/>
          <w:bCs/>
          <w:sz w:val="32"/>
          <w:szCs w:val="30"/>
          <w:highlight w:val="none"/>
          <w:u w:val="single"/>
          <w:lang w:val="zh-CN"/>
        </w:rPr>
        <w:t>2024</w:t>
      </w:r>
      <w:r>
        <w:rPr>
          <w:rFonts w:hint="eastAsia" w:ascii="宋体" w:hAnsi="宋体" w:cs="宋体"/>
          <w:b/>
          <w:bCs/>
          <w:sz w:val="32"/>
          <w:szCs w:val="30"/>
          <w:highlight w:val="none"/>
          <w:lang w:val="zh-CN"/>
        </w:rPr>
        <w:t>年</w:t>
      </w:r>
      <w:r>
        <w:rPr>
          <w:rFonts w:hint="eastAsia" w:ascii="宋体" w:hAnsi="宋体" w:cs="宋体"/>
          <w:b/>
          <w:bCs/>
          <w:sz w:val="32"/>
          <w:szCs w:val="30"/>
          <w:highlight w:val="none"/>
          <w:u w:val="single"/>
          <w:lang w:val="en-US" w:eastAsia="zh-CN"/>
        </w:rPr>
        <w:t>9</w:t>
      </w:r>
      <w:r>
        <w:rPr>
          <w:rFonts w:hint="eastAsia" w:ascii="宋体" w:hAnsi="宋体" w:cs="宋体"/>
          <w:b/>
          <w:bCs/>
          <w:sz w:val="32"/>
          <w:szCs w:val="30"/>
          <w:highlight w:val="none"/>
          <w:lang w:val="zh-CN"/>
        </w:rPr>
        <w:t>月</w:t>
      </w:r>
    </w:p>
    <w:p w14:paraId="399F8295">
      <w:pPr>
        <w:spacing w:line="360" w:lineRule="auto"/>
        <w:ind w:firstLine="960" w:firstLineChars="300"/>
        <w:rPr>
          <w:rStyle w:val="66"/>
          <w:rFonts w:ascii="宋体" w:hAnsi="宋体"/>
          <w:sz w:val="32"/>
          <w:highlight w:val="none"/>
        </w:rPr>
      </w:pPr>
    </w:p>
    <w:p w14:paraId="71EFE853">
      <w:pPr>
        <w:spacing w:line="360" w:lineRule="auto"/>
        <w:ind w:firstLine="632" w:firstLineChars="300"/>
        <w:jc w:val="center"/>
        <w:rPr>
          <w:rStyle w:val="30"/>
          <w:rFonts w:ascii="宋体" w:hAnsi="宋体" w:eastAsia="宋体" w:cs="微软雅黑"/>
          <w:b/>
          <w:bCs/>
          <w:color w:val="auto"/>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18" w:right="1701" w:bottom="1418" w:left="1701" w:header="851" w:footer="907" w:gutter="0"/>
          <w:pgNumType w:start="0"/>
          <w:cols w:space="720" w:num="1"/>
          <w:titlePg/>
          <w:docGrid w:type="lines" w:linePitch="312" w:charSpace="0"/>
        </w:sectPr>
      </w:pPr>
    </w:p>
    <w:p w14:paraId="703B8C5D">
      <w:pPr>
        <w:spacing w:line="360" w:lineRule="auto"/>
        <w:ind w:firstLine="632" w:firstLineChars="300"/>
        <w:jc w:val="center"/>
        <w:rPr>
          <w:rStyle w:val="30"/>
          <w:rFonts w:ascii="宋体" w:hAnsi="宋体" w:eastAsia="宋体" w:cs="微软雅黑"/>
          <w:b/>
          <w:bCs/>
          <w:color w:val="auto"/>
          <w:highlight w:val="none"/>
        </w:rPr>
      </w:pPr>
    </w:p>
    <w:p w14:paraId="539FC0B5">
      <w:pPr>
        <w:spacing w:line="480" w:lineRule="auto"/>
        <w:jc w:val="center"/>
        <w:rPr>
          <w:rStyle w:val="30"/>
          <w:rFonts w:ascii="宋体" w:hAnsi="宋体" w:eastAsia="宋体" w:cs="宋体"/>
          <w:b/>
          <w:bCs/>
          <w:color w:val="auto"/>
          <w:sz w:val="28"/>
          <w:szCs w:val="28"/>
          <w:highlight w:val="none"/>
        </w:rPr>
      </w:pPr>
      <w:r>
        <w:rPr>
          <w:rStyle w:val="30"/>
          <w:rFonts w:ascii="宋体" w:hAnsi="宋体" w:eastAsia="宋体" w:cs="宋体"/>
          <w:b/>
          <w:bCs/>
          <w:color w:val="auto"/>
          <w:sz w:val="28"/>
          <w:szCs w:val="28"/>
          <w:highlight w:val="none"/>
        </w:rPr>
        <w:t>目录</w:t>
      </w:r>
    </w:p>
    <w:p w14:paraId="70763D7D">
      <w:pPr>
        <w:pStyle w:val="19"/>
        <w:tabs>
          <w:tab w:val="right" w:leader="dot" w:pos="9060"/>
        </w:tabs>
        <w:spacing w:line="480" w:lineRule="auto"/>
        <w:rPr>
          <w:rFonts w:ascii="宋体" w:hAnsi="宋体"/>
          <w:highlight w:val="none"/>
        </w:rPr>
      </w:pPr>
      <w:r>
        <w:rPr>
          <w:rFonts w:ascii="宋体" w:hAnsi="宋体"/>
          <w:sz w:val="32"/>
          <w:highlight w:val="none"/>
        </w:rPr>
        <w:fldChar w:fldCharType="begin"/>
      </w:r>
      <w:r>
        <w:rPr>
          <w:rFonts w:ascii="宋体" w:hAnsi="宋体"/>
          <w:sz w:val="32"/>
          <w:highlight w:val="none"/>
        </w:rPr>
        <w:instrText xml:space="preserve"> TOC \o "1-3" \h \z \u </w:instrText>
      </w:r>
      <w:r>
        <w:rPr>
          <w:rFonts w:ascii="宋体" w:hAnsi="宋体"/>
          <w:sz w:val="32"/>
          <w:highlight w:val="none"/>
        </w:rPr>
        <w:fldChar w:fldCharType="separate"/>
      </w:r>
      <w:r>
        <w:rPr>
          <w:highlight w:val="none"/>
        </w:rPr>
        <w:fldChar w:fldCharType="begin"/>
      </w:r>
      <w:r>
        <w:rPr>
          <w:highlight w:val="none"/>
        </w:rPr>
        <w:instrText xml:space="preserve"> HYPERLINK \l "_Toc105014619" </w:instrText>
      </w:r>
      <w:r>
        <w:rPr>
          <w:highlight w:val="none"/>
        </w:rPr>
        <w:fldChar w:fldCharType="separate"/>
      </w:r>
      <w:r>
        <w:rPr>
          <w:rFonts w:hint="eastAsia" w:ascii="宋体" w:hAnsi="宋体" w:eastAsia="宋体"/>
          <w:color w:val="auto"/>
          <w:highlight w:val="none"/>
        </w:rPr>
        <w:t>第一章投标须知</w:t>
      </w:r>
      <w:r>
        <w:rPr>
          <w:rFonts w:ascii="宋体" w:hAnsi="宋体"/>
          <w:highlight w:val="none"/>
        </w:rPr>
        <w:tab/>
      </w:r>
      <w:r>
        <w:rPr>
          <w:rFonts w:ascii="宋体" w:hAnsi="宋体"/>
          <w:highlight w:val="none"/>
        </w:rPr>
        <w:fldChar w:fldCharType="begin"/>
      </w:r>
      <w:r>
        <w:rPr>
          <w:rFonts w:ascii="宋体" w:hAnsi="宋体"/>
          <w:highlight w:val="none"/>
        </w:rPr>
        <w:instrText xml:space="preserve"> PAGEREF _Toc105014619 \h </w:instrText>
      </w:r>
      <w:r>
        <w:rPr>
          <w:rFonts w:ascii="宋体" w:hAnsi="宋体"/>
          <w:highlight w:val="none"/>
        </w:rPr>
        <w:fldChar w:fldCharType="separate"/>
      </w:r>
      <w:r>
        <w:rPr>
          <w:rFonts w:ascii="宋体" w:hAnsi="宋体"/>
          <w:highlight w:val="none"/>
        </w:rPr>
        <w:t>2</w:t>
      </w:r>
      <w:r>
        <w:rPr>
          <w:rFonts w:ascii="宋体" w:hAnsi="宋体"/>
          <w:highlight w:val="none"/>
        </w:rPr>
        <w:fldChar w:fldCharType="end"/>
      </w:r>
      <w:r>
        <w:rPr>
          <w:rFonts w:ascii="宋体" w:hAnsi="宋体"/>
          <w:highlight w:val="none"/>
        </w:rPr>
        <w:fldChar w:fldCharType="end"/>
      </w:r>
    </w:p>
    <w:p w14:paraId="60D859E0">
      <w:pPr>
        <w:pStyle w:val="20"/>
        <w:tabs>
          <w:tab w:val="right" w:leader="dot" w:pos="9060"/>
        </w:tabs>
        <w:spacing w:line="480" w:lineRule="auto"/>
        <w:rPr>
          <w:rFonts w:ascii="宋体" w:hAnsi="宋体"/>
          <w:highlight w:val="none"/>
        </w:rPr>
      </w:pPr>
      <w:r>
        <w:rPr>
          <w:highlight w:val="none"/>
        </w:rPr>
        <w:fldChar w:fldCharType="begin"/>
      </w:r>
      <w:r>
        <w:rPr>
          <w:highlight w:val="none"/>
        </w:rPr>
        <w:instrText xml:space="preserve"> HYPERLINK \l "_Toc105014620" </w:instrText>
      </w:r>
      <w:r>
        <w:rPr>
          <w:highlight w:val="none"/>
        </w:rPr>
        <w:fldChar w:fldCharType="separate"/>
      </w:r>
      <w:r>
        <w:rPr>
          <w:rFonts w:hint="eastAsia" w:ascii="宋体" w:hAnsi="宋体" w:eastAsia="宋体"/>
          <w:b/>
          <w:color w:val="auto"/>
          <w:highlight w:val="none"/>
        </w:rPr>
        <w:t>一、投标须知前附表</w:t>
      </w:r>
      <w:r>
        <w:rPr>
          <w:rFonts w:ascii="宋体" w:hAnsi="宋体"/>
          <w:highlight w:val="none"/>
        </w:rPr>
        <w:tab/>
      </w:r>
      <w:r>
        <w:rPr>
          <w:rFonts w:ascii="宋体" w:hAnsi="宋体"/>
          <w:highlight w:val="none"/>
        </w:rPr>
        <w:fldChar w:fldCharType="begin"/>
      </w:r>
      <w:r>
        <w:rPr>
          <w:rFonts w:ascii="宋体" w:hAnsi="宋体"/>
          <w:highlight w:val="none"/>
        </w:rPr>
        <w:instrText xml:space="preserve"> PAGEREF _Toc105014620 \h </w:instrText>
      </w:r>
      <w:r>
        <w:rPr>
          <w:rFonts w:ascii="宋体" w:hAnsi="宋体"/>
          <w:highlight w:val="none"/>
        </w:rPr>
        <w:fldChar w:fldCharType="separate"/>
      </w:r>
      <w:r>
        <w:rPr>
          <w:rFonts w:ascii="宋体" w:hAnsi="宋体"/>
          <w:highlight w:val="none"/>
        </w:rPr>
        <w:t>2</w:t>
      </w:r>
      <w:r>
        <w:rPr>
          <w:rFonts w:ascii="宋体" w:hAnsi="宋体"/>
          <w:highlight w:val="none"/>
        </w:rPr>
        <w:fldChar w:fldCharType="end"/>
      </w:r>
      <w:r>
        <w:rPr>
          <w:rFonts w:ascii="宋体" w:hAnsi="宋体"/>
          <w:highlight w:val="none"/>
        </w:rPr>
        <w:fldChar w:fldCharType="end"/>
      </w:r>
    </w:p>
    <w:p w14:paraId="2C028C3D">
      <w:pPr>
        <w:pStyle w:val="20"/>
        <w:tabs>
          <w:tab w:val="right" w:leader="dot" w:pos="9060"/>
        </w:tabs>
        <w:spacing w:line="480" w:lineRule="auto"/>
        <w:rPr>
          <w:rFonts w:ascii="宋体" w:hAnsi="宋体"/>
          <w:highlight w:val="none"/>
        </w:rPr>
      </w:pPr>
      <w:r>
        <w:rPr>
          <w:highlight w:val="none"/>
        </w:rPr>
        <w:fldChar w:fldCharType="begin"/>
      </w:r>
      <w:r>
        <w:rPr>
          <w:highlight w:val="none"/>
        </w:rPr>
        <w:instrText xml:space="preserve"> HYPERLINK \l "_Toc105014622" </w:instrText>
      </w:r>
      <w:r>
        <w:rPr>
          <w:highlight w:val="none"/>
        </w:rPr>
        <w:fldChar w:fldCharType="separate"/>
      </w:r>
      <w:r>
        <w:rPr>
          <w:rFonts w:hint="eastAsia" w:ascii="宋体" w:hAnsi="宋体" w:eastAsia="宋体"/>
          <w:b/>
          <w:color w:val="auto"/>
          <w:highlight w:val="none"/>
        </w:rPr>
        <w:t>二、投标须知修改表</w:t>
      </w:r>
      <w:r>
        <w:rPr>
          <w:rFonts w:ascii="宋体" w:hAnsi="宋体"/>
          <w:highlight w:val="none"/>
        </w:rPr>
        <w:tab/>
      </w:r>
      <w:r>
        <w:rPr>
          <w:rFonts w:hint="eastAsia" w:ascii="宋体" w:hAnsi="宋体"/>
          <w:highlight w:val="none"/>
        </w:rPr>
        <w:t>7</w:t>
      </w:r>
      <w:r>
        <w:rPr>
          <w:rFonts w:hint="eastAsia" w:ascii="宋体" w:hAnsi="宋体"/>
          <w:highlight w:val="none"/>
        </w:rPr>
        <w:fldChar w:fldCharType="end"/>
      </w:r>
    </w:p>
    <w:p w14:paraId="714D1F6D">
      <w:pPr>
        <w:pStyle w:val="20"/>
        <w:tabs>
          <w:tab w:val="right" w:leader="dot" w:pos="9060"/>
        </w:tabs>
        <w:spacing w:line="480" w:lineRule="auto"/>
        <w:rPr>
          <w:rFonts w:ascii="宋体" w:hAnsi="宋体"/>
          <w:highlight w:val="none"/>
        </w:rPr>
      </w:pPr>
      <w:r>
        <w:rPr>
          <w:highlight w:val="none"/>
        </w:rPr>
        <w:fldChar w:fldCharType="begin"/>
      </w:r>
      <w:r>
        <w:rPr>
          <w:highlight w:val="none"/>
        </w:rPr>
        <w:instrText xml:space="preserve"> HYPERLINK \l "_Toc105014623" </w:instrText>
      </w:r>
      <w:r>
        <w:rPr>
          <w:highlight w:val="none"/>
        </w:rPr>
        <w:fldChar w:fldCharType="separate"/>
      </w:r>
      <w:r>
        <w:rPr>
          <w:rFonts w:hint="eastAsia" w:ascii="宋体" w:hAnsi="宋体" w:eastAsia="宋体"/>
          <w:b/>
          <w:color w:val="auto"/>
          <w:highlight w:val="none"/>
        </w:rPr>
        <w:t>三、投标须知通用条款</w:t>
      </w:r>
      <w:r>
        <w:rPr>
          <w:rFonts w:ascii="宋体" w:hAnsi="宋体"/>
          <w:highlight w:val="none"/>
        </w:rPr>
        <w:tab/>
      </w:r>
      <w:r>
        <w:rPr>
          <w:rFonts w:hint="eastAsia" w:ascii="宋体" w:hAnsi="宋体"/>
          <w:highlight w:val="none"/>
        </w:rPr>
        <w:t>18</w:t>
      </w:r>
      <w:r>
        <w:rPr>
          <w:rFonts w:hint="eastAsia" w:ascii="宋体" w:hAnsi="宋体"/>
          <w:highlight w:val="none"/>
        </w:rPr>
        <w:fldChar w:fldCharType="end"/>
      </w:r>
    </w:p>
    <w:p w14:paraId="2B0EA664">
      <w:pPr>
        <w:pStyle w:val="19"/>
        <w:tabs>
          <w:tab w:val="right" w:leader="dot" w:pos="9060"/>
        </w:tabs>
        <w:spacing w:line="480" w:lineRule="auto"/>
        <w:rPr>
          <w:rFonts w:ascii="宋体" w:hAnsi="宋体"/>
          <w:highlight w:val="none"/>
        </w:rPr>
      </w:pPr>
      <w:r>
        <w:rPr>
          <w:highlight w:val="none"/>
        </w:rPr>
        <w:fldChar w:fldCharType="begin"/>
      </w:r>
      <w:r>
        <w:rPr>
          <w:highlight w:val="none"/>
        </w:rPr>
        <w:instrText xml:space="preserve"> HYPERLINK \l "_Toc105014629" </w:instrText>
      </w:r>
      <w:r>
        <w:rPr>
          <w:highlight w:val="none"/>
        </w:rPr>
        <w:fldChar w:fldCharType="separate"/>
      </w:r>
      <w:r>
        <w:rPr>
          <w:rFonts w:hint="eastAsia" w:ascii="宋体" w:hAnsi="宋体" w:eastAsia="宋体"/>
          <w:color w:val="auto"/>
          <w:highlight w:val="none"/>
        </w:rPr>
        <w:t>第二章开标、评标及定标办法</w:t>
      </w:r>
      <w:r>
        <w:rPr>
          <w:rFonts w:ascii="宋体" w:hAnsi="宋体"/>
          <w:highlight w:val="none"/>
        </w:rPr>
        <w:tab/>
      </w:r>
      <w:r>
        <w:rPr>
          <w:rFonts w:hint="eastAsia" w:ascii="宋体" w:hAnsi="宋体"/>
          <w:highlight w:val="none"/>
        </w:rPr>
        <w:t>28</w:t>
      </w:r>
      <w:r>
        <w:rPr>
          <w:rFonts w:hint="eastAsia" w:ascii="宋体" w:hAnsi="宋体"/>
          <w:highlight w:val="none"/>
        </w:rPr>
        <w:fldChar w:fldCharType="end"/>
      </w:r>
    </w:p>
    <w:p w14:paraId="7CCE035A">
      <w:pPr>
        <w:pStyle w:val="20"/>
        <w:tabs>
          <w:tab w:val="right" w:leader="dot" w:pos="9060"/>
        </w:tabs>
        <w:spacing w:line="480" w:lineRule="auto"/>
        <w:rPr>
          <w:rFonts w:ascii="宋体" w:hAnsi="宋体"/>
          <w:highlight w:val="none"/>
        </w:rPr>
      </w:pPr>
      <w:r>
        <w:rPr>
          <w:highlight w:val="none"/>
        </w:rPr>
        <w:fldChar w:fldCharType="begin"/>
      </w:r>
      <w:r>
        <w:rPr>
          <w:highlight w:val="none"/>
        </w:rPr>
        <w:instrText xml:space="preserve"> HYPERLINK \l "_Toc105014630" </w:instrText>
      </w:r>
      <w:r>
        <w:rPr>
          <w:highlight w:val="none"/>
        </w:rPr>
        <w:fldChar w:fldCharType="separate"/>
      </w:r>
      <w:r>
        <w:rPr>
          <w:rFonts w:hint="eastAsia" w:ascii="宋体" w:hAnsi="宋体" w:eastAsia="宋体"/>
          <w:b/>
          <w:color w:val="auto"/>
          <w:highlight w:val="none"/>
        </w:rPr>
        <w:t>一、开标、评标及定标办法修改表</w:t>
      </w:r>
      <w:r>
        <w:rPr>
          <w:rFonts w:ascii="宋体" w:hAnsi="宋体"/>
          <w:highlight w:val="none"/>
        </w:rPr>
        <w:tab/>
      </w:r>
      <w:r>
        <w:rPr>
          <w:rFonts w:hint="eastAsia" w:ascii="宋体" w:hAnsi="宋体"/>
          <w:highlight w:val="none"/>
        </w:rPr>
        <w:t>28</w:t>
      </w:r>
      <w:r>
        <w:rPr>
          <w:rFonts w:hint="eastAsia" w:ascii="宋体" w:hAnsi="宋体"/>
          <w:highlight w:val="none"/>
        </w:rPr>
        <w:fldChar w:fldCharType="end"/>
      </w:r>
    </w:p>
    <w:p w14:paraId="78A79B67">
      <w:pPr>
        <w:pStyle w:val="20"/>
        <w:tabs>
          <w:tab w:val="right" w:leader="dot" w:pos="9060"/>
        </w:tabs>
        <w:spacing w:line="480" w:lineRule="auto"/>
        <w:rPr>
          <w:rFonts w:ascii="宋体" w:hAnsi="宋体"/>
          <w:highlight w:val="none"/>
        </w:rPr>
      </w:pPr>
      <w:r>
        <w:rPr>
          <w:highlight w:val="none"/>
        </w:rPr>
        <w:fldChar w:fldCharType="begin"/>
      </w:r>
      <w:r>
        <w:rPr>
          <w:highlight w:val="none"/>
        </w:rPr>
        <w:instrText xml:space="preserve"> HYPERLINK \l "_Toc105014631" </w:instrText>
      </w:r>
      <w:r>
        <w:rPr>
          <w:highlight w:val="none"/>
        </w:rPr>
        <w:fldChar w:fldCharType="separate"/>
      </w:r>
      <w:r>
        <w:rPr>
          <w:rFonts w:hint="eastAsia" w:ascii="宋体" w:hAnsi="宋体" w:eastAsia="宋体"/>
          <w:b/>
          <w:color w:val="auto"/>
          <w:highlight w:val="none"/>
        </w:rPr>
        <w:t>二、开标、评标及定标办法通用条款</w:t>
      </w:r>
      <w:r>
        <w:rPr>
          <w:rFonts w:ascii="宋体" w:hAnsi="宋体"/>
          <w:highlight w:val="none"/>
        </w:rPr>
        <w:tab/>
      </w:r>
      <w:r>
        <w:rPr>
          <w:rFonts w:hint="eastAsia" w:ascii="宋体" w:hAnsi="宋体"/>
          <w:highlight w:val="none"/>
        </w:rPr>
        <w:t>35</w:t>
      </w:r>
      <w:r>
        <w:rPr>
          <w:rFonts w:hint="eastAsia" w:ascii="宋体" w:hAnsi="宋体"/>
          <w:highlight w:val="none"/>
        </w:rPr>
        <w:fldChar w:fldCharType="end"/>
      </w:r>
    </w:p>
    <w:p w14:paraId="2187351E">
      <w:pPr>
        <w:pStyle w:val="14"/>
        <w:tabs>
          <w:tab w:val="right" w:leader="dot" w:pos="9060"/>
        </w:tabs>
        <w:spacing w:line="480" w:lineRule="auto"/>
        <w:rPr>
          <w:rFonts w:ascii="宋体" w:hAnsi="宋体"/>
          <w:highlight w:val="none"/>
        </w:rPr>
      </w:pPr>
      <w:r>
        <w:rPr>
          <w:highlight w:val="none"/>
        </w:rPr>
        <w:fldChar w:fldCharType="begin"/>
      </w:r>
      <w:r>
        <w:rPr>
          <w:highlight w:val="none"/>
        </w:rPr>
        <w:instrText xml:space="preserve"> HYPERLINK \l "_Toc105014634" </w:instrText>
      </w:r>
      <w:r>
        <w:rPr>
          <w:highlight w:val="none"/>
        </w:rPr>
        <w:fldChar w:fldCharType="separate"/>
      </w:r>
      <w:r>
        <w:rPr>
          <w:rFonts w:hint="eastAsia" w:ascii="宋体" w:hAnsi="宋体" w:eastAsia="宋体"/>
          <w:b/>
          <w:bCs/>
          <w:color w:val="auto"/>
          <w:highlight w:val="none"/>
        </w:rPr>
        <w:t>可选办法七（适合综合评分法四，技术标与经济标同时开启）</w:t>
      </w:r>
      <w:r>
        <w:rPr>
          <w:rFonts w:ascii="宋体" w:hAnsi="宋体"/>
          <w:highlight w:val="none"/>
        </w:rPr>
        <w:tab/>
      </w:r>
      <w:r>
        <w:rPr>
          <w:rFonts w:hint="eastAsia" w:ascii="宋体" w:hAnsi="宋体"/>
          <w:highlight w:val="none"/>
        </w:rPr>
        <w:t>35</w:t>
      </w:r>
      <w:r>
        <w:rPr>
          <w:rFonts w:hint="eastAsia" w:ascii="宋体" w:hAnsi="宋体"/>
          <w:highlight w:val="none"/>
        </w:rPr>
        <w:fldChar w:fldCharType="end"/>
      </w:r>
    </w:p>
    <w:p w14:paraId="5A083B64">
      <w:pPr>
        <w:pStyle w:val="19"/>
        <w:tabs>
          <w:tab w:val="right" w:leader="dot" w:pos="9060"/>
        </w:tabs>
        <w:spacing w:line="480" w:lineRule="auto"/>
        <w:rPr>
          <w:rFonts w:ascii="宋体" w:hAnsi="宋体"/>
          <w:highlight w:val="none"/>
        </w:rPr>
      </w:pPr>
      <w:r>
        <w:rPr>
          <w:highlight w:val="none"/>
        </w:rPr>
        <w:fldChar w:fldCharType="begin"/>
      </w:r>
      <w:r>
        <w:rPr>
          <w:highlight w:val="none"/>
        </w:rPr>
        <w:instrText xml:space="preserve"> HYPERLINK \l "_Toc105014636" </w:instrText>
      </w:r>
      <w:r>
        <w:rPr>
          <w:highlight w:val="none"/>
        </w:rPr>
        <w:fldChar w:fldCharType="separate"/>
      </w:r>
      <w:r>
        <w:rPr>
          <w:rFonts w:hint="eastAsia" w:ascii="宋体" w:hAnsi="宋体" w:eastAsia="宋体"/>
          <w:color w:val="auto"/>
          <w:highlight w:val="none"/>
        </w:rPr>
        <w:t>第三章合同条款</w:t>
      </w:r>
      <w:r>
        <w:rPr>
          <w:rFonts w:ascii="宋体" w:hAnsi="宋体"/>
          <w:highlight w:val="none"/>
        </w:rPr>
        <w:tab/>
      </w:r>
      <w:r>
        <w:rPr>
          <w:rFonts w:hint="eastAsia" w:ascii="宋体" w:hAnsi="宋体"/>
          <w:highlight w:val="none"/>
        </w:rPr>
        <w:t>52</w:t>
      </w:r>
      <w:r>
        <w:rPr>
          <w:rFonts w:hint="eastAsia" w:ascii="宋体" w:hAnsi="宋体"/>
          <w:highlight w:val="none"/>
        </w:rPr>
        <w:fldChar w:fldCharType="end"/>
      </w:r>
    </w:p>
    <w:p w14:paraId="70A6A36D">
      <w:pPr>
        <w:pStyle w:val="19"/>
        <w:tabs>
          <w:tab w:val="right" w:leader="dot" w:pos="9060"/>
        </w:tabs>
        <w:spacing w:line="480" w:lineRule="auto"/>
        <w:rPr>
          <w:rFonts w:ascii="宋体" w:hAnsi="宋体"/>
          <w:highlight w:val="none"/>
        </w:rPr>
      </w:pPr>
      <w:r>
        <w:rPr>
          <w:highlight w:val="none"/>
        </w:rPr>
        <w:fldChar w:fldCharType="begin"/>
      </w:r>
      <w:r>
        <w:rPr>
          <w:highlight w:val="none"/>
        </w:rPr>
        <w:instrText xml:space="preserve"> HYPERLINK \l "_Toc105014637" </w:instrText>
      </w:r>
      <w:r>
        <w:rPr>
          <w:highlight w:val="none"/>
        </w:rPr>
        <w:fldChar w:fldCharType="separate"/>
      </w:r>
      <w:r>
        <w:rPr>
          <w:rFonts w:hint="eastAsia" w:ascii="宋体" w:hAnsi="宋体" w:eastAsia="宋体"/>
          <w:color w:val="auto"/>
          <w:highlight w:val="none"/>
        </w:rPr>
        <w:t>第四章投标文件格式</w:t>
      </w:r>
      <w:r>
        <w:rPr>
          <w:rFonts w:ascii="宋体" w:hAnsi="宋体"/>
          <w:highlight w:val="none"/>
        </w:rPr>
        <w:tab/>
      </w:r>
      <w:r>
        <w:rPr>
          <w:rFonts w:hint="eastAsia" w:ascii="宋体" w:hAnsi="宋体"/>
          <w:highlight w:val="none"/>
        </w:rPr>
        <w:t>53</w:t>
      </w:r>
      <w:r>
        <w:rPr>
          <w:rFonts w:hint="eastAsia" w:ascii="宋体" w:hAnsi="宋体"/>
          <w:highlight w:val="none"/>
        </w:rPr>
        <w:fldChar w:fldCharType="end"/>
      </w:r>
    </w:p>
    <w:p w14:paraId="2BF3A9EA">
      <w:pPr>
        <w:pStyle w:val="19"/>
        <w:tabs>
          <w:tab w:val="right" w:leader="dot" w:pos="9060"/>
        </w:tabs>
        <w:spacing w:line="480" w:lineRule="auto"/>
        <w:rPr>
          <w:rFonts w:ascii="宋体" w:hAnsi="宋体"/>
          <w:highlight w:val="none"/>
        </w:rPr>
      </w:pPr>
      <w:r>
        <w:rPr>
          <w:highlight w:val="none"/>
        </w:rPr>
        <w:fldChar w:fldCharType="begin"/>
      </w:r>
      <w:r>
        <w:rPr>
          <w:highlight w:val="none"/>
        </w:rPr>
        <w:instrText xml:space="preserve"> HYPERLINK \l "_Toc105014638" </w:instrText>
      </w:r>
      <w:r>
        <w:rPr>
          <w:highlight w:val="none"/>
        </w:rPr>
        <w:fldChar w:fldCharType="separate"/>
      </w:r>
      <w:r>
        <w:rPr>
          <w:rFonts w:hint="eastAsia" w:ascii="宋体" w:hAnsi="宋体" w:eastAsia="宋体"/>
          <w:color w:val="auto"/>
          <w:highlight w:val="none"/>
        </w:rPr>
        <w:t>第五章技术条件（工程建设标准）</w:t>
      </w:r>
      <w:r>
        <w:rPr>
          <w:rFonts w:ascii="宋体" w:hAnsi="宋体"/>
          <w:highlight w:val="none"/>
        </w:rPr>
        <w:tab/>
      </w:r>
      <w:r>
        <w:rPr>
          <w:rFonts w:hint="eastAsia" w:ascii="宋体" w:hAnsi="宋体"/>
          <w:highlight w:val="none"/>
        </w:rPr>
        <w:t>60</w:t>
      </w:r>
      <w:r>
        <w:rPr>
          <w:rFonts w:hint="eastAsia" w:ascii="宋体" w:hAnsi="宋体"/>
          <w:highlight w:val="none"/>
        </w:rPr>
        <w:fldChar w:fldCharType="end"/>
      </w:r>
    </w:p>
    <w:p w14:paraId="3337EF9E">
      <w:pPr>
        <w:pStyle w:val="19"/>
        <w:tabs>
          <w:tab w:val="right" w:leader="dot" w:pos="9060"/>
        </w:tabs>
        <w:spacing w:line="480" w:lineRule="auto"/>
        <w:rPr>
          <w:rFonts w:ascii="宋体" w:hAnsi="宋体"/>
          <w:highlight w:val="none"/>
        </w:rPr>
      </w:pPr>
      <w:r>
        <w:rPr>
          <w:highlight w:val="none"/>
        </w:rPr>
        <w:fldChar w:fldCharType="begin"/>
      </w:r>
      <w:r>
        <w:rPr>
          <w:highlight w:val="none"/>
        </w:rPr>
        <w:instrText xml:space="preserve"> HYPERLINK \l "_Toc105014639" </w:instrText>
      </w:r>
      <w:r>
        <w:rPr>
          <w:highlight w:val="none"/>
        </w:rPr>
        <w:fldChar w:fldCharType="separate"/>
      </w:r>
      <w:r>
        <w:rPr>
          <w:rFonts w:hint="eastAsia" w:ascii="宋体" w:hAnsi="宋体" w:eastAsia="宋体"/>
          <w:color w:val="auto"/>
          <w:highlight w:val="none"/>
        </w:rPr>
        <w:t>第六章图纸及勘察资料</w:t>
      </w:r>
      <w:r>
        <w:rPr>
          <w:rFonts w:ascii="宋体" w:hAnsi="宋体"/>
          <w:highlight w:val="none"/>
        </w:rPr>
        <w:tab/>
      </w:r>
      <w:r>
        <w:rPr>
          <w:rFonts w:hint="eastAsia" w:ascii="宋体" w:hAnsi="宋体"/>
          <w:highlight w:val="none"/>
        </w:rPr>
        <w:t>61</w:t>
      </w:r>
      <w:r>
        <w:rPr>
          <w:rFonts w:hint="eastAsia" w:ascii="宋体" w:hAnsi="宋体"/>
          <w:highlight w:val="none"/>
        </w:rPr>
        <w:fldChar w:fldCharType="end"/>
      </w:r>
    </w:p>
    <w:p w14:paraId="40ADEAD0">
      <w:pPr>
        <w:pStyle w:val="19"/>
        <w:tabs>
          <w:tab w:val="right" w:leader="dot" w:pos="9060"/>
        </w:tabs>
        <w:spacing w:line="480" w:lineRule="auto"/>
        <w:rPr>
          <w:rFonts w:ascii="宋体" w:hAnsi="宋体"/>
          <w:highlight w:val="none"/>
        </w:rPr>
      </w:pPr>
      <w:r>
        <w:rPr>
          <w:highlight w:val="none"/>
        </w:rPr>
        <w:fldChar w:fldCharType="begin"/>
      </w:r>
      <w:r>
        <w:rPr>
          <w:highlight w:val="none"/>
        </w:rPr>
        <w:instrText xml:space="preserve"> HYPERLINK \l "_Toc105014640" </w:instrText>
      </w:r>
      <w:r>
        <w:rPr>
          <w:highlight w:val="none"/>
        </w:rPr>
        <w:fldChar w:fldCharType="separate"/>
      </w:r>
      <w:r>
        <w:rPr>
          <w:rFonts w:hint="eastAsia" w:ascii="宋体" w:hAnsi="宋体" w:eastAsia="宋体"/>
          <w:color w:val="auto"/>
          <w:highlight w:val="none"/>
        </w:rPr>
        <w:t>第七章工程量清单</w:t>
      </w:r>
      <w:r>
        <w:rPr>
          <w:rFonts w:ascii="宋体" w:hAnsi="宋体"/>
          <w:highlight w:val="none"/>
        </w:rPr>
        <w:tab/>
      </w:r>
      <w:r>
        <w:rPr>
          <w:rFonts w:hint="eastAsia" w:ascii="宋体" w:hAnsi="宋体"/>
          <w:highlight w:val="none"/>
        </w:rPr>
        <w:t>62</w:t>
      </w:r>
      <w:r>
        <w:rPr>
          <w:rFonts w:hint="eastAsia" w:ascii="宋体" w:hAnsi="宋体"/>
          <w:highlight w:val="none"/>
        </w:rPr>
        <w:fldChar w:fldCharType="end"/>
      </w:r>
    </w:p>
    <w:p w14:paraId="6005ECFA">
      <w:pPr>
        <w:pStyle w:val="19"/>
        <w:tabs>
          <w:tab w:val="right" w:leader="dot" w:pos="9060"/>
        </w:tabs>
        <w:spacing w:line="480" w:lineRule="auto"/>
        <w:rPr>
          <w:highlight w:val="none"/>
        </w:rPr>
      </w:pPr>
      <w:r>
        <w:rPr>
          <w:highlight w:val="none"/>
        </w:rPr>
        <w:fldChar w:fldCharType="begin"/>
      </w:r>
      <w:r>
        <w:rPr>
          <w:highlight w:val="none"/>
        </w:rPr>
        <w:instrText xml:space="preserve"> HYPERLINK \l "_Toc105014641" </w:instrText>
      </w:r>
      <w:r>
        <w:rPr>
          <w:highlight w:val="none"/>
        </w:rPr>
        <w:fldChar w:fldCharType="separate"/>
      </w:r>
      <w:r>
        <w:rPr>
          <w:rFonts w:hint="eastAsia" w:ascii="宋体" w:hAnsi="宋体" w:eastAsia="宋体"/>
          <w:color w:val="auto"/>
          <w:highlight w:val="none"/>
        </w:rPr>
        <w:t>第八章最高投标限价</w:t>
      </w:r>
      <w:r>
        <w:rPr>
          <w:rFonts w:ascii="宋体" w:hAnsi="宋体"/>
          <w:highlight w:val="none"/>
        </w:rPr>
        <w:tab/>
      </w:r>
      <w:r>
        <w:rPr>
          <w:rFonts w:hint="eastAsia" w:ascii="宋体" w:hAnsi="宋体"/>
          <w:highlight w:val="none"/>
        </w:rPr>
        <w:t>63</w:t>
      </w:r>
      <w:r>
        <w:rPr>
          <w:rFonts w:hint="eastAsia" w:ascii="宋体" w:hAnsi="宋体"/>
          <w:highlight w:val="none"/>
        </w:rPr>
        <w:fldChar w:fldCharType="end"/>
      </w:r>
    </w:p>
    <w:p w14:paraId="47E0F039">
      <w:pPr>
        <w:pStyle w:val="113"/>
        <w:spacing w:line="480" w:lineRule="auto"/>
        <w:rPr>
          <w:rFonts w:ascii="宋体" w:hAnsi="宋体"/>
          <w:highlight w:val="none"/>
        </w:rPr>
      </w:pPr>
      <w:r>
        <w:rPr>
          <w:rFonts w:ascii="宋体" w:hAnsi="宋体"/>
          <w:sz w:val="32"/>
          <w:highlight w:val="none"/>
        </w:rPr>
        <w:fldChar w:fldCharType="end"/>
      </w:r>
    </w:p>
    <w:p w14:paraId="02DD568A">
      <w:pPr>
        <w:pStyle w:val="116"/>
        <w:spacing w:line="276" w:lineRule="auto"/>
        <w:outlineLvl w:val="0"/>
        <w:rPr>
          <w:rStyle w:val="66"/>
          <w:rFonts w:ascii="宋体" w:hAnsi="宋体"/>
          <w:bCs/>
          <w:highlight w:val="none"/>
        </w:rPr>
      </w:pPr>
      <w:r>
        <w:rPr>
          <w:rStyle w:val="66"/>
          <w:rFonts w:ascii="宋体" w:hAnsi="宋体"/>
          <w:b w:val="0"/>
          <w:highlight w:val="none"/>
        </w:rPr>
        <w:br w:type="page"/>
      </w:r>
      <w:bookmarkStart w:id="0" w:name="_Toc105014619"/>
      <w:r>
        <w:rPr>
          <w:rStyle w:val="66"/>
          <w:rFonts w:ascii="宋体" w:hAnsi="宋体"/>
          <w:bCs/>
          <w:highlight w:val="none"/>
        </w:rPr>
        <w:t>第一章  投标须知</w:t>
      </w:r>
      <w:bookmarkEnd w:id="0"/>
    </w:p>
    <w:p w14:paraId="3642C59E">
      <w:pPr>
        <w:pStyle w:val="123"/>
        <w:spacing w:line="276" w:lineRule="auto"/>
        <w:outlineLvl w:val="1"/>
        <w:rPr>
          <w:rStyle w:val="66"/>
          <w:rFonts w:ascii="宋体" w:hAnsi="宋体"/>
          <w:b/>
          <w:color w:val="auto"/>
          <w:sz w:val="21"/>
          <w:szCs w:val="21"/>
          <w:highlight w:val="none"/>
        </w:rPr>
      </w:pPr>
      <w:bookmarkStart w:id="1" w:name="_Toc105014620"/>
      <w:r>
        <w:rPr>
          <w:rStyle w:val="66"/>
          <w:rFonts w:ascii="宋体" w:hAnsi="宋体"/>
          <w:b/>
          <w:color w:val="auto"/>
          <w:sz w:val="21"/>
          <w:szCs w:val="21"/>
          <w:highlight w:val="none"/>
        </w:rPr>
        <w:t>一、投标须知前附表</w:t>
      </w:r>
      <w:bookmarkEnd w:id="1"/>
    </w:p>
    <w:p w14:paraId="2DAA0121">
      <w:pPr>
        <w:pStyle w:val="89"/>
        <w:spacing w:line="276" w:lineRule="auto"/>
        <w:ind w:firstLine="0"/>
        <w:rPr>
          <w:rStyle w:val="66"/>
          <w:rFonts w:ascii="宋体" w:hAnsi="宋体"/>
          <w:b/>
          <w:szCs w:val="21"/>
          <w:highlight w:val="none"/>
        </w:rPr>
      </w:pPr>
      <w:r>
        <w:rPr>
          <w:rStyle w:val="66"/>
          <w:rFonts w:ascii="宋体" w:hAnsi="宋体"/>
          <w:b/>
          <w:szCs w:val="21"/>
          <w:highlight w:val="none"/>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26"/>
        <w:tblW w:w="0" w:type="auto"/>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633"/>
        <w:gridCol w:w="944"/>
        <w:gridCol w:w="1494"/>
        <w:gridCol w:w="5689"/>
      </w:tblGrid>
      <w:tr w14:paraId="512CBAA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633" w:type="dxa"/>
            <w:vAlign w:val="center"/>
          </w:tcPr>
          <w:p w14:paraId="5D4CE351">
            <w:pPr>
              <w:spacing w:line="276" w:lineRule="auto"/>
              <w:jc w:val="center"/>
              <w:rPr>
                <w:rStyle w:val="66"/>
                <w:rFonts w:ascii="宋体" w:hAnsi="宋体"/>
                <w:b/>
                <w:color w:val="auto"/>
                <w:szCs w:val="21"/>
                <w:highlight w:val="none"/>
              </w:rPr>
            </w:pPr>
            <w:r>
              <w:rPr>
                <w:rStyle w:val="66"/>
                <w:rFonts w:ascii="宋体" w:hAnsi="宋体"/>
                <w:b/>
                <w:color w:val="auto"/>
                <w:szCs w:val="21"/>
                <w:highlight w:val="none"/>
              </w:rPr>
              <w:t>项目</w:t>
            </w:r>
          </w:p>
        </w:tc>
        <w:tc>
          <w:tcPr>
            <w:tcW w:w="944" w:type="dxa"/>
            <w:vAlign w:val="center"/>
          </w:tcPr>
          <w:p w14:paraId="30F313CC">
            <w:pPr>
              <w:spacing w:line="276" w:lineRule="auto"/>
              <w:jc w:val="center"/>
              <w:rPr>
                <w:rStyle w:val="66"/>
                <w:rFonts w:ascii="宋体" w:hAnsi="宋体"/>
                <w:b/>
                <w:color w:val="auto"/>
                <w:szCs w:val="21"/>
                <w:highlight w:val="none"/>
              </w:rPr>
            </w:pPr>
            <w:r>
              <w:rPr>
                <w:rStyle w:val="66"/>
                <w:rFonts w:ascii="宋体" w:hAnsi="宋体"/>
                <w:b/>
                <w:color w:val="auto"/>
                <w:szCs w:val="21"/>
                <w:highlight w:val="none"/>
              </w:rPr>
              <w:t>条款号</w:t>
            </w:r>
          </w:p>
        </w:tc>
        <w:tc>
          <w:tcPr>
            <w:tcW w:w="1494" w:type="dxa"/>
            <w:vAlign w:val="center"/>
          </w:tcPr>
          <w:p w14:paraId="769A322E">
            <w:pPr>
              <w:spacing w:line="276" w:lineRule="auto"/>
              <w:jc w:val="center"/>
              <w:rPr>
                <w:rStyle w:val="66"/>
                <w:rFonts w:ascii="宋体" w:hAnsi="宋体"/>
                <w:b/>
                <w:color w:val="auto"/>
                <w:szCs w:val="21"/>
                <w:highlight w:val="none"/>
              </w:rPr>
            </w:pPr>
            <w:r>
              <w:rPr>
                <w:rStyle w:val="66"/>
                <w:rFonts w:ascii="宋体" w:hAnsi="宋体"/>
                <w:b/>
                <w:color w:val="auto"/>
                <w:szCs w:val="21"/>
                <w:highlight w:val="none"/>
              </w:rPr>
              <w:t>内容</w:t>
            </w:r>
          </w:p>
        </w:tc>
        <w:tc>
          <w:tcPr>
            <w:tcW w:w="5689" w:type="dxa"/>
            <w:vAlign w:val="center"/>
          </w:tcPr>
          <w:p w14:paraId="66BE1218">
            <w:pPr>
              <w:pStyle w:val="15"/>
              <w:spacing w:line="276" w:lineRule="auto"/>
              <w:ind w:firstLine="17"/>
              <w:jc w:val="center"/>
              <w:rPr>
                <w:rStyle w:val="66"/>
                <w:rFonts w:ascii="宋体" w:hAnsi="宋体"/>
                <w:b/>
                <w:color w:val="auto"/>
                <w:kern w:val="2"/>
                <w:sz w:val="21"/>
                <w:szCs w:val="21"/>
                <w:highlight w:val="none"/>
              </w:rPr>
            </w:pPr>
            <w:r>
              <w:rPr>
                <w:rStyle w:val="66"/>
                <w:rFonts w:ascii="宋体" w:hAnsi="宋体"/>
                <w:b/>
                <w:color w:val="auto"/>
                <w:kern w:val="2"/>
                <w:sz w:val="21"/>
                <w:szCs w:val="21"/>
                <w:highlight w:val="none"/>
              </w:rPr>
              <w:t>说明与要求</w:t>
            </w:r>
          </w:p>
        </w:tc>
      </w:tr>
      <w:tr w14:paraId="1820175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633" w:type="dxa"/>
            <w:vAlign w:val="center"/>
          </w:tcPr>
          <w:p w14:paraId="506089CE">
            <w:pPr>
              <w:spacing w:line="276" w:lineRule="auto"/>
              <w:jc w:val="center"/>
              <w:rPr>
                <w:rStyle w:val="66"/>
                <w:rFonts w:ascii="宋体" w:hAnsi="宋体"/>
                <w:color w:val="auto"/>
                <w:szCs w:val="21"/>
                <w:highlight w:val="none"/>
              </w:rPr>
            </w:pPr>
            <w:r>
              <w:rPr>
                <w:rStyle w:val="66"/>
                <w:rFonts w:ascii="宋体" w:hAnsi="宋体"/>
                <w:color w:val="auto"/>
                <w:szCs w:val="21"/>
                <w:highlight w:val="none"/>
              </w:rPr>
              <w:t>1</w:t>
            </w:r>
          </w:p>
        </w:tc>
        <w:tc>
          <w:tcPr>
            <w:tcW w:w="944" w:type="dxa"/>
            <w:tcBorders>
              <w:left w:val="single" w:color="000000" w:sz="4" w:space="0"/>
            </w:tcBorders>
            <w:vAlign w:val="center"/>
          </w:tcPr>
          <w:p w14:paraId="50546D43">
            <w:pPr>
              <w:spacing w:line="276" w:lineRule="auto"/>
              <w:jc w:val="center"/>
              <w:rPr>
                <w:rStyle w:val="66"/>
                <w:rFonts w:ascii="宋体" w:hAnsi="宋体"/>
                <w:color w:val="auto"/>
                <w:szCs w:val="21"/>
                <w:highlight w:val="none"/>
              </w:rPr>
            </w:pPr>
            <w:r>
              <w:rPr>
                <w:rStyle w:val="66"/>
                <w:rFonts w:ascii="宋体" w:hAnsi="宋体"/>
                <w:color w:val="auto"/>
                <w:szCs w:val="21"/>
                <w:highlight w:val="none"/>
              </w:rPr>
              <w:t>1</w:t>
            </w:r>
          </w:p>
        </w:tc>
        <w:tc>
          <w:tcPr>
            <w:tcW w:w="1494" w:type="dxa"/>
            <w:tcBorders>
              <w:left w:val="single" w:color="000000" w:sz="4" w:space="0"/>
            </w:tcBorders>
            <w:vAlign w:val="center"/>
          </w:tcPr>
          <w:p w14:paraId="27113BE0">
            <w:pPr>
              <w:spacing w:line="276" w:lineRule="auto"/>
              <w:jc w:val="center"/>
              <w:rPr>
                <w:rStyle w:val="66"/>
                <w:rFonts w:ascii="宋体" w:hAnsi="宋体"/>
                <w:color w:val="auto"/>
                <w:szCs w:val="21"/>
                <w:highlight w:val="none"/>
              </w:rPr>
            </w:pPr>
            <w:r>
              <w:rPr>
                <w:rStyle w:val="66"/>
                <w:rFonts w:ascii="宋体" w:hAnsi="宋体"/>
                <w:color w:val="auto"/>
                <w:szCs w:val="21"/>
                <w:highlight w:val="none"/>
              </w:rPr>
              <w:t>定义</w:t>
            </w:r>
          </w:p>
        </w:tc>
        <w:tc>
          <w:tcPr>
            <w:tcW w:w="5689" w:type="dxa"/>
            <w:tcBorders>
              <w:left w:val="single" w:color="000000" w:sz="4" w:space="0"/>
            </w:tcBorders>
            <w:vAlign w:val="center"/>
          </w:tcPr>
          <w:p w14:paraId="19EB81E3">
            <w:pPr>
              <w:spacing w:line="276" w:lineRule="auto"/>
              <w:rPr>
                <w:rStyle w:val="66"/>
                <w:rFonts w:ascii="宋体" w:hAnsi="宋体"/>
                <w:color w:val="auto"/>
                <w:szCs w:val="21"/>
                <w:highlight w:val="none"/>
              </w:rPr>
            </w:pPr>
            <w:r>
              <w:rPr>
                <w:rStyle w:val="66"/>
                <w:rFonts w:ascii="宋体" w:hAnsi="宋体"/>
                <w:color w:val="auto"/>
                <w:szCs w:val="21"/>
                <w:highlight w:val="none"/>
              </w:rPr>
              <w:t>招标人：</w:t>
            </w:r>
            <w:r>
              <w:rPr>
                <w:rStyle w:val="66"/>
                <w:rFonts w:hint="eastAsia"/>
                <w:color w:val="auto"/>
                <w:highlight w:val="none"/>
              </w:rPr>
              <w:t>广州市海珠区重点工程项目建设中心</w:t>
            </w:r>
          </w:p>
          <w:p w14:paraId="21D89832">
            <w:pPr>
              <w:spacing w:line="276" w:lineRule="auto"/>
              <w:rPr>
                <w:rStyle w:val="66"/>
                <w:rFonts w:hint="eastAsia" w:ascii="宋体" w:hAnsi="宋体" w:eastAsia="宋体"/>
                <w:color w:val="auto"/>
                <w:szCs w:val="21"/>
                <w:highlight w:val="none"/>
                <w:lang w:eastAsia="zh-CN"/>
              </w:rPr>
            </w:pPr>
            <w:r>
              <w:rPr>
                <w:rStyle w:val="66"/>
                <w:rFonts w:ascii="宋体" w:hAnsi="宋体"/>
                <w:color w:val="auto"/>
                <w:szCs w:val="21"/>
                <w:highlight w:val="none"/>
              </w:rPr>
              <w:t>招标代理：</w:t>
            </w:r>
            <w:r>
              <w:rPr>
                <w:rStyle w:val="66"/>
                <w:rFonts w:hint="eastAsia"/>
                <w:color w:val="auto"/>
                <w:highlight w:val="none"/>
                <w:lang w:eastAsia="zh-CN"/>
              </w:rPr>
              <w:t>广东省机电设备招标有限公司</w:t>
            </w:r>
          </w:p>
          <w:p w14:paraId="59A77229">
            <w:pPr>
              <w:pStyle w:val="113"/>
              <w:spacing w:line="276" w:lineRule="auto"/>
              <w:rPr>
                <w:rStyle w:val="66"/>
                <w:rFonts w:eastAsia="宋体"/>
                <w:color w:val="auto"/>
                <w:highlight w:val="none"/>
                <w:lang w:val="en-US" w:eastAsia="zh-CN"/>
              </w:rPr>
            </w:pPr>
            <w:r>
              <w:rPr>
                <w:rStyle w:val="66"/>
                <w:color w:val="auto"/>
                <w:highlight w:val="none"/>
              </w:rPr>
              <w:t>设计单位</w:t>
            </w:r>
            <w:r>
              <w:rPr>
                <w:rStyle w:val="66"/>
                <w:rFonts w:hint="eastAsia"/>
                <w:color w:val="auto"/>
                <w:highlight w:val="none"/>
              </w:rPr>
              <w:t>：</w:t>
            </w:r>
            <w:r>
              <w:rPr>
                <w:rStyle w:val="66"/>
                <w:rFonts w:hint="eastAsia"/>
                <w:color w:val="auto"/>
                <w:highlight w:val="none"/>
                <w:lang w:val="en-US" w:eastAsia="zh-CN"/>
              </w:rPr>
              <w:t>广州致新电力科技有限公司</w:t>
            </w:r>
          </w:p>
          <w:p w14:paraId="67212C2B">
            <w:pPr>
              <w:pStyle w:val="113"/>
              <w:spacing w:line="276" w:lineRule="auto"/>
              <w:rPr>
                <w:rStyle w:val="66"/>
                <w:color w:val="auto"/>
                <w:highlight w:val="none"/>
              </w:rPr>
            </w:pPr>
            <w:r>
              <w:rPr>
                <w:rStyle w:val="66"/>
                <w:rFonts w:hint="eastAsia"/>
                <w:color w:val="auto"/>
                <w:highlight w:val="none"/>
              </w:rPr>
              <w:t>监理单位：广东省建筑工程监理有限公司</w:t>
            </w:r>
          </w:p>
        </w:tc>
      </w:tr>
      <w:tr w14:paraId="4980FFD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633" w:type="dxa"/>
            <w:vAlign w:val="center"/>
          </w:tcPr>
          <w:p w14:paraId="5201CBA6">
            <w:pPr>
              <w:spacing w:line="276" w:lineRule="auto"/>
              <w:jc w:val="center"/>
              <w:rPr>
                <w:rStyle w:val="66"/>
                <w:rFonts w:ascii="宋体" w:hAnsi="宋体"/>
                <w:color w:val="auto"/>
                <w:szCs w:val="21"/>
                <w:highlight w:val="none"/>
              </w:rPr>
            </w:pPr>
            <w:r>
              <w:rPr>
                <w:rStyle w:val="66"/>
                <w:rFonts w:ascii="宋体" w:hAnsi="宋体"/>
                <w:color w:val="auto"/>
                <w:szCs w:val="21"/>
                <w:highlight w:val="none"/>
              </w:rPr>
              <w:t>2</w:t>
            </w:r>
          </w:p>
        </w:tc>
        <w:tc>
          <w:tcPr>
            <w:tcW w:w="944" w:type="dxa"/>
            <w:tcBorders>
              <w:left w:val="single" w:color="000000" w:sz="4" w:space="0"/>
            </w:tcBorders>
            <w:vAlign w:val="center"/>
          </w:tcPr>
          <w:p w14:paraId="497C3416">
            <w:pPr>
              <w:spacing w:line="276" w:lineRule="auto"/>
              <w:jc w:val="center"/>
              <w:rPr>
                <w:rStyle w:val="66"/>
                <w:rFonts w:ascii="宋体" w:hAnsi="宋体"/>
                <w:color w:val="auto"/>
                <w:szCs w:val="21"/>
                <w:highlight w:val="none"/>
              </w:rPr>
            </w:pPr>
            <w:r>
              <w:rPr>
                <w:rStyle w:val="66"/>
                <w:rFonts w:ascii="宋体" w:hAnsi="宋体"/>
                <w:color w:val="auto"/>
                <w:szCs w:val="21"/>
                <w:highlight w:val="none"/>
              </w:rPr>
              <w:t>2.2</w:t>
            </w:r>
          </w:p>
        </w:tc>
        <w:tc>
          <w:tcPr>
            <w:tcW w:w="1494" w:type="dxa"/>
            <w:tcBorders>
              <w:left w:val="single" w:color="000000" w:sz="4" w:space="0"/>
            </w:tcBorders>
            <w:vAlign w:val="center"/>
          </w:tcPr>
          <w:p w14:paraId="33C2EEB0">
            <w:pPr>
              <w:spacing w:line="276" w:lineRule="auto"/>
              <w:jc w:val="center"/>
              <w:rPr>
                <w:rStyle w:val="66"/>
                <w:rFonts w:ascii="宋体" w:hAnsi="宋体"/>
                <w:color w:val="auto"/>
                <w:szCs w:val="21"/>
                <w:highlight w:val="none"/>
              </w:rPr>
            </w:pPr>
            <w:r>
              <w:rPr>
                <w:rStyle w:val="66"/>
                <w:rFonts w:ascii="宋体" w:hAnsi="宋体"/>
                <w:color w:val="auto"/>
                <w:szCs w:val="21"/>
                <w:highlight w:val="none"/>
              </w:rPr>
              <w:t>工程名称</w:t>
            </w:r>
          </w:p>
        </w:tc>
        <w:tc>
          <w:tcPr>
            <w:tcW w:w="5689" w:type="dxa"/>
            <w:tcBorders>
              <w:left w:val="single" w:color="000000" w:sz="4" w:space="0"/>
            </w:tcBorders>
            <w:vAlign w:val="center"/>
          </w:tcPr>
          <w:p w14:paraId="0C97BEB6">
            <w:pPr>
              <w:spacing w:line="276" w:lineRule="auto"/>
              <w:rPr>
                <w:rStyle w:val="66"/>
                <w:rFonts w:hint="eastAsia" w:ascii="宋体" w:hAnsi="宋体" w:eastAsia="宋体"/>
                <w:color w:val="auto"/>
                <w:szCs w:val="21"/>
                <w:highlight w:val="none"/>
                <w:lang w:eastAsia="zh-CN"/>
              </w:rPr>
            </w:pPr>
            <w:r>
              <w:rPr>
                <w:rStyle w:val="66"/>
                <w:rFonts w:hint="eastAsia"/>
                <w:color w:val="auto"/>
                <w:highlight w:val="none"/>
                <w:lang w:eastAsia="zh-CN"/>
              </w:rPr>
              <w:t>海珠区妇女儿童医院建设项目永久用电工程</w:t>
            </w:r>
          </w:p>
        </w:tc>
      </w:tr>
      <w:tr w14:paraId="14816E7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633" w:type="dxa"/>
            <w:vAlign w:val="center"/>
          </w:tcPr>
          <w:p w14:paraId="0F81155B">
            <w:pPr>
              <w:spacing w:line="276" w:lineRule="auto"/>
              <w:jc w:val="center"/>
              <w:rPr>
                <w:rStyle w:val="66"/>
                <w:rFonts w:ascii="宋体" w:hAnsi="宋体"/>
                <w:color w:val="auto"/>
                <w:szCs w:val="21"/>
                <w:highlight w:val="none"/>
              </w:rPr>
            </w:pPr>
            <w:r>
              <w:rPr>
                <w:rStyle w:val="66"/>
                <w:rFonts w:ascii="宋体" w:hAnsi="宋体"/>
                <w:color w:val="auto"/>
                <w:szCs w:val="21"/>
                <w:highlight w:val="none"/>
              </w:rPr>
              <w:t>3</w:t>
            </w:r>
          </w:p>
        </w:tc>
        <w:tc>
          <w:tcPr>
            <w:tcW w:w="944" w:type="dxa"/>
            <w:tcBorders>
              <w:left w:val="single" w:color="000000" w:sz="4" w:space="0"/>
            </w:tcBorders>
            <w:vAlign w:val="center"/>
          </w:tcPr>
          <w:p w14:paraId="4AB15643">
            <w:pPr>
              <w:spacing w:line="276" w:lineRule="auto"/>
              <w:jc w:val="center"/>
              <w:rPr>
                <w:rStyle w:val="66"/>
                <w:rFonts w:ascii="宋体" w:hAnsi="宋体"/>
                <w:color w:val="auto"/>
                <w:szCs w:val="21"/>
                <w:highlight w:val="none"/>
              </w:rPr>
            </w:pPr>
            <w:r>
              <w:rPr>
                <w:rStyle w:val="66"/>
                <w:rFonts w:ascii="宋体" w:hAnsi="宋体"/>
                <w:color w:val="auto"/>
                <w:szCs w:val="21"/>
                <w:highlight w:val="none"/>
              </w:rPr>
              <w:t>2.2</w:t>
            </w:r>
          </w:p>
        </w:tc>
        <w:tc>
          <w:tcPr>
            <w:tcW w:w="1494" w:type="dxa"/>
            <w:tcBorders>
              <w:left w:val="single" w:color="000000" w:sz="4" w:space="0"/>
            </w:tcBorders>
            <w:vAlign w:val="center"/>
          </w:tcPr>
          <w:p w14:paraId="7EBA5D3C">
            <w:pPr>
              <w:spacing w:line="276" w:lineRule="auto"/>
              <w:jc w:val="center"/>
              <w:rPr>
                <w:rStyle w:val="66"/>
                <w:rFonts w:ascii="宋体" w:hAnsi="宋体"/>
                <w:color w:val="auto"/>
                <w:szCs w:val="21"/>
                <w:highlight w:val="none"/>
              </w:rPr>
            </w:pPr>
            <w:r>
              <w:rPr>
                <w:rStyle w:val="66"/>
                <w:rFonts w:ascii="宋体" w:hAnsi="宋体"/>
                <w:color w:val="auto"/>
                <w:szCs w:val="21"/>
                <w:highlight w:val="none"/>
              </w:rPr>
              <w:t>建设地点</w:t>
            </w:r>
          </w:p>
        </w:tc>
        <w:tc>
          <w:tcPr>
            <w:tcW w:w="5689" w:type="dxa"/>
            <w:tcBorders>
              <w:left w:val="single" w:color="000000" w:sz="4" w:space="0"/>
            </w:tcBorders>
            <w:vAlign w:val="center"/>
          </w:tcPr>
          <w:p w14:paraId="43075593">
            <w:pPr>
              <w:spacing w:line="276" w:lineRule="auto"/>
              <w:rPr>
                <w:rStyle w:val="66"/>
                <w:rFonts w:ascii="宋体" w:hAnsi="宋体"/>
                <w:color w:val="auto"/>
                <w:szCs w:val="21"/>
                <w:highlight w:val="none"/>
              </w:rPr>
            </w:pPr>
            <w:r>
              <w:rPr>
                <w:rStyle w:val="66"/>
                <w:rFonts w:ascii="宋体" w:hAnsi="宋体"/>
                <w:color w:val="auto"/>
                <w:szCs w:val="21"/>
                <w:highlight w:val="none"/>
              </w:rPr>
              <w:t>详见本工程招标公告。</w:t>
            </w:r>
          </w:p>
        </w:tc>
      </w:tr>
      <w:tr w14:paraId="4248F1D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633" w:type="dxa"/>
            <w:vAlign w:val="center"/>
          </w:tcPr>
          <w:p w14:paraId="3CBF48B9">
            <w:pPr>
              <w:spacing w:line="276" w:lineRule="auto"/>
              <w:jc w:val="center"/>
              <w:rPr>
                <w:rStyle w:val="66"/>
                <w:rFonts w:ascii="宋体" w:hAnsi="宋体"/>
                <w:color w:val="auto"/>
                <w:szCs w:val="21"/>
                <w:highlight w:val="none"/>
              </w:rPr>
            </w:pPr>
            <w:r>
              <w:rPr>
                <w:rStyle w:val="66"/>
                <w:rFonts w:ascii="宋体" w:hAnsi="宋体"/>
                <w:color w:val="auto"/>
                <w:szCs w:val="21"/>
                <w:highlight w:val="none"/>
              </w:rPr>
              <w:t>4</w:t>
            </w:r>
          </w:p>
        </w:tc>
        <w:tc>
          <w:tcPr>
            <w:tcW w:w="944" w:type="dxa"/>
            <w:tcBorders>
              <w:left w:val="single" w:color="000000" w:sz="4" w:space="0"/>
            </w:tcBorders>
            <w:vAlign w:val="center"/>
          </w:tcPr>
          <w:p w14:paraId="0EE3AB72">
            <w:pPr>
              <w:spacing w:line="276" w:lineRule="auto"/>
              <w:jc w:val="center"/>
              <w:rPr>
                <w:rStyle w:val="66"/>
                <w:rFonts w:ascii="宋体" w:hAnsi="宋体"/>
                <w:color w:val="auto"/>
                <w:szCs w:val="21"/>
                <w:highlight w:val="none"/>
              </w:rPr>
            </w:pPr>
            <w:r>
              <w:rPr>
                <w:rStyle w:val="66"/>
                <w:rFonts w:ascii="宋体" w:hAnsi="宋体"/>
                <w:color w:val="auto"/>
                <w:szCs w:val="21"/>
                <w:highlight w:val="none"/>
              </w:rPr>
              <w:t>2.2</w:t>
            </w:r>
          </w:p>
        </w:tc>
        <w:tc>
          <w:tcPr>
            <w:tcW w:w="1494" w:type="dxa"/>
            <w:tcBorders>
              <w:left w:val="single" w:color="000000" w:sz="4" w:space="0"/>
            </w:tcBorders>
            <w:vAlign w:val="center"/>
          </w:tcPr>
          <w:p w14:paraId="5B2E9DDF">
            <w:pPr>
              <w:spacing w:line="276" w:lineRule="auto"/>
              <w:jc w:val="center"/>
              <w:rPr>
                <w:rStyle w:val="66"/>
                <w:rFonts w:ascii="宋体" w:hAnsi="宋体"/>
                <w:color w:val="auto"/>
                <w:szCs w:val="21"/>
                <w:highlight w:val="none"/>
              </w:rPr>
            </w:pPr>
            <w:r>
              <w:rPr>
                <w:rStyle w:val="66"/>
                <w:rFonts w:ascii="宋体" w:hAnsi="宋体"/>
                <w:color w:val="auto"/>
                <w:szCs w:val="21"/>
                <w:highlight w:val="none"/>
              </w:rPr>
              <w:t>建设规模</w:t>
            </w:r>
          </w:p>
        </w:tc>
        <w:tc>
          <w:tcPr>
            <w:tcW w:w="5689" w:type="dxa"/>
            <w:tcBorders>
              <w:left w:val="single" w:color="000000" w:sz="4" w:space="0"/>
            </w:tcBorders>
            <w:vAlign w:val="center"/>
          </w:tcPr>
          <w:p w14:paraId="5853CF73">
            <w:pPr>
              <w:spacing w:line="276" w:lineRule="auto"/>
              <w:rPr>
                <w:rStyle w:val="66"/>
                <w:rFonts w:ascii="宋体" w:hAnsi="宋体"/>
                <w:color w:val="auto"/>
                <w:szCs w:val="21"/>
                <w:highlight w:val="none"/>
              </w:rPr>
            </w:pPr>
            <w:r>
              <w:rPr>
                <w:rStyle w:val="66"/>
                <w:rFonts w:ascii="宋体" w:hAnsi="宋体"/>
                <w:color w:val="auto"/>
                <w:szCs w:val="21"/>
                <w:highlight w:val="none"/>
              </w:rPr>
              <w:t>详见本工程招标公告。</w:t>
            </w:r>
          </w:p>
        </w:tc>
      </w:tr>
      <w:tr w14:paraId="132F2D5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633" w:type="dxa"/>
            <w:vAlign w:val="center"/>
          </w:tcPr>
          <w:p w14:paraId="3BCAEBA0">
            <w:pPr>
              <w:spacing w:line="276" w:lineRule="auto"/>
              <w:jc w:val="center"/>
              <w:rPr>
                <w:rStyle w:val="66"/>
                <w:rFonts w:ascii="宋体" w:hAnsi="宋体"/>
                <w:color w:val="auto"/>
                <w:szCs w:val="21"/>
                <w:highlight w:val="none"/>
              </w:rPr>
            </w:pPr>
            <w:r>
              <w:rPr>
                <w:rStyle w:val="66"/>
                <w:rFonts w:ascii="宋体" w:hAnsi="宋体"/>
                <w:color w:val="auto"/>
                <w:szCs w:val="21"/>
                <w:highlight w:val="none"/>
              </w:rPr>
              <w:t>5</w:t>
            </w:r>
          </w:p>
        </w:tc>
        <w:tc>
          <w:tcPr>
            <w:tcW w:w="944" w:type="dxa"/>
            <w:tcBorders>
              <w:left w:val="single" w:color="000000" w:sz="4" w:space="0"/>
            </w:tcBorders>
            <w:vAlign w:val="center"/>
          </w:tcPr>
          <w:p w14:paraId="02D90333">
            <w:pPr>
              <w:spacing w:line="276" w:lineRule="auto"/>
              <w:jc w:val="center"/>
              <w:rPr>
                <w:rStyle w:val="66"/>
                <w:rFonts w:ascii="宋体" w:hAnsi="宋体"/>
                <w:color w:val="auto"/>
                <w:szCs w:val="21"/>
                <w:highlight w:val="none"/>
              </w:rPr>
            </w:pPr>
            <w:r>
              <w:rPr>
                <w:rStyle w:val="66"/>
                <w:rFonts w:ascii="宋体" w:hAnsi="宋体"/>
                <w:color w:val="auto"/>
                <w:szCs w:val="21"/>
                <w:highlight w:val="none"/>
              </w:rPr>
              <w:t>2.2</w:t>
            </w:r>
          </w:p>
        </w:tc>
        <w:tc>
          <w:tcPr>
            <w:tcW w:w="1494" w:type="dxa"/>
            <w:tcBorders>
              <w:left w:val="single" w:color="000000" w:sz="4" w:space="0"/>
            </w:tcBorders>
            <w:vAlign w:val="center"/>
          </w:tcPr>
          <w:p w14:paraId="127C6B1C">
            <w:pPr>
              <w:spacing w:line="276" w:lineRule="auto"/>
              <w:jc w:val="center"/>
              <w:rPr>
                <w:rStyle w:val="66"/>
                <w:rFonts w:ascii="宋体" w:hAnsi="宋体"/>
                <w:color w:val="auto"/>
                <w:szCs w:val="21"/>
                <w:highlight w:val="none"/>
              </w:rPr>
            </w:pPr>
            <w:r>
              <w:rPr>
                <w:rStyle w:val="66"/>
                <w:rFonts w:ascii="宋体" w:hAnsi="宋体"/>
                <w:color w:val="auto"/>
                <w:szCs w:val="21"/>
                <w:highlight w:val="none"/>
              </w:rPr>
              <w:t>承包方式</w:t>
            </w:r>
          </w:p>
        </w:tc>
        <w:tc>
          <w:tcPr>
            <w:tcW w:w="5689" w:type="dxa"/>
            <w:tcBorders>
              <w:left w:val="single" w:color="000000" w:sz="4" w:space="0"/>
            </w:tcBorders>
            <w:vAlign w:val="center"/>
          </w:tcPr>
          <w:p w14:paraId="4A62964B">
            <w:pPr>
              <w:spacing w:line="276" w:lineRule="auto"/>
              <w:rPr>
                <w:rStyle w:val="66"/>
                <w:rFonts w:ascii="宋体" w:hAnsi="宋体"/>
                <w:color w:val="auto"/>
                <w:szCs w:val="21"/>
                <w:highlight w:val="none"/>
              </w:rPr>
            </w:pPr>
            <w:r>
              <w:rPr>
                <w:rStyle w:val="66"/>
                <w:color w:val="auto"/>
                <w:szCs w:val="21"/>
                <w:highlight w:val="none"/>
              </w:rPr>
              <w:t>按</w:t>
            </w:r>
            <w:r>
              <w:rPr>
                <w:rStyle w:val="66"/>
                <w:rFonts w:hint="eastAsia"/>
                <w:color w:val="auto"/>
                <w:szCs w:val="21"/>
                <w:highlight w:val="none"/>
              </w:rPr>
              <w:t>工程承包范围</w:t>
            </w:r>
            <w:r>
              <w:rPr>
                <w:rStyle w:val="66"/>
                <w:color w:val="auto"/>
                <w:szCs w:val="21"/>
                <w:highlight w:val="none"/>
              </w:rPr>
              <w:t>采用</w:t>
            </w:r>
            <w:r>
              <w:rPr>
                <w:rStyle w:val="66"/>
                <w:rFonts w:hint="eastAsia"/>
                <w:color w:val="auto"/>
                <w:szCs w:val="21"/>
                <w:highlight w:val="none"/>
              </w:rPr>
              <w:t>综合单价</w:t>
            </w:r>
            <w:r>
              <w:rPr>
                <w:rStyle w:val="66"/>
                <w:color w:val="auto"/>
                <w:szCs w:val="21"/>
                <w:highlight w:val="none"/>
              </w:rPr>
              <w:t>包干</w:t>
            </w:r>
            <w:r>
              <w:rPr>
                <w:rStyle w:val="66"/>
                <w:rFonts w:hint="eastAsia"/>
                <w:color w:val="auto"/>
                <w:szCs w:val="21"/>
                <w:highlight w:val="none"/>
              </w:rPr>
              <w:t>，项目措施费包干，其他项目费包干</w:t>
            </w:r>
            <w:r>
              <w:rPr>
                <w:rStyle w:val="66"/>
                <w:color w:val="auto"/>
                <w:szCs w:val="21"/>
                <w:highlight w:val="none"/>
              </w:rPr>
              <w:t>。</w:t>
            </w:r>
            <w:r>
              <w:rPr>
                <w:rStyle w:val="66"/>
                <w:rFonts w:hint="eastAsia"/>
                <w:color w:val="auto"/>
                <w:szCs w:val="21"/>
                <w:highlight w:val="none"/>
              </w:rPr>
              <w:t>承包人包送电方案、包报建、包深化设计、</w:t>
            </w:r>
            <w:r>
              <w:rPr>
                <w:rStyle w:val="66"/>
                <w:color w:val="auto"/>
                <w:szCs w:val="21"/>
                <w:highlight w:val="none"/>
              </w:rPr>
              <w:t>包工、包料、包机械设备、</w:t>
            </w:r>
            <w:r>
              <w:rPr>
                <w:rStyle w:val="66"/>
                <w:rFonts w:hint="eastAsia"/>
                <w:color w:val="auto"/>
                <w:szCs w:val="21"/>
                <w:highlight w:val="none"/>
              </w:rPr>
              <w:t>包安装、</w:t>
            </w:r>
            <w:r>
              <w:rPr>
                <w:rStyle w:val="66"/>
                <w:color w:val="auto"/>
                <w:szCs w:val="21"/>
                <w:highlight w:val="none"/>
              </w:rPr>
              <w:t>包运输、</w:t>
            </w:r>
            <w:r>
              <w:rPr>
                <w:rStyle w:val="66"/>
                <w:rFonts w:hint="eastAsia"/>
                <w:color w:val="auto"/>
                <w:szCs w:val="21"/>
                <w:highlight w:val="none"/>
              </w:rPr>
              <w:t>包施工发生水电费、包调试和测试、</w:t>
            </w:r>
            <w:r>
              <w:rPr>
                <w:rStyle w:val="66"/>
                <w:color w:val="auto"/>
                <w:szCs w:val="21"/>
                <w:highlight w:val="none"/>
              </w:rPr>
              <w:t>包质量、包工期、</w:t>
            </w:r>
            <w:r>
              <w:rPr>
                <w:rStyle w:val="66"/>
                <w:rFonts w:hint="eastAsia"/>
                <w:color w:val="auto"/>
                <w:szCs w:val="21"/>
                <w:highlight w:val="none"/>
              </w:rPr>
              <w:t>包安全生产、</w:t>
            </w:r>
            <w:r>
              <w:rPr>
                <w:rStyle w:val="66"/>
                <w:color w:val="auto"/>
                <w:szCs w:val="21"/>
                <w:highlight w:val="none"/>
              </w:rPr>
              <w:t>包安全文明施工、包风险、包成品及半成品保护、</w:t>
            </w:r>
            <w:r>
              <w:rPr>
                <w:rStyle w:val="66"/>
                <w:rFonts w:hint="eastAsia"/>
                <w:color w:val="auto"/>
                <w:szCs w:val="21"/>
                <w:highlight w:val="none"/>
              </w:rPr>
              <w:t>包竣工送电后到移交前的运行维护管理、包移交、包质保期内工程质量保修、包政府相关部门验收合格并送电（含不能通过所需要发生整改的一切费用）、</w:t>
            </w:r>
            <w:r>
              <w:rPr>
                <w:rStyle w:val="66"/>
                <w:color w:val="auto"/>
                <w:szCs w:val="21"/>
                <w:highlight w:val="none"/>
              </w:rPr>
              <w:t>包材料进场抽检费、包保险费、包</w:t>
            </w:r>
            <w:r>
              <w:rPr>
                <w:rStyle w:val="66"/>
                <w:rFonts w:hint="eastAsia"/>
                <w:color w:val="auto"/>
                <w:szCs w:val="21"/>
                <w:highlight w:val="none"/>
              </w:rPr>
              <w:t>总包服务协调费</w:t>
            </w:r>
            <w:r>
              <w:rPr>
                <w:rStyle w:val="66"/>
                <w:color w:val="auto"/>
                <w:szCs w:val="21"/>
                <w:highlight w:val="none"/>
              </w:rPr>
              <w:t>、包保修、</w:t>
            </w:r>
            <w:r>
              <w:rPr>
                <w:rStyle w:val="66"/>
                <w:rFonts w:hint="eastAsia"/>
                <w:color w:val="auto"/>
                <w:szCs w:val="21"/>
                <w:highlight w:val="none"/>
              </w:rPr>
              <w:t>包利润、</w:t>
            </w:r>
            <w:r>
              <w:rPr>
                <w:rStyle w:val="66"/>
                <w:color w:val="auto"/>
                <w:szCs w:val="21"/>
                <w:highlight w:val="none"/>
              </w:rPr>
              <w:t>包税费</w:t>
            </w:r>
            <w:r>
              <w:rPr>
                <w:rStyle w:val="66"/>
                <w:rFonts w:hint="eastAsia"/>
                <w:color w:val="auto"/>
                <w:szCs w:val="21"/>
                <w:highlight w:val="none"/>
              </w:rPr>
              <w:t>、包含根据验收规范要求需调整可能增加的所有土建项目、包总工程总承包商对产品安装工程征收的各项费用及其他未在合同条款中约定的应由卖方承担的费用、</w:t>
            </w:r>
            <w:r>
              <w:rPr>
                <w:rStyle w:val="66"/>
                <w:color w:val="auto"/>
                <w:szCs w:val="21"/>
                <w:highlight w:val="none"/>
              </w:rPr>
              <w:t>包按政府规定</w:t>
            </w:r>
            <w:r>
              <w:rPr>
                <w:rStyle w:val="66"/>
                <w:rFonts w:hint="eastAsia"/>
                <w:color w:val="auto"/>
                <w:szCs w:val="21"/>
                <w:highlight w:val="none"/>
              </w:rPr>
              <w:t>承包人</w:t>
            </w:r>
            <w:r>
              <w:rPr>
                <w:rStyle w:val="66"/>
                <w:color w:val="auto"/>
                <w:szCs w:val="21"/>
                <w:highlight w:val="none"/>
              </w:rPr>
              <w:t>应缴纳的所有费用以及</w:t>
            </w:r>
            <w:r>
              <w:rPr>
                <w:rStyle w:val="66"/>
                <w:rFonts w:hint="eastAsia"/>
                <w:color w:val="auto"/>
                <w:szCs w:val="21"/>
                <w:highlight w:val="none"/>
              </w:rPr>
              <w:t>包</w:t>
            </w:r>
            <w:r>
              <w:rPr>
                <w:rStyle w:val="66"/>
                <w:color w:val="auto"/>
                <w:szCs w:val="21"/>
                <w:highlight w:val="none"/>
              </w:rPr>
              <w:t>保证工程质量、进度、安全所采用的一切措施费进行施工，</w:t>
            </w:r>
            <w:r>
              <w:rPr>
                <w:rStyle w:val="66"/>
                <w:rFonts w:hint="eastAsia"/>
                <w:color w:val="auto"/>
                <w:szCs w:val="21"/>
                <w:highlight w:val="none"/>
              </w:rPr>
              <w:t>包结算的组织实施工作和资料整理，</w:t>
            </w:r>
            <w:r>
              <w:rPr>
                <w:rStyle w:val="66"/>
                <w:color w:val="auto"/>
                <w:szCs w:val="21"/>
                <w:highlight w:val="none"/>
              </w:rPr>
              <w:t>同时包括完成本工程内容所需的其它相关工序。</w:t>
            </w:r>
            <w:r>
              <w:rPr>
                <w:rStyle w:val="66"/>
                <w:rFonts w:hint="eastAsia"/>
                <w:color w:val="auto"/>
                <w:szCs w:val="21"/>
                <w:highlight w:val="none"/>
              </w:rPr>
              <w:t>（具体以施工合同为准）</w:t>
            </w:r>
          </w:p>
        </w:tc>
      </w:tr>
      <w:tr w14:paraId="46F56C3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633" w:type="dxa"/>
            <w:vAlign w:val="center"/>
          </w:tcPr>
          <w:p w14:paraId="75D4715C">
            <w:pPr>
              <w:spacing w:line="276" w:lineRule="auto"/>
              <w:jc w:val="center"/>
              <w:rPr>
                <w:rStyle w:val="66"/>
                <w:rFonts w:ascii="宋体" w:hAnsi="宋体"/>
                <w:color w:val="auto"/>
                <w:szCs w:val="21"/>
                <w:highlight w:val="none"/>
              </w:rPr>
            </w:pPr>
            <w:r>
              <w:rPr>
                <w:rStyle w:val="66"/>
                <w:rFonts w:ascii="宋体" w:hAnsi="宋体"/>
                <w:color w:val="auto"/>
                <w:szCs w:val="21"/>
                <w:highlight w:val="none"/>
              </w:rPr>
              <w:t>6</w:t>
            </w:r>
          </w:p>
        </w:tc>
        <w:tc>
          <w:tcPr>
            <w:tcW w:w="944" w:type="dxa"/>
            <w:tcBorders>
              <w:left w:val="single" w:color="000000" w:sz="4" w:space="0"/>
            </w:tcBorders>
            <w:vAlign w:val="center"/>
          </w:tcPr>
          <w:p w14:paraId="262A6455">
            <w:pPr>
              <w:spacing w:line="276" w:lineRule="auto"/>
              <w:jc w:val="center"/>
              <w:rPr>
                <w:rStyle w:val="66"/>
                <w:rFonts w:ascii="宋体" w:hAnsi="宋体"/>
                <w:color w:val="auto"/>
                <w:szCs w:val="21"/>
                <w:highlight w:val="none"/>
              </w:rPr>
            </w:pPr>
            <w:r>
              <w:rPr>
                <w:rStyle w:val="66"/>
                <w:rFonts w:ascii="宋体" w:hAnsi="宋体"/>
                <w:color w:val="auto"/>
                <w:szCs w:val="21"/>
                <w:highlight w:val="none"/>
              </w:rPr>
              <w:t>2.2</w:t>
            </w:r>
          </w:p>
        </w:tc>
        <w:tc>
          <w:tcPr>
            <w:tcW w:w="1494" w:type="dxa"/>
            <w:tcBorders>
              <w:left w:val="single" w:color="000000" w:sz="4" w:space="0"/>
            </w:tcBorders>
            <w:vAlign w:val="center"/>
          </w:tcPr>
          <w:p w14:paraId="4040248A">
            <w:pPr>
              <w:spacing w:line="276" w:lineRule="auto"/>
              <w:jc w:val="center"/>
              <w:rPr>
                <w:rStyle w:val="66"/>
                <w:rFonts w:ascii="宋体" w:hAnsi="宋体"/>
                <w:color w:val="auto"/>
                <w:szCs w:val="21"/>
                <w:highlight w:val="none"/>
              </w:rPr>
            </w:pPr>
            <w:r>
              <w:rPr>
                <w:rStyle w:val="66"/>
                <w:rFonts w:ascii="宋体" w:hAnsi="宋体"/>
                <w:color w:val="auto"/>
                <w:szCs w:val="21"/>
                <w:highlight w:val="none"/>
              </w:rPr>
              <w:t>质量标准</w:t>
            </w:r>
          </w:p>
        </w:tc>
        <w:tc>
          <w:tcPr>
            <w:tcW w:w="5689" w:type="dxa"/>
            <w:tcBorders>
              <w:left w:val="single" w:color="000000" w:sz="4" w:space="0"/>
            </w:tcBorders>
            <w:vAlign w:val="center"/>
          </w:tcPr>
          <w:p w14:paraId="6BDED96A">
            <w:pPr>
              <w:spacing w:line="276" w:lineRule="auto"/>
              <w:rPr>
                <w:rStyle w:val="66"/>
                <w:rFonts w:ascii="宋体" w:hAnsi="宋体"/>
                <w:color w:val="auto"/>
                <w:szCs w:val="21"/>
                <w:highlight w:val="none"/>
                <w:u w:val="single"/>
              </w:rPr>
            </w:pPr>
            <w:r>
              <w:rPr>
                <w:rStyle w:val="66"/>
                <w:rFonts w:ascii="宋体" w:hAnsi="宋体"/>
                <w:color w:val="auto"/>
                <w:szCs w:val="21"/>
                <w:highlight w:val="none"/>
              </w:rPr>
              <w:t>达到国家、地方或行业质量检验评定的合格标准，且达到供电部门送电的要求。</w:t>
            </w:r>
          </w:p>
        </w:tc>
      </w:tr>
      <w:tr w14:paraId="49414AF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633" w:type="dxa"/>
            <w:vAlign w:val="center"/>
          </w:tcPr>
          <w:p w14:paraId="5F379A99">
            <w:pPr>
              <w:spacing w:line="276" w:lineRule="auto"/>
              <w:jc w:val="center"/>
              <w:rPr>
                <w:rStyle w:val="66"/>
                <w:rFonts w:ascii="宋体" w:hAnsi="宋体"/>
                <w:color w:val="auto"/>
                <w:szCs w:val="21"/>
                <w:highlight w:val="none"/>
              </w:rPr>
            </w:pPr>
            <w:r>
              <w:rPr>
                <w:rStyle w:val="66"/>
                <w:rFonts w:ascii="宋体" w:hAnsi="宋体"/>
                <w:color w:val="auto"/>
                <w:szCs w:val="21"/>
                <w:highlight w:val="none"/>
              </w:rPr>
              <w:t>7</w:t>
            </w:r>
          </w:p>
        </w:tc>
        <w:tc>
          <w:tcPr>
            <w:tcW w:w="944" w:type="dxa"/>
            <w:tcBorders>
              <w:left w:val="single" w:color="000000" w:sz="4" w:space="0"/>
            </w:tcBorders>
            <w:vAlign w:val="center"/>
          </w:tcPr>
          <w:p w14:paraId="664A79FA">
            <w:pPr>
              <w:spacing w:line="276" w:lineRule="auto"/>
              <w:jc w:val="center"/>
              <w:rPr>
                <w:rStyle w:val="66"/>
                <w:rFonts w:ascii="宋体" w:hAnsi="宋体"/>
                <w:color w:val="auto"/>
                <w:szCs w:val="21"/>
                <w:highlight w:val="none"/>
              </w:rPr>
            </w:pPr>
            <w:r>
              <w:rPr>
                <w:rStyle w:val="66"/>
                <w:rFonts w:ascii="宋体" w:hAnsi="宋体"/>
                <w:color w:val="auto"/>
                <w:szCs w:val="21"/>
                <w:highlight w:val="none"/>
              </w:rPr>
              <w:t>2.2</w:t>
            </w:r>
          </w:p>
        </w:tc>
        <w:tc>
          <w:tcPr>
            <w:tcW w:w="1494" w:type="dxa"/>
            <w:tcBorders>
              <w:left w:val="single" w:color="000000" w:sz="4" w:space="0"/>
            </w:tcBorders>
            <w:vAlign w:val="center"/>
          </w:tcPr>
          <w:p w14:paraId="46395736">
            <w:pPr>
              <w:spacing w:line="276" w:lineRule="auto"/>
              <w:jc w:val="center"/>
              <w:rPr>
                <w:rStyle w:val="66"/>
                <w:rFonts w:ascii="宋体" w:hAnsi="宋体"/>
                <w:color w:val="auto"/>
                <w:szCs w:val="21"/>
                <w:highlight w:val="none"/>
              </w:rPr>
            </w:pPr>
            <w:r>
              <w:rPr>
                <w:rStyle w:val="66"/>
                <w:rFonts w:ascii="宋体" w:hAnsi="宋体"/>
                <w:color w:val="auto"/>
                <w:szCs w:val="21"/>
                <w:highlight w:val="none"/>
              </w:rPr>
              <w:t>招标范围</w:t>
            </w:r>
          </w:p>
        </w:tc>
        <w:tc>
          <w:tcPr>
            <w:tcW w:w="5689" w:type="dxa"/>
            <w:tcBorders>
              <w:left w:val="single" w:color="000000" w:sz="4" w:space="0"/>
            </w:tcBorders>
            <w:vAlign w:val="center"/>
          </w:tcPr>
          <w:p w14:paraId="26E44F56">
            <w:pPr>
              <w:spacing w:line="276" w:lineRule="auto"/>
              <w:rPr>
                <w:rStyle w:val="66"/>
                <w:rFonts w:ascii="宋体" w:hAnsi="宋体"/>
                <w:color w:val="auto"/>
                <w:szCs w:val="21"/>
                <w:highlight w:val="none"/>
                <w:u w:val="single"/>
              </w:rPr>
            </w:pPr>
            <w:r>
              <w:rPr>
                <w:rStyle w:val="66"/>
                <w:rFonts w:ascii="宋体" w:hAnsi="宋体"/>
                <w:color w:val="auto"/>
                <w:szCs w:val="21"/>
                <w:highlight w:val="none"/>
              </w:rPr>
              <w:t>详见本工程招标公告。</w:t>
            </w:r>
          </w:p>
        </w:tc>
      </w:tr>
      <w:tr w14:paraId="2BF94FE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633" w:type="dxa"/>
            <w:vAlign w:val="center"/>
          </w:tcPr>
          <w:p w14:paraId="6E799B9A">
            <w:pPr>
              <w:spacing w:line="276" w:lineRule="auto"/>
              <w:jc w:val="center"/>
              <w:rPr>
                <w:rStyle w:val="66"/>
                <w:rFonts w:ascii="宋体" w:hAnsi="宋体"/>
                <w:color w:val="auto"/>
                <w:szCs w:val="21"/>
                <w:highlight w:val="none"/>
              </w:rPr>
            </w:pPr>
            <w:r>
              <w:rPr>
                <w:rStyle w:val="66"/>
                <w:rFonts w:ascii="宋体" w:hAnsi="宋体"/>
                <w:color w:val="auto"/>
                <w:szCs w:val="21"/>
                <w:highlight w:val="none"/>
              </w:rPr>
              <w:t>8</w:t>
            </w:r>
          </w:p>
        </w:tc>
        <w:tc>
          <w:tcPr>
            <w:tcW w:w="944" w:type="dxa"/>
            <w:tcBorders>
              <w:left w:val="single" w:color="000000" w:sz="4" w:space="0"/>
            </w:tcBorders>
            <w:vAlign w:val="center"/>
          </w:tcPr>
          <w:p w14:paraId="5C9C0F66">
            <w:pPr>
              <w:spacing w:line="276" w:lineRule="auto"/>
              <w:jc w:val="center"/>
              <w:rPr>
                <w:rStyle w:val="66"/>
                <w:rFonts w:ascii="宋体" w:hAnsi="宋体"/>
                <w:color w:val="auto"/>
                <w:szCs w:val="21"/>
                <w:highlight w:val="none"/>
              </w:rPr>
            </w:pPr>
            <w:r>
              <w:rPr>
                <w:rStyle w:val="66"/>
                <w:rFonts w:ascii="宋体" w:hAnsi="宋体"/>
                <w:color w:val="auto"/>
                <w:szCs w:val="21"/>
                <w:highlight w:val="none"/>
              </w:rPr>
              <w:t>2.2</w:t>
            </w:r>
          </w:p>
        </w:tc>
        <w:tc>
          <w:tcPr>
            <w:tcW w:w="1494" w:type="dxa"/>
            <w:tcBorders>
              <w:left w:val="single" w:color="000000" w:sz="4" w:space="0"/>
            </w:tcBorders>
            <w:vAlign w:val="center"/>
          </w:tcPr>
          <w:p w14:paraId="769DF7B8">
            <w:pPr>
              <w:spacing w:line="276" w:lineRule="auto"/>
              <w:jc w:val="center"/>
              <w:rPr>
                <w:rStyle w:val="66"/>
                <w:rFonts w:ascii="宋体" w:hAnsi="宋体"/>
                <w:color w:val="auto"/>
                <w:szCs w:val="21"/>
                <w:highlight w:val="none"/>
              </w:rPr>
            </w:pPr>
            <w:r>
              <w:rPr>
                <w:rStyle w:val="66"/>
                <w:rFonts w:ascii="宋体" w:hAnsi="宋体"/>
                <w:color w:val="auto"/>
                <w:szCs w:val="21"/>
                <w:highlight w:val="none"/>
              </w:rPr>
              <w:t>工期要求</w:t>
            </w:r>
          </w:p>
        </w:tc>
        <w:tc>
          <w:tcPr>
            <w:tcW w:w="5689" w:type="dxa"/>
            <w:tcBorders>
              <w:left w:val="single" w:color="000000" w:sz="4" w:space="0"/>
            </w:tcBorders>
            <w:vAlign w:val="center"/>
          </w:tcPr>
          <w:p w14:paraId="1C2A9F5E">
            <w:pPr>
              <w:spacing w:line="276" w:lineRule="auto"/>
              <w:rPr>
                <w:rStyle w:val="66"/>
                <w:rFonts w:ascii="宋体" w:hAnsi="宋体" w:eastAsia="宋体"/>
                <w:color w:val="auto"/>
                <w:szCs w:val="21"/>
                <w:highlight w:val="none"/>
                <w:lang w:val="en-US" w:eastAsia="zh-CN"/>
              </w:rPr>
            </w:pPr>
            <w:r>
              <w:rPr>
                <w:rFonts w:hint="eastAsia" w:cs="宋体"/>
                <w:color w:val="auto"/>
                <w:szCs w:val="21"/>
                <w:highlight w:val="none"/>
                <w:u w:val="single"/>
                <w:lang w:val="en-US" w:eastAsia="zh-CN"/>
              </w:rPr>
              <w:t>120天</w:t>
            </w:r>
          </w:p>
        </w:tc>
      </w:tr>
      <w:tr w14:paraId="26BBF56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633" w:type="dxa"/>
            <w:vAlign w:val="center"/>
          </w:tcPr>
          <w:p w14:paraId="15C494BE">
            <w:pPr>
              <w:spacing w:line="276" w:lineRule="auto"/>
              <w:jc w:val="center"/>
              <w:rPr>
                <w:rStyle w:val="66"/>
                <w:rFonts w:ascii="宋体" w:hAnsi="宋体"/>
                <w:color w:val="auto"/>
                <w:szCs w:val="21"/>
                <w:highlight w:val="none"/>
              </w:rPr>
            </w:pPr>
            <w:r>
              <w:rPr>
                <w:rStyle w:val="66"/>
                <w:rFonts w:ascii="宋体" w:hAnsi="宋体"/>
                <w:color w:val="auto"/>
                <w:szCs w:val="21"/>
                <w:highlight w:val="none"/>
              </w:rPr>
              <w:t>9</w:t>
            </w:r>
          </w:p>
        </w:tc>
        <w:tc>
          <w:tcPr>
            <w:tcW w:w="944" w:type="dxa"/>
            <w:tcBorders>
              <w:left w:val="single" w:color="000000" w:sz="4" w:space="0"/>
            </w:tcBorders>
            <w:vAlign w:val="center"/>
          </w:tcPr>
          <w:p w14:paraId="72768D9A">
            <w:pPr>
              <w:spacing w:line="276" w:lineRule="auto"/>
              <w:jc w:val="center"/>
              <w:rPr>
                <w:rStyle w:val="66"/>
                <w:rFonts w:ascii="宋体" w:hAnsi="宋体"/>
                <w:color w:val="auto"/>
                <w:szCs w:val="21"/>
                <w:highlight w:val="none"/>
              </w:rPr>
            </w:pPr>
            <w:r>
              <w:rPr>
                <w:rStyle w:val="66"/>
                <w:rFonts w:ascii="宋体" w:hAnsi="宋体"/>
                <w:color w:val="auto"/>
                <w:szCs w:val="21"/>
                <w:highlight w:val="none"/>
              </w:rPr>
              <w:t>3.1</w:t>
            </w:r>
          </w:p>
        </w:tc>
        <w:tc>
          <w:tcPr>
            <w:tcW w:w="1494" w:type="dxa"/>
            <w:tcBorders>
              <w:left w:val="single" w:color="000000" w:sz="4" w:space="0"/>
            </w:tcBorders>
            <w:vAlign w:val="center"/>
          </w:tcPr>
          <w:p w14:paraId="49FD7E0D">
            <w:pPr>
              <w:spacing w:line="276" w:lineRule="auto"/>
              <w:jc w:val="center"/>
              <w:rPr>
                <w:rStyle w:val="66"/>
                <w:rFonts w:ascii="宋体" w:hAnsi="宋体"/>
                <w:color w:val="auto"/>
                <w:szCs w:val="21"/>
                <w:highlight w:val="none"/>
              </w:rPr>
            </w:pPr>
            <w:r>
              <w:rPr>
                <w:rStyle w:val="66"/>
                <w:rFonts w:ascii="宋体" w:hAnsi="宋体"/>
                <w:color w:val="auto"/>
                <w:szCs w:val="21"/>
                <w:highlight w:val="none"/>
              </w:rPr>
              <w:t>资金来源</w:t>
            </w:r>
          </w:p>
        </w:tc>
        <w:tc>
          <w:tcPr>
            <w:tcW w:w="5689" w:type="dxa"/>
            <w:tcBorders>
              <w:left w:val="single" w:color="000000" w:sz="4" w:space="0"/>
            </w:tcBorders>
            <w:vAlign w:val="center"/>
          </w:tcPr>
          <w:p w14:paraId="29302A19">
            <w:pPr>
              <w:spacing w:line="276" w:lineRule="auto"/>
              <w:rPr>
                <w:rStyle w:val="66"/>
                <w:rFonts w:ascii="宋体" w:hAnsi="宋体"/>
                <w:color w:val="auto"/>
                <w:szCs w:val="21"/>
                <w:highlight w:val="none"/>
                <w:u w:val="single"/>
              </w:rPr>
            </w:pPr>
            <w:r>
              <w:rPr>
                <w:rStyle w:val="66"/>
                <w:rFonts w:ascii="宋体" w:hAnsi="宋体"/>
                <w:color w:val="auto"/>
                <w:szCs w:val="21"/>
                <w:highlight w:val="none"/>
              </w:rPr>
              <w:t>详见本工程招标公告。</w:t>
            </w:r>
          </w:p>
        </w:tc>
      </w:tr>
      <w:tr w14:paraId="6E0DD79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633" w:type="dxa"/>
            <w:vAlign w:val="center"/>
          </w:tcPr>
          <w:p w14:paraId="2C9244B0">
            <w:pPr>
              <w:spacing w:line="276" w:lineRule="auto"/>
              <w:jc w:val="center"/>
              <w:rPr>
                <w:rStyle w:val="66"/>
                <w:rFonts w:ascii="宋体" w:hAnsi="宋体"/>
                <w:color w:val="auto"/>
                <w:szCs w:val="21"/>
                <w:highlight w:val="none"/>
              </w:rPr>
            </w:pPr>
            <w:r>
              <w:rPr>
                <w:rStyle w:val="66"/>
                <w:rFonts w:ascii="宋体" w:hAnsi="宋体"/>
                <w:color w:val="auto"/>
                <w:szCs w:val="21"/>
                <w:highlight w:val="none"/>
              </w:rPr>
              <w:t>10</w:t>
            </w:r>
          </w:p>
        </w:tc>
        <w:tc>
          <w:tcPr>
            <w:tcW w:w="944" w:type="dxa"/>
            <w:tcBorders>
              <w:left w:val="single" w:color="000000" w:sz="4" w:space="0"/>
            </w:tcBorders>
            <w:vAlign w:val="center"/>
          </w:tcPr>
          <w:p w14:paraId="7AAC431B">
            <w:pPr>
              <w:spacing w:line="276" w:lineRule="auto"/>
              <w:jc w:val="center"/>
              <w:rPr>
                <w:rStyle w:val="66"/>
                <w:rFonts w:ascii="宋体" w:hAnsi="宋体"/>
                <w:color w:val="auto"/>
                <w:szCs w:val="21"/>
                <w:highlight w:val="none"/>
              </w:rPr>
            </w:pPr>
            <w:r>
              <w:rPr>
                <w:rStyle w:val="66"/>
                <w:rFonts w:ascii="宋体" w:hAnsi="宋体"/>
                <w:color w:val="auto"/>
                <w:szCs w:val="21"/>
                <w:highlight w:val="none"/>
              </w:rPr>
              <w:t>4.1</w:t>
            </w:r>
          </w:p>
        </w:tc>
        <w:tc>
          <w:tcPr>
            <w:tcW w:w="1494" w:type="dxa"/>
            <w:tcBorders>
              <w:left w:val="single" w:color="000000" w:sz="4" w:space="0"/>
            </w:tcBorders>
            <w:vAlign w:val="center"/>
          </w:tcPr>
          <w:p w14:paraId="2D9865D5">
            <w:pPr>
              <w:spacing w:line="276" w:lineRule="auto"/>
              <w:jc w:val="center"/>
              <w:rPr>
                <w:rStyle w:val="66"/>
                <w:rFonts w:ascii="宋体" w:hAnsi="宋体"/>
                <w:color w:val="auto"/>
                <w:szCs w:val="21"/>
                <w:highlight w:val="none"/>
              </w:rPr>
            </w:pPr>
            <w:r>
              <w:rPr>
                <w:rStyle w:val="66"/>
                <w:rFonts w:ascii="宋体" w:hAnsi="宋体"/>
                <w:color w:val="auto"/>
                <w:szCs w:val="21"/>
                <w:highlight w:val="none"/>
              </w:rPr>
              <w:t>投标人资质等级及项目负责人等级要求</w:t>
            </w:r>
          </w:p>
        </w:tc>
        <w:tc>
          <w:tcPr>
            <w:tcW w:w="5689" w:type="dxa"/>
            <w:tcBorders>
              <w:left w:val="single" w:color="000000" w:sz="4" w:space="0"/>
            </w:tcBorders>
            <w:vAlign w:val="center"/>
          </w:tcPr>
          <w:p w14:paraId="2DBA39D7">
            <w:pPr>
              <w:spacing w:line="276" w:lineRule="auto"/>
              <w:rPr>
                <w:rStyle w:val="66"/>
                <w:rFonts w:ascii="宋体" w:hAnsi="宋体"/>
                <w:color w:val="auto"/>
                <w:szCs w:val="21"/>
                <w:highlight w:val="none"/>
              </w:rPr>
            </w:pPr>
            <w:r>
              <w:rPr>
                <w:rStyle w:val="66"/>
                <w:rFonts w:ascii="宋体" w:hAnsi="宋体"/>
                <w:color w:val="auto"/>
                <w:szCs w:val="21"/>
                <w:highlight w:val="none"/>
              </w:rPr>
              <w:t>详见本工程招标公告。</w:t>
            </w:r>
          </w:p>
        </w:tc>
      </w:tr>
      <w:tr w14:paraId="45D47A3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633" w:type="dxa"/>
            <w:vAlign w:val="center"/>
          </w:tcPr>
          <w:p w14:paraId="2397DD3C">
            <w:pPr>
              <w:spacing w:line="276" w:lineRule="auto"/>
              <w:jc w:val="center"/>
              <w:rPr>
                <w:rStyle w:val="66"/>
                <w:rFonts w:ascii="宋体" w:hAnsi="宋体"/>
                <w:color w:val="auto"/>
                <w:szCs w:val="21"/>
                <w:highlight w:val="none"/>
              </w:rPr>
            </w:pPr>
            <w:r>
              <w:rPr>
                <w:rStyle w:val="66"/>
                <w:rFonts w:ascii="宋体" w:hAnsi="宋体"/>
                <w:color w:val="auto"/>
                <w:szCs w:val="21"/>
                <w:highlight w:val="none"/>
              </w:rPr>
              <w:t>11</w:t>
            </w:r>
          </w:p>
        </w:tc>
        <w:tc>
          <w:tcPr>
            <w:tcW w:w="944" w:type="dxa"/>
            <w:tcBorders>
              <w:left w:val="single" w:color="000000" w:sz="4" w:space="0"/>
            </w:tcBorders>
            <w:vAlign w:val="center"/>
          </w:tcPr>
          <w:p w14:paraId="517C6199">
            <w:pPr>
              <w:spacing w:line="276" w:lineRule="auto"/>
              <w:ind w:firstLine="458"/>
              <w:jc w:val="center"/>
              <w:rPr>
                <w:rStyle w:val="66"/>
                <w:rFonts w:ascii="宋体" w:hAnsi="宋体"/>
                <w:color w:val="auto"/>
                <w:szCs w:val="21"/>
                <w:highlight w:val="none"/>
              </w:rPr>
            </w:pPr>
          </w:p>
        </w:tc>
        <w:tc>
          <w:tcPr>
            <w:tcW w:w="1494" w:type="dxa"/>
            <w:tcBorders>
              <w:left w:val="single" w:color="000000" w:sz="4" w:space="0"/>
            </w:tcBorders>
            <w:vAlign w:val="center"/>
          </w:tcPr>
          <w:p w14:paraId="56A7DDC3">
            <w:pPr>
              <w:spacing w:line="276" w:lineRule="auto"/>
              <w:jc w:val="center"/>
              <w:rPr>
                <w:rStyle w:val="66"/>
                <w:rFonts w:ascii="宋体" w:hAnsi="宋体"/>
                <w:color w:val="auto"/>
                <w:szCs w:val="21"/>
                <w:highlight w:val="none"/>
              </w:rPr>
            </w:pPr>
            <w:r>
              <w:rPr>
                <w:rStyle w:val="66"/>
                <w:rFonts w:ascii="宋体" w:hAnsi="宋体"/>
                <w:color w:val="auto"/>
                <w:szCs w:val="21"/>
                <w:highlight w:val="none"/>
              </w:rPr>
              <w:t>资格审查方式</w:t>
            </w:r>
          </w:p>
        </w:tc>
        <w:tc>
          <w:tcPr>
            <w:tcW w:w="5689" w:type="dxa"/>
            <w:tcBorders>
              <w:left w:val="single" w:color="000000" w:sz="4" w:space="0"/>
            </w:tcBorders>
            <w:vAlign w:val="center"/>
          </w:tcPr>
          <w:p w14:paraId="4D879D13">
            <w:pPr>
              <w:spacing w:line="276" w:lineRule="auto"/>
              <w:rPr>
                <w:rStyle w:val="66"/>
                <w:rFonts w:ascii="宋体" w:hAnsi="宋体"/>
                <w:color w:val="auto"/>
                <w:szCs w:val="21"/>
                <w:highlight w:val="none"/>
              </w:rPr>
            </w:pPr>
            <w:r>
              <w:rPr>
                <w:rStyle w:val="66"/>
                <w:rFonts w:ascii="宋体" w:hAnsi="宋体"/>
                <w:color w:val="auto"/>
                <w:szCs w:val="21"/>
                <w:highlight w:val="none"/>
              </w:rPr>
              <w:t>详见本工程招标公告。</w:t>
            </w:r>
          </w:p>
        </w:tc>
      </w:tr>
      <w:tr w14:paraId="11A0D66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633" w:type="dxa"/>
            <w:vAlign w:val="center"/>
          </w:tcPr>
          <w:p w14:paraId="1BE22029">
            <w:pPr>
              <w:spacing w:line="276" w:lineRule="auto"/>
              <w:jc w:val="center"/>
              <w:rPr>
                <w:rStyle w:val="66"/>
                <w:rFonts w:ascii="宋体" w:hAnsi="宋体"/>
                <w:color w:val="auto"/>
                <w:szCs w:val="21"/>
                <w:highlight w:val="none"/>
              </w:rPr>
            </w:pPr>
            <w:r>
              <w:rPr>
                <w:rStyle w:val="66"/>
                <w:rFonts w:ascii="宋体" w:hAnsi="宋体"/>
                <w:color w:val="auto"/>
                <w:szCs w:val="21"/>
                <w:highlight w:val="none"/>
              </w:rPr>
              <w:t>12</w:t>
            </w:r>
          </w:p>
        </w:tc>
        <w:tc>
          <w:tcPr>
            <w:tcW w:w="944" w:type="dxa"/>
            <w:tcBorders>
              <w:left w:val="single" w:color="000000" w:sz="4" w:space="0"/>
            </w:tcBorders>
            <w:vAlign w:val="center"/>
          </w:tcPr>
          <w:p w14:paraId="78D532F6">
            <w:pPr>
              <w:spacing w:line="276" w:lineRule="auto"/>
              <w:jc w:val="center"/>
              <w:rPr>
                <w:rStyle w:val="66"/>
                <w:rFonts w:ascii="宋体" w:hAnsi="宋体"/>
                <w:color w:val="auto"/>
                <w:szCs w:val="21"/>
                <w:highlight w:val="none"/>
              </w:rPr>
            </w:pPr>
            <w:r>
              <w:rPr>
                <w:rStyle w:val="66"/>
                <w:rFonts w:ascii="宋体" w:hAnsi="宋体"/>
                <w:color w:val="auto"/>
                <w:szCs w:val="21"/>
                <w:highlight w:val="none"/>
              </w:rPr>
              <w:t>13.1</w:t>
            </w:r>
          </w:p>
        </w:tc>
        <w:tc>
          <w:tcPr>
            <w:tcW w:w="1494" w:type="dxa"/>
            <w:tcBorders>
              <w:left w:val="single" w:color="000000" w:sz="4" w:space="0"/>
            </w:tcBorders>
            <w:vAlign w:val="center"/>
          </w:tcPr>
          <w:p w14:paraId="4B281B37">
            <w:pPr>
              <w:spacing w:line="276" w:lineRule="auto"/>
              <w:jc w:val="center"/>
              <w:rPr>
                <w:rStyle w:val="66"/>
                <w:rFonts w:ascii="宋体" w:hAnsi="宋体"/>
                <w:color w:val="auto"/>
                <w:szCs w:val="21"/>
                <w:highlight w:val="none"/>
              </w:rPr>
            </w:pPr>
            <w:r>
              <w:rPr>
                <w:rStyle w:val="66"/>
                <w:rFonts w:ascii="宋体" w:hAnsi="宋体"/>
                <w:color w:val="auto"/>
                <w:szCs w:val="21"/>
                <w:highlight w:val="none"/>
              </w:rPr>
              <w:t>报价以及单价和总价计算方式</w:t>
            </w:r>
          </w:p>
        </w:tc>
        <w:tc>
          <w:tcPr>
            <w:tcW w:w="5689" w:type="dxa"/>
            <w:tcBorders>
              <w:left w:val="single" w:color="000000" w:sz="4" w:space="0"/>
            </w:tcBorders>
            <w:vAlign w:val="center"/>
          </w:tcPr>
          <w:p w14:paraId="2F388370">
            <w:pPr>
              <w:spacing w:line="276" w:lineRule="auto"/>
              <w:rPr>
                <w:rStyle w:val="66"/>
                <w:rFonts w:ascii="宋体" w:hAnsi="宋体"/>
                <w:color w:val="auto"/>
                <w:szCs w:val="21"/>
                <w:highlight w:val="none"/>
              </w:rPr>
            </w:pPr>
            <w:r>
              <w:rPr>
                <w:rStyle w:val="66"/>
                <w:rFonts w:ascii="宋体" w:hAnsi="宋体"/>
                <w:color w:val="auto"/>
                <w:szCs w:val="21"/>
                <w:highlight w:val="none"/>
              </w:rPr>
              <w:t>工程量清单计价。</w:t>
            </w:r>
          </w:p>
        </w:tc>
      </w:tr>
      <w:tr w14:paraId="0DC1046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633" w:type="dxa"/>
            <w:vAlign w:val="center"/>
          </w:tcPr>
          <w:p w14:paraId="0E644F3F">
            <w:pPr>
              <w:spacing w:line="276" w:lineRule="auto"/>
              <w:jc w:val="center"/>
              <w:rPr>
                <w:rStyle w:val="66"/>
                <w:rFonts w:ascii="宋体" w:hAnsi="宋体"/>
                <w:color w:val="auto"/>
                <w:szCs w:val="21"/>
                <w:highlight w:val="none"/>
              </w:rPr>
            </w:pPr>
            <w:r>
              <w:rPr>
                <w:rStyle w:val="66"/>
                <w:rFonts w:ascii="宋体" w:hAnsi="宋体"/>
                <w:color w:val="auto"/>
                <w:szCs w:val="21"/>
                <w:highlight w:val="none"/>
              </w:rPr>
              <w:t>13</w:t>
            </w:r>
          </w:p>
        </w:tc>
        <w:tc>
          <w:tcPr>
            <w:tcW w:w="944" w:type="dxa"/>
            <w:tcBorders>
              <w:left w:val="single" w:color="000000" w:sz="4" w:space="0"/>
            </w:tcBorders>
            <w:vAlign w:val="center"/>
          </w:tcPr>
          <w:p w14:paraId="1A99E6A7">
            <w:pPr>
              <w:spacing w:line="276" w:lineRule="auto"/>
              <w:jc w:val="center"/>
              <w:rPr>
                <w:rStyle w:val="66"/>
                <w:rFonts w:ascii="宋体" w:hAnsi="宋体"/>
                <w:color w:val="auto"/>
                <w:szCs w:val="21"/>
                <w:highlight w:val="none"/>
              </w:rPr>
            </w:pPr>
            <w:r>
              <w:rPr>
                <w:rStyle w:val="66"/>
                <w:rFonts w:ascii="宋体" w:hAnsi="宋体"/>
                <w:color w:val="auto"/>
                <w:szCs w:val="21"/>
                <w:highlight w:val="none"/>
              </w:rPr>
              <w:t>15.1</w:t>
            </w:r>
          </w:p>
        </w:tc>
        <w:tc>
          <w:tcPr>
            <w:tcW w:w="1494" w:type="dxa"/>
            <w:tcBorders>
              <w:left w:val="single" w:color="000000" w:sz="4" w:space="0"/>
            </w:tcBorders>
            <w:vAlign w:val="center"/>
          </w:tcPr>
          <w:p w14:paraId="20E0C102">
            <w:pPr>
              <w:spacing w:line="276" w:lineRule="auto"/>
              <w:jc w:val="center"/>
              <w:rPr>
                <w:rStyle w:val="66"/>
                <w:rFonts w:ascii="宋体" w:hAnsi="宋体"/>
                <w:color w:val="auto"/>
                <w:szCs w:val="21"/>
                <w:highlight w:val="none"/>
              </w:rPr>
            </w:pPr>
            <w:r>
              <w:rPr>
                <w:rStyle w:val="66"/>
                <w:rFonts w:ascii="宋体" w:hAnsi="宋体"/>
                <w:color w:val="auto"/>
                <w:szCs w:val="21"/>
                <w:highlight w:val="none"/>
              </w:rPr>
              <w:t>投标有效期</w:t>
            </w:r>
          </w:p>
        </w:tc>
        <w:tc>
          <w:tcPr>
            <w:tcW w:w="5689" w:type="dxa"/>
            <w:tcBorders>
              <w:left w:val="single" w:color="000000" w:sz="4" w:space="0"/>
            </w:tcBorders>
            <w:vAlign w:val="center"/>
          </w:tcPr>
          <w:p w14:paraId="1D2F63BB">
            <w:pPr>
              <w:spacing w:line="276" w:lineRule="auto"/>
              <w:rPr>
                <w:rStyle w:val="66"/>
                <w:rFonts w:ascii="宋体" w:hAnsi="宋体"/>
                <w:color w:val="auto"/>
                <w:szCs w:val="21"/>
                <w:highlight w:val="none"/>
                <w:u w:val="single"/>
              </w:rPr>
            </w:pPr>
            <w:r>
              <w:rPr>
                <w:rStyle w:val="66"/>
                <w:rFonts w:hint="eastAsia" w:ascii="宋体" w:hAnsi="宋体"/>
                <w:color w:val="auto"/>
                <w:szCs w:val="21"/>
                <w:highlight w:val="none"/>
                <w:u w:val="single"/>
              </w:rPr>
              <w:t>120</w:t>
            </w:r>
            <w:r>
              <w:rPr>
                <w:rStyle w:val="66"/>
                <w:rFonts w:ascii="宋体" w:hAnsi="宋体"/>
                <w:color w:val="auto"/>
                <w:szCs w:val="21"/>
                <w:highlight w:val="none"/>
              </w:rPr>
              <w:t>日历天。（从投标截止之日计起）</w:t>
            </w:r>
          </w:p>
        </w:tc>
      </w:tr>
      <w:tr w14:paraId="32539E2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633" w:type="dxa"/>
            <w:vAlign w:val="center"/>
          </w:tcPr>
          <w:p w14:paraId="73ADF0BD">
            <w:pPr>
              <w:spacing w:line="276" w:lineRule="auto"/>
              <w:jc w:val="center"/>
              <w:rPr>
                <w:rStyle w:val="66"/>
                <w:rFonts w:ascii="宋体" w:hAnsi="宋体"/>
                <w:color w:val="auto"/>
                <w:szCs w:val="21"/>
                <w:highlight w:val="none"/>
              </w:rPr>
            </w:pPr>
            <w:r>
              <w:rPr>
                <w:rStyle w:val="66"/>
                <w:rFonts w:ascii="宋体" w:hAnsi="宋体"/>
                <w:color w:val="auto"/>
                <w:szCs w:val="21"/>
                <w:highlight w:val="none"/>
              </w:rPr>
              <w:t>14</w:t>
            </w:r>
          </w:p>
        </w:tc>
        <w:tc>
          <w:tcPr>
            <w:tcW w:w="944" w:type="dxa"/>
            <w:tcBorders>
              <w:left w:val="single" w:color="000000" w:sz="4" w:space="0"/>
            </w:tcBorders>
            <w:vAlign w:val="center"/>
          </w:tcPr>
          <w:p w14:paraId="61373B4E">
            <w:pPr>
              <w:spacing w:line="276" w:lineRule="auto"/>
              <w:jc w:val="center"/>
              <w:rPr>
                <w:rStyle w:val="66"/>
                <w:rFonts w:ascii="宋体" w:hAnsi="宋体"/>
                <w:color w:val="auto"/>
                <w:szCs w:val="21"/>
                <w:highlight w:val="none"/>
              </w:rPr>
            </w:pPr>
            <w:r>
              <w:rPr>
                <w:rStyle w:val="66"/>
                <w:rFonts w:ascii="宋体" w:hAnsi="宋体"/>
                <w:color w:val="auto"/>
                <w:szCs w:val="21"/>
                <w:highlight w:val="none"/>
              </w:rPr>
              <w:t>16.1</w:t>
            </w:r>
          </w:p>
        </w:tc>
        <w:tc>
          <w:tcPr>
            <w:tcW w:w="1494" w:type="dxa"/>
            <w:tcBorders>
              <w:left w:val="single" w:color="000000" w:sz="4" w:space="0"/>
            </w:tcBorders>
            <w:vAlign w:val="center"/>
          </w:tcPr>
          <w:p w14:paraId="2A3CB57C">
            <w:pPr>
              <w:spacing w:line="276" w:lineRule="auto"/>
              <w:jc w:val="center"/>
              <w:rPr>
                <w:rStyle w:val="66"/>
                <w:rFonts w:ascii="宋体" w:hAnsi="宋体"/>
                <w:color w:val="auto"/>
                <w:szCs w:val="21"/>
                <w:highlight w:val="none"/>
              </w:rPr>
            </w:pPr>
            <w:r>
              <w:rPr>
                <w:rStyle w:val="66"/>
                <w:rFonts w:ascii="宋体" w:hAnsi="宋体"/>
                <w:color w:val="auto"/>
                <w:szCs w:val="21"/>
                <w:highlight w:val="none"/>
              </w:rPr>
              <w:t>投标保证金</w:t>
            </w:r>
          </w:p>
        </w:tc>
        <w:tc>
          <w:tcPr>
            <w:tcW w:w="5689" w:type="dxa"/>
            <w:tcBorders>
              <w:left w:val="single" w:color="000000" w:sz="4" w:space="0"/>
            </w:tcBorders>
            <w:vAlign w:val="center"/>
          </w:tcPr>
          <w:p w14:paraId="6D8A954B">
            <w:pPr>
              <w:spacing w:line="276" w:lineRule="auto"/>
              <w:ind w:left="36" w:leftChars="17" w:right="36" w:rightChars="17"/>
              <w:rPr>
                <w:rFonts w:ascii="宋体" w:hAnsi="宋体"/>
                <w:bCs/>
                <w:color w:val="auto"/>
                <w:szCs w:val="21"/>
                <w:highlight w:val="none"/>
              </w:rPr>
            </w:pPr>
            <w:r>
              <w:rPr>
                <w:rFonts w:hint="eastAsia" w:cs="宋体"/>
                <w:color w:val="auto"/>
                <w:kern w:val="2"/>
                <w:sz w:val="21"/>
                <w:szCs w:val="21"/>
                <w:highlight w:val="none"/>
                <w:lang w:bidi="ar-SA"/>
              </w:rPr>
              <w:t>方式一：本项目不收投标保证金。</w:t>
            </w:r>
          </w:p>
        </w:tc>
      </w:tr>
      <w:tr w14:paraId="67E950D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633" w:type="dxa"/>
            <w:vAlign w:val="center"/>
          </w:tcPr>
          <w:p w14:paraId="63FD3245">
            <w:pPr>
              <w:spacing w:line="276" w:lineRule="auto"/>
              <w:jc w:val="center"/>
              <w:rPr>
                <w:rStyle w:val="66"/>
                <w:rFonts w:ascii="宋体" w:hAnsi="宋体"/>
                <w:color w:val="auto"/>
                <w:szCs w:val="21"/>
                <w:highlight w:val="none"/>
              </w:rPr>
            </w:pPr>
            <w:r>
              <w:rPr>
                <w:rStyle w:val="66"/>
                <w:rFonts w:ascii="宋体" w:hAnsi="宋体"/>
                <w:color w:val="auto"/>
                <w:szCs w:val="21"/>
                <w:highlight w:val="none"/>
              </w:rPr>
              <w:t>15</w:t>
            </w:r>
          </w:p>
        </w:tc>
        <w:tc>
          <w:tcPr>
            <w:tcW w:w="944" w:type="dxa"/>
            <w:tcBorders>
              <w:left w:val="single" w:color="000000" w:sz="4" w:space="0"/>
            </w:tcBorders>
            <w:vAlign w:val="center"/>
          </w:tcPr>
          <w:p w14:paraId="6252E24E">
            <w:pPr>
              <w:spacing w:line="276" w:lineRule="auto"/>
              <w:jc w:val="center"/>
              <w:rPr>
                <w:rStyle w:val="66"/>
                <w:rFonts w:ascii="宋体" w:hAnsi="宋体"/>
                <w:color w:val="auto"/>
                <w:szCs w:val="21"/>
                <w:highlight w:val="none"/>
              </w:rPr>
            </w:pPr>
            <w:r>
              <w:rPr>
                <w:rStyle w:val="66"/>
                <w:rFonts w:ascii="宋体" w:hAnsi="宋体"/>
                <w:color w:val="auto"/>
                <w:szCs w:val="21"/>
                <w:highlight w:val="none"/>
              </w:rPr>
              <w:t>5</w:t>
            </w:r>
          </w:p>
        </w:tc>
        <w:tc>
          <w:tcPr>
            <w:tcW w:w="1494" w:type="dxa"/>
            <w:tcBorders>
              <w:left w:val="single" w:color="000000" w:sz="4" w:space="0"/>
            </w:tcBorders>
            <w:vAlign w:val="center"/>
          </w:tcPr>
          <w:p w14:paraId="2FCEC5B9">
            <w:pPr>
              <w:spacing w:line="276" w:lineRule="auto"/>
              <w:jc w:val="center"/>
              <w:rPr>
                <w:rStyle w:val="66"/>
                <w:rFonts w:ascii="宋体" w:hAnsi="宋体"/>
                <w:color w:val="auto"/>
                <w:szCs w:val="21"/>
                <w:highlight w:val="none"/>
              </w:rPr>
            </w:pPr>
            <w:r>
              <w:rPr>
                <w:rStyle w:val="66"/>
                <w:rFonts w:ascii="宋体" w:hAnsi="宋体"/>
                <w:color w:val="auto"/>
                <w:szCs w:val="21"/>
                <w:highlight w:val="none"/>
              </w:rPr>
              <w:t>踏勘现场</w:t>
            </w:r>
          </w:p>
        </w:tc>
        <w:tc>
          <w:tcPr>
            <w:tcW w:w="5689" w:type="dxa"/>
            <w:tcBorders>
              <w:left w:val="single" w:color="000000" w:sz="4" w:space="0"/>
            </w:tcBorders>
            <w:vAlign w:val="center"/>
          </w:tcPr>
          <w:p w14:paraId="68CDA589">
            <w:pPr>
              <w:pStyle w:val="15"/>
              <w:spacing w:line="276" w:lineRule="auto"/>
              <w:rPr>
                <w:rStyle w:val="66"/>
                <w:rFonts w:ascii="宋体" w:hAnsi="宋体"/>
                <w:color w:val="auto"/>
                <w:kern w:val="2"/>
                <w:sz w:val="21"/>
                <w:szCs w:val="21"/>
                <w:highlight w:val="none"/>
              </w:rPr>
            </w:pPr>
            <w:r>
              <w:rPr>
                <w:rStyle w:val="66"/>
                <w:rFonts w:ascii="宋体" w:hAnsi="宋体"/>
                <w:color w:val="auto"/>
                <w:kern w:val="2"/>
                <w:sz w:val="21"/>
                <w:szCs w:val="21"/>
                <w:highlight w:val="none"/>
              </w:rPr>
              <w:t>招标人不集中组织，由投标人自行踏勘。</w:t>
            </w:r>
          </w:p>
        </w:tc>
      </w:tr>
      <w:tr w14:paraId="66F1715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633" w:type="dxa"/>
            <w:vAlign w:val="center"/>
          </w:tcPr>
          <w:p w14:paraId="4FF7FFF4">
            <w:pPr>
              <w:spacing w:line="276" w:lineRule="auto"/>
              <w:jc w:val="center"/>
              <w:rPr>
                <w:rStyle w:val="66"/>
                <w:rFonts w:ascii="宋体" w:hAnsi="宋体"/>
                <w:color w:val="auto"/>
                <w:szCs w:val="21"/>
                <w:highlight w:val="none"/>
              </w:rPr>
            </w:pPr>
            <w:r>
              <w:rPr>
                <w:rStyle w:val="66"/>
                <w:rFonts w:ascii="宋体" w:hAnsi="宋体"/>
                <w:color w:val="auto"/>
                <w:szCs w:val="21"/>
                <w:highlight w:val="none"/>
              </w:rPr>
              <w:t>16</w:t>
            </w:r>
          </w:p>
        </w:tc>
        <w:tc>
          <w:tcPr>
            <w:tcW w:w="944" w:type="dxa"/>
            <w:tcBorders>
              <w:left w:val="single" w:color="000000" w:sz="4" w:space="0"/>
            </w:tcBorders>
            <w:vAlign w:val="center"/>
          </w:tcPr>
          <w:p w14:paraId="6EB07CCC">
            <w:pPr>
              <w:spacing w:line="276" w:lineRule="auto"/>
              <w:jc w:val="center"/>
              <w:rPr>
                <w:rStyle w:val="66"/>
                <w:rFonts w:ascii="宋体" w:hAnsi="宋体"/>
                <w:color w:val="auto"/>
                <w:szCs w:val="21"/>
                <w:highlight w:val="none"/>
              </w:rPr>
            </w:pPr>
            <w:r>
              <w:rPr>
                <w:rStyle w:val="66"/>
                <w:rFonts w:ascii="宋体" w:hAnsi="宋体"/>
                <w:color w:val="auto"/>
                <w:szCs w:val="21"/>
                <w:highlight w:val="none"/>
              </w:rPr>
              <w:t>8</w:t>
            </w:r>
          </w:p>
        </w:tc>
        <w:tc>
          <w:tcPr>
            <w:tcW w:w="1494" w:type="dxa"/>
            <w:tcBorders>
              <w:left w:val="single" w:color="000000" w:sz="4" w:space="0"/>
            </w:tcBorders>
            <w:vAlign w:val="center"/>
          </w:tcPr>
          <w:p w14:paraId="75A61FA2">
            <w:pPr>
              <w:spacing w:line="276" w:lineRule="auto"/>
              <w:jc w:val="center"/>
              <w:rPr>
                <w:rStyle w:val="66"/>
                <w:rFonts w:ascii="宋体" w:hAnsi="宋体"/>
                <w:color w:val="auto"/>
                <w:szCs w:val="21"/>
                <w:highlight w:val="none"/>
              </w:rPr>
            </w:pPr>
            <w:r>
              <w:rPr>
                <w:rStyle w:val="66"/>
                <w:rFonts w:ascii="宋体" w:hAnsi="宋体"/>
                <w:color w:val="auto"/>
                <w:szCs w:val="21"/>
                <w:highlight w:val="none"/>
              </w:rPr>
              <w:t>投标答疑</w:t>
            </w:r>
          </w:p>
        </w:tc>
        <w:tc>
          <w:tcPr>
            <w:tcW w:w="5689" w:type="dxa"/>
            <w:tcBorders>
              <w:left w:val="single" w:color="000000" w:sz="4" w:space="0"/>
            </w:tcBorders>
            <w:vAlign w:val="center"/>
          </w:tcPr>
          <w:p w14:paraId="23D195F8">
            <w:pPr>
              <w:spacing w:line="276" w:lineRule="auto"/>
              <w:rPr>
                <w:rStyle w:val="66"/>
                <w:rFonts w:ascii="宋体" w:hAnsi="宋体"/>
                <w:color w:val="auto"/>
                <w:szCs w:val="21"/>
                <w:highlight w:val="none"/>
              </w:rPr>
            </w:pPr>
            <w:r>
              <w:rPr>
                <w:rStyle w:val="66"/>
                <w:rFonts w:ascii="宋体" w:hAnsi="宋体"/>
                <w:color w:val="auto"/>
                <w:szCs w:val="21"/>
                <w:highlight w:val="none"/>
              </w:rPr>
              <w:t>疑问提交时间：</w:t>
            </w:r>
            <w:r>
              <w:rPr>
                <w:rStyle w:val="66"/>
                <w:rFonts w:hint="eastAsia" w:ascii="宋体" w:hAnsi="宋体"/>
                <w:color w:val="auto"/>
                <w:szCs w:val="21"/>
                <w:highlight w:val="none"/>
                <w:u w:val="single"/>
                <w:lang w:eastAsia="zh-CN"/>
              </w:rPr>
              <w:t>2024</w:t>
            </w:r>
            <w:r>
              <w:rPr>
                <w:rStyle w:val="66"/>
                <w:rFonts w:ascii="宋体" w:hAnsi="宋体"/>
                <w:color w:val="auto"/>
                <w:szCs w:val="21"/>
                <w:highlight w:val="none"/>
              </w:rPr>
              <w:t>年</w:t>
            </w:r>
            <w:r>
              <w:rPr>
                <w:rStyle w:val="66"/>
                <w:rFonts w:hint="eastAsia" w:ascii="宋体" w:hAnsi="宋体"/>
                <w:color w:val="auto"/>
                <w:szCs w:val="21"/>
                <w:highlight w:val="none"/>
                <w:u w:val="single"/>
              </w:rPr>
              <w:t xml:space="preserve">  </w:t>
            </w:r>
            <w:r>
              <w:rPr>
                <w:rStyle w:val="66"/>
                <w:rFonts w:ascii="宋体" w:hAnsi="宋体"/>
                <w:color w:val="auto"/>
                <w:szCs w:val="21"/>
                <w:highlight w:val="none"/>
              </w:rPr>
              <w:t>月</w:t>
            </w:r>
            <w:r>
              <w:rPr>
                <w:rStyle w:val="66"/>
                <w:rFonts w:hint="eastAsia" w:ascii="宋体" w:hAnsi="宋体"/>
                <w:color w:val="auto"/>
                <w:szCs w:val="21"/>
                <w:highlight w:val="none"/>
                <w:u w:val="single"/>
              </w:rPr>
              <w:t xml:space="preserve">  </w:t>
            </w:r>
            <w:r>
              <w:rPr>
                <w:rStyle w:val="66"/>
                <w:rFonts w:ascii="宋体" w:hAnsi="宋体"/>
                <w:color w:val="auto"/>
                <w:szCs w:val="21"/>
                <w:highlight w:val="none"/>
              </w:rPr>
              <w:t>日</w:t>
            </w:r>
            <w:r>
              <w:rPr>
                <w:rStyle w:val="66"/>
                <w:rFonts w:hint="eastAsia" w:ascii="宋体" w:hAnsi="宋体"/>
                <w:color w:val="auto"/>
                <w:szCs w:val="21"/>
                <w:highlight w:val="none"/>
                <w:u w:val="single"/>
              </w:rPr>
              <w:t xml:space="preserve">   </w:t>
            </w:r>
            <w:r>
              <w:rPr>
                <w:rStyle w:val="66"/>
                <w:rFonts w:ascii="宋体" w:hAnsi="宋体"/>
                <w:color w:val="auto"/>
                <w:szCs w:val="21"/>
                <w:highlight w:val="none"/>
              </w:rPr>
              <w:t>时前（详见广州公共资源交易中心日程安排）；</w:t>
            </w:r>
          </w:p>
          <w:p w14:paraId="1D2F35AB">
            <w:pPr>
              <w:spacing w:line="276" w:lineRule="auto"/>
              <w:rPr>
                <w:rStyle w:val="66"/>
                <w:bCs/>
                <w:color w:val="auto"/>
                <w:highlight w:val="none"/>
              </w:rPr>
            </w:pPr>
            <w:r>
              <w:rPr>
                <w:rStyle w:val="66"/>
                <w:rFonts w:ascii="宋体" w:hAnsi="宋体"/>
                <w:color w:val="auto"/>
                <w:szCs w:val="21"/>
                <w:highlight w:val="none"/>
              </w:rPr>
              <w:t>形式：投标人的疑问通过</w:t>
            </w:r>
            <w:r>
              <w:rPr>
                <w:rStyle w:val="66"/>
                <w:rFonts w:ascii="宋体" w:hAnsi="宋体"/>
                <w:color w:val="auto"/>
                <w:szCs w:val="21"/>
                <w:highlight w:val="none"/>
                <w:u w:val="single"/>
              </w:rPr>
              <w:t>广州公共资源交易中心</w:t>
            </w:r>
            <w:r>
              <w:rPr>
                <w:rStyle w:val="66"/>
                <w:rFonts w:ascii="宋体" w:hAnsi="宋体"/>
                <w:color w:val="auto"/>
                <w:szCs w:val="21"/>
                <w:highlight w:val="none"/>
              </w:rPr>
              <w:t>交易平台提交。</w:t>
            </w:r>
          </w:p>
          <w:p w14:paraId="5143B725">
            <w:pPr>
              <w:spacing w:line="276" w:lineRule="auto"/>
              <w:rPr>
                <w:rFonts w:ascii="宋体" w:hAnsi="宋体"/>
                <w:color w:val="auto"/>
                <w:szCs w:val="21"/>
                <w:highlight w:val="none"/>
              </w:rPr>
            </w:pPr>
            <w:r>
              <w:rPr>
                <w:rStyle w:val="66"/>
                <w:rFonts w:ascii="宋体" w:hAnsi="宋体"/>
                <w:color w:val="auto"/>
                <w:szCs w:val="21"/>
                <w:highlight w:val="none"/>
              </w:rPr>
              <w:t>具体要求：</w:t>
            </w:r>
            <w:r>
              <w:rPr>
                <w:rFonts w:hint="eastAsia" w:ascii="宋体" w:hAnsi="宋体"/>
                <w:color w:val="auto"/>
                <w:szCs w:val="21"/>
                <w:highlight w:val="none"/>
              </w:rPr>
              <w:t>按照交易平台关于全流程电子化项目的相关指南进行操作，详见：</w:t>
            </w:r>
            <w:r>
              <w:rPr>
                <w:rFonts w:hint="eastAsia" w:ascii="宋体" w:hAnsi="宋体"/>
                <w:color w:val="auto"/>
                <w:szCs w:val="21"/>
                <w:highlight w:val="none"/>
                <w:u w:val="single"/>
              </w:rPr>
              <w:t>广州公共资源交易中心网站（http:/ www.gzggzy.cn）服务指南栏目</w:t>
            </w:r>
            <w:r>
              <w:rPr>
                <w:rFonts w:hint="eastAsia" w:ascii="宋体" w:hAnsi="宋体"/>
                <w:color w:val="auto"/>
                <w:szCs w:val="21"/>
                <w:highlight w:val="none"/>
              </w:rPr>
              <w:t>。提问一律不得署名。</w:t>
            </w:r>
          </w:p>
        </w:tc>
      </w:tr>
      <w:tr w14:paraId="1F4EC41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633" w:type="dxa"/>
            <w:vAlign w:val="center"/>
          </w:tcPr>
          <w:p w14:paraId="6BEA98DD">
            <w:pPr>
              <w:spacing w:line="276" w:lineRule="auto"/>
              <w:jc w:val="center"/>
              <w:rPr>
                <w:rStyle w:val="66"/>
                <w:rFonts w:ascii="宋体" w:hAnsi="宋体"/>
                <w:color w:val="auto"/>
                <w:szCs w:val="21"/>
                <w:highlight w:val="none"/>
              </w:rPr>
            </w:pPr>
            <w:r>
              <w:rPr>
                <w:rStyle w:val="66"/>
                <w:rFonts w:ascii="宋体" w:hAnsi="宋体"/>
                <w:color w:val="auto"/>
                <w:szCs w:val="21"/>
                <w:highlight w:val="none"/>
              </w:rPr>
              <w:t>17</w:t>
            </w:r>
          </w:p>
        </w:tc>
        <w:tc>
          <w:tcPr>
            <w:tcW w:w="944" w:type="dxa"/>
            <w:tcBorders>
              <w:left w:val="single" w:color="000000" w:sz="4" w:space="0"/>
            </w:tcBorders>
            <w:vAlign w:val="center"/>
          </w:tcPr>
          <w:p w14:paraId="43FFE008">
            <w:pPr>
              <w:spacing w:line="276" w:lineRule="auto"/>
              <w:jc w:val="center"/>
              <w:rPr>
                <w:rStyle w:val="66"/>
                <w:rFonts w:ascii="宋体" w:hAnsi="宋体"/>
                <w:color w:val="auto"/>
                <w:szCs w:val="21"/>
                <w:highlight w:val="none"/>
              </w:rPr>
            </w:pPr>
            <w:r>
              <w:rPr>
                <w:rStyle w:val="66"/>
                <w:rFonts w:ascii="宋体" w:hAnsi="宋体"/>
                <w:color w:val="auto"/>
                <w:szCs w:val="21"/>
                <w:highlight w:val="none"/>
              </w:rPr>
              <w:t>20.1</w:t>
            </w:r>
          </w:p>
        </w:tc>
        <w:tc>
          <w:tcPr>
            <w:tcW w:w="1494" w:type="dxa"/>
            <w:tcBorders>
              <w:left w:val="single" w:color="000000" w:sz="4" w:space="0"/>
            </w:tcBorders>
            <w:vAlign w:val="center"/>
          </w:tcPr>
          <w:p w14:paraId="3D2C14F6">
            <w:pPr>
              <w:spacing w:line="276" w:lineRule="auto"/>
              <w:jc w:val="center"/>
              <w:rPr>
                <w:rStyle w:val="66"/>
                <w:rFonts w:ascii="宋体" w:hAnsi="宋体"/>
                <w:color w:val="auto"/>
                <w:szCs w:val="21"/>
                <w:highlight w:val="none"/>
              </w:rPr>
            </w:pPr>
            <w:r>
              <w:rPr>
                <w:rStyle w:val="66"/>
                <w:rFonts w:ascii="宋体" w:hAnsi="宋体"/>
                <w:color w:val="auto"/>
                <w:szCs w:val="21"/>
                <w:highlight w:val="none"/>
              </w:rPr>
              <w:t>投标截止时间</w:t>
            </w:r>
          </w:p>
        </w:tc>
        <w:tc>
          <w:tcPr>
            <w:tcW w:w="5689" w:type="dxa"/>
            <w:tcBorders>
              <w:left w:val="single" w:color="000000" w:sz="4" w:space="0"/>
            </w:tcBorders>
            <w:vAlign w:val="center"/>
          </w:tcPr>
          <w:p w14:paraId="3272C6C0">
            <w:pPr>
              <w:spacing w:line="276" w:lineRule="auto"/>
              <w:rPr>
                <w:rStyle w:val="66"/>
                <w:rFonts w:ascii="宋体" w:hAnsi="宋体"/>
                <w:strike/>
                <w:dstrike w:val="0"/>
                <w:color w:val="auto"/>
                <w:szCs w:val="21"/>
                <w:highlight w:val="none"/>
              </w:rPr>
            </w:pPr>
            <w:r>
              <w:rPr>
                <w:rFonts w:hint="eastAsia" w:ascii="宋体" w:hAnsi="宋体" w:cs="宋体"/>
                <w:color w:val="auto"/>
                <w:szCs w:val="21"/>
                <w:highlight w:val="none"/>
                <w:u w:val="single"/>
              </w:rPr>
              <w:t>详见广州公共资源交易中心网站关于本项目的日程安排。</w:t>
            </w:r>
          </w:p>
        </w:tc>
      </w:tr>
      <w:tr w14:paraId="15FED42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633" w:type="dxa"/>
            <w:vAlign w:val="center"/>
          </w:tcPr>
          <w:p w14:paraId="38C48710">
            <w:pPr>
              <w:spacing w:line="276" w:lineRule="auto"/>
              <w:jc w:val="center"/>
              <w:rPr>
                <w:rStyle w:val="66"/>
                <w:rFonts w:ascii="宋体" w:hAnsi="宋体"/>
                <w:color w:val="auto"/>
                <w:szCs w:val="21"/>
                <w:highlight w:val="none"/>
              </w:rPr>
            </w:pPr>
            <w:r>
              <w:rPr>
                <w:rStyle w:val="66"/>
                <w:rFonts w:ascii="宋体" w:hAnsi="宋体"/>
                <w:color w:val="auto"/>
                <w:szCs w:val="21"/>
                <w:highlight w:val="none"/>
              </w:rPr>
              <w:t>18</w:t>
            </w:r>
          </w:p>
        </w:tc>
        <w:tc>
          <w:tcPr>
            <w:tcW w:w="944" w:type="dxa"/>
            <w:tcBorders>
              <w:left w:val="single" w:color="000000" w:sz="4" w:space="0"/>
            </w:tcBorders>
            <w:vAlign w:val="center"/>
          </w:tcPr>
          <w:p w14:paraId="4C1D7DDC">
            <w:pPr>
              <w:spacing w:line="276" w:lineRule="auto"/>
              <w:jc w:val="center"/>
              <w:rPr>
                <w:rStyle w:val="66"/>
                <w:rFonts w:ascii="宋体" w:hAnsi="宋体"/>
                <w:color w:val="auto"/>
                <w:szCs w:val="21"/>
                <w:highlight w:val="none"/>
              </w:rPr>
            </w:pPr>
            <w:r>
              <w:rPr>
                <w:rStyle w:val="66"/>
                <w:rFonts w:ascii="宋体" w:hAnsi="宋体"/>
                <w:color w:val="auto"/>
                <w:szCs w:val="21"/>
                <w:highlight w:val="none"/>
              </w:rPr>
              <w:t>20.1</w:t>
            </w:r>
          </w:p>
        </w:tc>
        <w:tc>
          <w:tcPr>
            <w:tcW w:w="1494" w:type="dxa"/>
            <w:tcBorders>
              <w:left w:val="single" w:color="000000" w:sz="4" w:space="0"/>
            </w:tcBorders>
            <w:vAlign w:val="center"/>
          </w:tcPr>
          <w:p w14:paraId="705BF664">
            <w:pPr>
              <w:spacing w:line="276" w:lineRule="auto"/>
              <w:jc w:val="center"/>
              <w:rPr>
                <w:rStyle w:val="66"/>
                <w:rFonts w:ascii="宋体" w:hAnsi="宋体"/>
                <w:color w:val="auto"/>
                <w:szCs w:val="21"/>
                <w:highlight w:val="none"/>
              </w:rPr>
            </w:pPr>
            <w:r>
              <w:rPr>
                <w:rStyle w:val="66"/>
                <w:rFonts w:ascii="宋体" w:hAnsi="宋体"/>
                <w:color w:val="auto"/>
                <w:szCs w:val="21"/>
                <w:highlight w:val="none"/>
              </w:rPr>
              <w:t>开标开始时间和地点</w:t>
            </w:r>
          </w:p>
        </w:tc>
        <w:tc>
          <w:tcPr>
            <w:tcW w:w="5689" w:type="dxa"/>
            <w:tcBorders>
              <w:left w:val="single" w:color="000000" w:sz="4" w:space="0"/>
            </w:tcBorders>
            <w:vAlign w:val="center"/>
          </w:tcPr>
          <w:p w14:paraId="703C6DDA">
            <w:pPr>
              <w:spacing w:line="276" w:lineRule="auto"/>
              <w:rPr>
                <w:rStyle w:val="66"/>
                <w:rFonts w:ascii="宋体" w:hAnsi="宋体"/>
                <w:color w:val="auto"/>
                <w:szCs w:val="21"/>
                <w:highlight w:val="none"/>
              </w:rPr>
            </w:pPr>
            <w:r>
              <w:rPr>
                <w:rStyle w:val="66"/>
                <w:rFonts w:hint="eastAsia" w:ascii="宋体" w:hAnsi="宋体"/>
                <w:color w:val="auto"/>
                <w:szCs w:val="21"/>
                <w:highlight w:val="none"/>
              </w:rPr>
              <w:t>（技术标和经济标同时开标）</w:t>
            </w:r>
          </w:p>
          <w:p w14:paraId="51C68E9E">
            <w:pPr>
              <w:spacing w:line="276" w:lineRule="auto"/>
              <w:rPr>
                <w:rStyle w:val="66"/>
                <w:rFonts w:ascii="宋体" w:hAnsi="宋体"/>
                <w:b/>
                <w:bCs/>
                <w:color w:val="auto"/>
                <w:szCs w:val="21"/>
                <w:highlight w:val="none"/>
              </w:rPr>
            </w:pPr>
            <w:r>
              <w:rPr>
                <w:rStyle w:val="66"/>
                <w:rFonts w:hint="eastAsia" w:ascii="宋体" w:hAnsi="宋体"/>
                <w:color w:val="auto"/>
                <w:szCs w:val="21"/>
                <w:highlight w:val="none"/>
              </w:rPr>
              <w:t>1、开标开始时间：</w:t>
            </w:r>
            <w:r>
              <w:rPr>
                <w:rFonts w:hint="eastAsia" w:ascii="宋体" w:hAnsi="宋体" w:cs="宋体"/>
                <w:color w:val="auto"/>
                <w:szCs w:val="21"/>
                <w:highlight w:val="none"/>
                <w:u w:val="single"/>
              </w:rPr>
              <w:t>详见广州交易集团有限公司（广州公共资源交易中心）网站关于本项目的日程安排</w:t>
            </w:r>
            <w:r>
              <w:rPr>
                <w:rFonts w:hint="eastAsia" w:ascii="宋体" w:hAnsi="宋体" w:cs="宋体"/>
                <w:color w:val="auto"/>
                <w:szCs w:val="21"/>
                <w:highlight w:val="none"/>
              </w:rPr>
              <w:t>，地点：</w:t>
            </w:r>
            <w:r>
              <w:rPr>
                <w:rFonts w:hint="eastAsia" w:ascii="宋体" w:hAnsi="宋体" w:cs="宋体"/>
                <w:color w:val="auto"/>
                <w:szCs w:val="21"/>
                <w:highlight w:val="none"/>
                <w:u w:val="single"/>
              </w:rPr>
              <w:t>广州公共资源交易中心（广州市天河区天润路333号）。</w:t>
            </w:r>
            <w:r>
              <w:rPr>
                <w:rStyle w:val="66"/>
                <w:rFonts w:hint="eastAsia" w:ascii="宋体" w:hAnsi="宋体"/>
                <w:b/>
                <w:bCs/>
                <w:color w:val="auto"/>
                <w:szCs w:val="21"/>
                <w:highlight w:val="none"/>
              </w:rPr>
              <w:t>投标人也可选择参加在线开标，具体按照交易平台相关指南进行操作。详见：</w:t>
            </w:r>
            <w:r>
              <w:rPr>
                <w:rFonts w:hint="eastAsia" w:ascii="宋体" w:hAnsi="宋体"/>
                <w:b/>
                <w:bCs/>
                <w:color w:val="auto"/>
                <w:szCs w:val="21"/>
                <w:highlight w:val="none"/>
                <w:u w:val="single"/>
              </w:rPr>
              <w:t>广州公共资源交易中心网站（http:/ www.gzggzy.cn）服务指南栏目</w:t>
            </w:r>
            <w:r>
              <w:rPr>
                <w:rStyle w:val="66"/>
                <w:rFonts w:hint="eastAsia" w:ascii="宋体" w:hAnsi="宋体"/>
                <w:b/>
                <w:bCs/>
                <w:color w:val="auto"/>
                <w:szCs w:val="21"/>
                <w:highlight w:val="none"/>
              </w:rPr>
              <w:t>。</w:t>
            </w:r>
          </w:p>
          <w:p w14:paraId="251A9EF5">
            <w:pPr>
              <w:spacing w:line="276" w:lineRule="auto"/>
              <w:rPr>
                <w:rStyle w:val="66"/>
                <w:rFonts w:ascii="宋体" w:hAnsi="宋体"/>
                <w:color w:val="auto"/>
                <w:szCs w:val="21"/>
                <w:highlight w:val="none"/>
              </w:rPr>
            </w:pPr>
            <w:r>
              <w:rPr>
                <w:rStyle w:val="66"/>
                <w:rFonts w:hint="eastAsia" w:ascii="宋体" w:hAnsi="宋体"/>
                <w:color w:val="auto"/>
                <w:szCs w:val="21"/>
                <w:highlight w:val="none"/>
              </w:rPr>
              <w:t>注：投标文件解密问题。投标人只用执行一次解密，招标人执行解密次数根据招标文件开标次数确定。</w:t>
            </w:r>
          </w:p>
          <w:p w14:paraId="28F7DCEA">
            <w:pPr>
              <w:spacing w:line="276" w:lineRule="auto"/>
              <w:rPr>
                <w:rStyle w:val="66"/>
                <w:rFonts w:ascii="宋体" w:hAnsi="宋体"/>
                <w:color w:val="auto"/>
                <w:szCs w:val="21"/>
                <w:highlight w:val="none"/>
              </w:rPr>
            </w:pPr>
            <w:r>
              <w:rPr>
                <w:rStyle w:val="66"/>
                <w:rFonts w:hint="eastAsia" w:ascii="宋体" w:hAnsi="宋体"/>
                <w:color w:val="auto"/>
                <w:szCs w:val="21"/>
                <w:highlight w:val="none"/>
              </w:rPr>
              <w:t>2、递交投标文件备用光盘时间：</w:t>
            </w:r>
            <w:r>
              <w:rPr>
                <w:rFonts w:hint="eastAsia" w:ascii="宋体" w:hAnsi="宋体" w:cs="宋体"/>
                <w:color w:val="auto"/>
                <w:szCs w:val="21"/>
                <w:highlight w:val="none"/>
                <w:u w:val="single"/>
              </w:rPr>
              <w:t>详见广州交易集团有限公司（广州公共资源交易中心）网站关于本项目的日程安排</w:t>
            </w:r>
            <w:r>
              <w:rPr>
                <w:rFonts w:hint="eastAsia" w:ascii="宋体" w:hAnsi="宋体" w:cs="宋体"/>
                <w:color w:val="auto"/>
                <w:szCs w:val="21"/>
                <w:highlight w:val="none"/>
              </w:rPr>
              <w:t>；递交地点：</w:t>
            </w:r>
            <w:r>
              <w:rPr>
                <w:rFonts w:hint="eastAsia" w:ascii="宋体" w:hAnsi="宋体" w:cs="宋体"/>
                <w:color w:val="auto"/>
                <w:szCs w:val="21"/>
                <w:highlight w:val="none"/>
                <w:u w:val="single"/>
              </w:rPr>
              <w:t>广州公共资源交易中心（广州市天河区天润路333号）</w:t>
            </w:r>
            <w:r>
              <w:rPr>
                <w:rStyle w:val="66"/>
                <w:rFonts w:hint="eastAsia" w:ascii="宋体" w:hAnsi="宋体"/>
                <w:color w:val="auto"/>
                <w:szCs w:val="21"/>
                <w:highlight w:val="none"/>
              </w:rPr>
              <w:t>。(建议安排在投标文件截止时间前15分钟至投标文件截止时间）</w:t>
            </w:r>
          </w:p>
          <w:p w14:paraId="04335767">
            <w:pPr>
              <w:spacing w:line="276" w:lineRule="auto"/>
              <w:rPr>
                <w:rStyle w:val="66"/>
                <w:rFonts w:ascii="宋体" w:hAnsi="宋体"/>
                <w:color w:val="auto"/>
                <w:szCs w:val="21"/>
                <w:highlight w:val="none"/>
              </w:rPr>
            </w:pPr>
            <w:r>
              <w:rPr>
                <w:rStyle w:val="66"/>
                <w:rFonts w:hint="eastAsia" w:ascii="宋体" w:hAnsi="宋体"/>
                <w:color w:val="auto"/>
                <w:szCs w:val="21"/>
                <w:highlight w:val="none"/>
              </w:rPr>
              <w:t>上述时间及地点是否有改变，请密切留意补充公告和招标答疑纪要的相关信息。</w:t>
            </w:r>
          </w:p>
        </w:tc>
      </w:tr>
      <w:tr w14:paraId="6163593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633" w:type="dxa"/>
            <w:vAlign w:val="center"/>
          </w:tcPr>
          <w:p w14:paraId="37D479A2">
            <w:pPr>
              <w:spacing w:line="276" w:lineRule="auto"/>
              <w:jc w:val="center"/>
              <w:rPr>
                <w:rStyle w:val="66"/>
                <w:rFonts w:ascii="宋体" w:hAnsi="宋体"/>
                <w:color w:val="auto"/>
                <w:szCs w:val="21"/>
                <w:highlight w:val="none"/>
              </w:rPr>
            </w:pPr>
            <w:r>
              <w:rPr>
                <w:rStyle w:val="66"/>
                <w:rFonts w:ascii="宋体" w:hAnsi="宋体"/>
                <w:color w:val="auto"/>
                <w:szCs w:val="21"/>
                <w:highlight w:val="none"/>
              </w:rPr>
              <w:t>19</w:t>
            </w:r>
          </w:p>
        </w:tc>
        <w:tc>
          <w:tcPr>
            <w:tcW w:w="944" w:type="dxa"/>
            <w:tcBorders>
              <w:left w:val="single" w:color="000000" w:sz="4" w:space="0"/>
            </w:tcBorders>
            <w:vAlign w:val="center"/>
          </w:tcPr>
          <w:p w14:paraId="5522A99A">
            <w:pPr>
              <w:spacing w:line="276" w:lineRule="auto"/>
              <w:jc w:val="center"/>
              <w:rPr>
                <w:rStyle w:val="66"/>
                <w:rFonts w:ascii="宋体" w:hAnsi="宋体"/>
                <w:color w:val="auto"/>
                <w:szCs w:val="21"/>
                <w:highlight w:val="none"/>
              </w:rPr>
            </w:pPr>
            <w:r>
              <w:rPr>
                <w:rStyle w:val="66"/>
                <w:rFonts w:ascii="宋体" w:hAnsi="宋体"/>
                <w:color w:val="auto"/>
                <w:szCs w:val="21"/>
                <w:highlight w:val="none"/>
              </w:rPr>
              <w:t>26</w:t>
            </w:r>
          </w:p>
        </w:tc>
        <w:tc>
          <w:tcPr>
            <w:tcW w:w="1494" w:type="dxa"/>
            <w:tcBorders>
              <w:left w:val="single" w:color="000000" w:sz="4" w:space="0"/>
            </w:tcBorders>
            <w:vAlign w:val="center"/>
          </w:tcPr>
          <w:p w14:paraId="4352A2F9">
            <w:pPr>
              <w:spacing w:line="276" w:lineRule="auto"/>
              <w:jc w:val="center"/>
              <w:rPr>
                <w:rStyle w:val="66"/>
                <w:rFonts w:ascii="宋体" w:hAnsi="宋体"/>
                <w:color w:val="auto"/>
                <w:szCs w:val="21"/>
                <w:highlight w:val="none"/>
              </w:rPr>
            </w:pPr>
            <w:r>
              <w:rPr>
                <w:rStyle w:val="66"/>
                <w:rFonts w:ascii="宋体" w:hAnsi="宋体"/>
                <w:color w:val="auto"/>
                <w:szCs w:val="21"/>
                <w:highlight w:val="none"/>
              </w:rPr>
              <w:t>开标评标办法</w:t>
            </w:r>
          </w:p>
        </w:tc>
        <w:tc>
          <w:tcPr>
            <w:tcW w:w="5689" w:type="dxa"/>
            <w:tcBorders>
              <w:left w:val="single" w:color="000000" w:sz="4" w:space="0"/>
            </w:tcBorders>
            <w:vAlign w:val="center"/>
          </w:tcPr>
          <w:p w14:paraId="1DA10552">
            <w:pPr>
              <w:spacing w:line="276" w:lineRule="auto"/>
              <w:rPr>
                <w:rStyle w:val="66"/>
                <w:rFonts w:ascii="宋体" w:hAnsi="宋体"/>
                <w:color w:val="auto"/>
                <w:szCs w:val="21"/>
                <w:highlight w:val="none"/>
              </w:rPr>
            </w:pPr>
            <w:r>
              <w:rPr>
                <w:rFonts w:hint="eastAsia" w:ascii="宋体" w:hAnsi="宋体"/>
                <w:color w:val="auto"/>
                <w:szCs w:val="21"/>
                <w:highlight w:val="none"/>
              </w:rPr>
              <w:t>方式一：选取办法七（适合综合评分法四，技术标与经济标同时开启）；</w:t>
            </w:r>
          </w:p>
        </w:tc>
      </w:tr>
      <w:tr w14:paraId="6BA7F48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633" w:type="dxa"/>
            <w:vAlign w:val="center"/>
          </w:tcPr>
          <w:p w14:paraId="5F9B5771">
            <w:pPr>
              <w:spacing w:line="276" w:lineRule="auto"/>
              <w:jc w:val="center"/>
              <w:rPr>
                <w:rStyle w:val="66"/>
                <w:rFonts w:ascii="宋体" w:hAnsi="宋体"/>
                <w:color w:val="auto"/>
                <w:szCs w:val="21"/>
                <w:highlight w:val="none"/>
              </w:rPr>
            </w:pPr>
            <w:r>
              <w:rPr>
                <w:rStyle w:val="66"/>
                <w:rFonts w:ascii="宋体" w:hAnsi="宋体"/>
                <w:color w:val="auto"/>
                <w:szCs w:val="21"/>
                <w:highlight w:val="none"/>
              </w:rPr>
              <w:t>20</w:t>
            </w:r>
          </w:p>
        </w:tc>
        <w:tc>
          <w:tcPr>
            <w:tcW w:w="944" w:type="dxa"/>
            <w:tcBorders>
              <w:left w:val="single" w:color="000000" w:sz="4" w:space="0"/>
            </w:tcBorders>
            <w:vAlign w:val="center"/>
          </w:tcPr>
          <w:p w14:paraId="4EF0C245">
            <w:pPr>
              <w:spacing w:line="276" w:lineRule="auto"/>
              <w:jc w:val="center"/>
              <w:rPr>
                <w:rStyle w:val="66"/>
                <w:rFonts w:ascii="宋体" w:hAnsi="宋体"/>
                <w:color w:val="auto"/>
                <w:szCs w:val="21"/>
                <w:highlight w:val="none"/>
              </w:rPr>
            </w:pPr>
            <w:r>
              <w:rPr>
                <w:rStyle w:val="66"/>
                <w:rFonts w:ascii="宋体" w:hAnsi="宋体"/>
                <w:color w:val="auto"/>
                <w:szCs w:val="21"/>
                <w:highlight w:val="none"/>
              </w:rPr>
              <w:t>29.1</w:t>
            </w:r>
          </w:p>
        </w:tc>
        <w:tc>
          <w:tcPr>
            <w:tcW w:w="1494" w:type="dxa"/>
            <w:tcBorders>
              <w:left w:val="single" w:color="000000" w:sz="4" w:space="0"/>
            </w:tcBorders>
            <w:vAlign w:val="center"/>
          </w:tcPr>
          <w:p w14:paraId="08F8E36B">
            <w:pPr>
              <w:spacing w:line="276" w:lineRule="auto"/>
              <w:jc w:val="center"/>
              <w:rPr>
                <w:rStyle w:val="66"/>
                <w:rFonts w:ascii="宋体" w:hAnsi="宋体"/>
                <w:color w:val="auto"/>
                <w:szCs w:val="21"/>
                <w:highlight w:val="none"/>
              </w:rPr>
            </w:pPr>
            <w:r>
              <w:rPr>
                <w:rStyle w:val="66"/>
                <w:rFonts w:ascii="宋体" w:hAnsi="宋体"/>
                <w:color w:val="auto"/>
                <w:szCs w:val="21"/>
                <w:highlight w:val="none"/>
              </w:rPr>
              <w:t>履约担保</w:t>
            </w:r>
          </w:p>
        </w:tc>
        <w:tc>
          <w:tcPr>
            <w:tcW w:w="5689" w:type="dxa"/>
            <w:tcBorders>
              <w:left w:val="single" w:color="000000" w:sz="4" w:space="0"/>
            </w:tcBorders>
            <w:vAlign w:val="center"/>
          </w:tcPr>
          <w:p w14:paraId="6AFEDF3E">
            <w:pPr>
              <w:pStyle w:val="9"/>
              <w:topLinePunct/>
              <w:adjustRightInd w:val="0"/>
              <w:spacing w:after="0" w:line="276" w:lineRule="auto"/>
              <w:rPr>
                <w:rFonts w:ascii="宋体" w:hAnsi="宋体"/>
                <w:color w:val="auto"/>
                <w:sz w:val="21"/>
                <w:szCs w:val="21"/>
                <w:highlight w:val="none"/>
              </w:rPr>
            </w:pPr>
            <w:r>
              <w:rPr>
                <w:rStyle w:val="66"/>
                <w:rFonts w:ascii="宋体" w:hAnsi="宋体"/>
                <w:color w:val="auto"/>
                <w:sz w:val="21"/>
                <w:szCs w:val="21"/>
                <w:highlight w:val="none"/>
              </w:rPr>
              <w:t>方式一：中标人提供的履约保证金为中标价款的10%。</w:t>
            </w:r>
          </w:p>
        </w:tc>
      </w:tr>
      <w:tr w14:paraId="77BBCB5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633" w:type="dxa"/>
            <w:vAlign w:val="center"/>
          </w:tcPr>
          <w:p w14:paraId="6AA0F9C9">
            <w:pPr>
              <w:spacing w:line="276" w:lineRule="auto"/>
              <w:jc w:val="center"/>
              <w:rPr>
                <w:rStyle w:val="66"/>
                <w:rFonts w:ascii="宋体" w:hAnsi="宋体"/>
                <w:color w:val="auto"/>
                <w:szCs w:val="21"/>
                <w:highlight w:val="none"/>
              </w:rPr>
            </w:pPr>
            <w:r>
              <w:rPr>
                <w:rStyle w:val="66"/>
                <w:rFonts w:ascii="宋体" w:hAnsi="宋体"/>
                <w:color w:val="auto"/>
                <w:szCs w:val="21"/>
                <w:highlight w:val="none"/>
              </w:rPr>
              <w:t>21</w:t>
            </w:r>
          </w:p>
        </w:tc>
        <w:tc>
          <w:tcPr>
            <w:tcW w:w="944" w:type="dxa"/>
            <w:tcBorders>
              <w:left w:val="single" w:color="000000" w:sz="4" w:space="0"/>
            </w:tcBorders>
            <w:vAlign w:val="center"/>
          </w:tcPr>
          <w:p w14:paraId="2EA46081">
            <w:pPr>
              <w:spacing w:line="276" w:lineRule="auto"/>
              <w:jc w:val="center"/>
              <w:rPr>
                <w:rStyle w:val="66"/>
                <w:rFonts w:ascii="宋体" w:hAnsi="宋体"/>
                <w:color w:val="auto"/>
                <w:szCs w:val="21"/>
                <w:highlight w:val="none"/>
              </w:rPr>
            </w:pPr>
          </w:p>
        </w:tc>
        <w:tc>
          <w:tcPr>
            <w:tcW w:w="1494" w:type="dxa"/>
            <w:tcBorders>
              <w:left w:val="single" w:color="000000" w:sz="4" w:space="0"/>
            </w:tcBorders>
            <w:vAlign w:val="center"/>
          </w:tcPr>
          <w:p w14:paraId="65E09A07">
            <w:pPr>
              <w:spacing w:line="276" w:lineRule="auto"/>
              <w:jc w:val="center"/>
              <w:rPr>
                <w:rStyle w:val="66"/>
                <w:rFonts w:ascii="宋体" w:hAnsi="宋体"/>
                <w:color w:val="auto"/>
                <w:szCs w:val="21"/>
                <w:highlight w:val="none"/>
              </w:rPr>
            </w:pPr>
            <w:r>
              <w:rPr>
                <w:rStyle w:val="66"/>
                <w:rFonts w:ascii="宋体" w:hAnsi="宋体"/>
                <w:color w:val="auto"/>
                <w:szCs w:val="21"/>
                <w:highlight w:val="none"/>
              </w:rPr>
              <w:t>最高投标限价</w:t>
            </w:r>
          </w:p>
        </w:tc>
        <w:tc>
          <w:tcPr>
            <w:tcW w:w="5689" w:type="dxa"/>
            <w:tcBorders>
              <w:left w:val="single" w:color="000000" w:sz="4" w:space="0"/>
            </w:tcBorders>
            <w:vAlign w:val="center"/>
          </w:tcPr>
          <w:p w14:paraId="0BAEB127">
            <w:pPr>
              <w:spacing w:line="276" w:lineRule="auto"/>
              <w:rPr>
                <w:rStyle w:val="66"/>
                <w:rFonts w:ascii="宋体" w:hAnsi="宋体"/>
                <w:color w:val="auto"/>
                <w:szCs w:val="21"/>
                <w:highlight w:val="none"/>
              </w:rPr>
            </w:pPr>
            <w:r>
              <w:rPr>
                <w:rStyle w:val="66"/>
                <w:rFonts w:ascii="宋体" w:hAnsi="宋体"/>
                <w:color w:val="auto"/>
                <w:szCs w:val="21"/>
                <w:highlight w:val="none"/>
              </w:rPr>
              <w:t>本项目最高投标限价为人民币</w:t>
            </w:r>
            <w:r>
              <w:rPr>
                <w:rStyle w:val="66"/>
                <w:rFonts w:hint="eastAsia" w:ascii="宋体" w:hAnsi="宋体"/>
                <w:color w:val="auto"/>
                <w:sz w:val="24"/>
                <w:szCs w:val="21"/>
                <w:highlight w:val="none"/>
                <w:u w:val="single"/>
                <w:lang w:val="en-US" w:eastAsia="zh-CN"/>
              </w:rPr>
              <w:t>18807732.03</w:t>
            </w:r>
            <w:r>
              <w:rPr>
                <w:rStyle w:val="66"/>
                <w:rFonts w:ascii="宋体" w:hAnsi="宋体"/>
                <w:color w:val="auto"/>
                <w:szCs w:val="21"/>
                <w:highlight w:val="none"/>
              </w:rPr>
              <w:t>元</w:t>
            </w:r>
            <w:r>
              <w:rPr>
                <w:rFonts w:hint="eastAsia" w:ascii="宋体" w:hAnsi="宋体"/>
                <w:color w:val="auto"/>
                <w:szCs w:val="21"/>
                <w:highlight w:val="none"/>
              </w:rPr>
              <w:t>。</w:t>
            </w:r>
          </w:p>
        </w:tc>
      </w:tr>
      <w:tr w14:paraId="7516029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633" w:type="dxa"/>
            <w:vAlign w:val="center"/>
          </w:tcPr>
          <w:p w14:paraId="6263EB37">
            <w:pPr>
              <w:spacing w:line="276" w:lineRule="auto"/>
              <w:jc w:val="center"/>
              <w:rPr>
                <w:rStyle w:val="66"/>
                <w:rFonts w:ascii="宋体" w:hAnsi="宋体"/>
                <w:color w:val="auto"/>
                <w:szCs w:val="21"/>
                <w:highlight w:val="none"/>
              </w:rPr>
            </w:pPr>
            <w:r>
              <w:rPr>
                <w:rStyle w:val="66"/>
                <w:rFonts w:ascii="宋体" w:hAnsi="宋体"/>
                <w:color w:val="auto"/>
                <w:szCs w:val="21"/>
                <w:highlight w:val="none"/>
              </w:rPr>
              <w:t>22</w:t>
            </w:r>
          </w:p>
        </w:tc>
        <w:tc>
          <w:tcPr>
            <w:tcW w:w="944" w:type="dxa"/>
            <w:tcBorders>
              <w:left w:val="single" w:color="000000" w:sz="4" w:space="0"/>
            </w:tcBorders>
            <w:vAlign w:val="center"/>
          </w:tcPr>
          <w:p w14:paraId="226A8473">
            <w:pPr>
              <w:spacing w:line="276" w:lineRule="auto"/>
              <w:jc w:val="center"/>
              <w:rPr>
                <w:rStyle w:val="66"/>
                <w:rFonts w:ascii="宋体" w:hAnsi="宋体"/>
                <w:color w:val="auto"/>
                <w:szCs w:val="21"/>
                <w:highlight w:val="none"/>
              </w:rPr>
            </w:pPr>
          </w:p>
        </w:tc>
        <w:tc>
          <w:tcPr>
            <w:tcW w:w="1494" w:type="dxa"/>
            <w:tcBorders>
              <w:left w:val="single" w:color="000000" w:sz="4" w:space="0"/>
            </w:tcBorders>
            <w:vAlign w:val="center"/>
          </w:tcPr>
          <w:p w14:paraId="472984E6">
            <w:pPr>
              <w:spacing w:line="276" w:lineRule="auto"/>
              <w:jc w:val="center"/>
              <w:rPr>
                <w:rStyle w:val="66"/>
                <w:rFonts w:ascii="宋体" w:hAnsi="宋体"/>
                <w:color w:val="auto"/>
                <w:szCs w:val="21"/>
                <w:highlight w:val="none"/>
              </w:rPr>
            </w:pPr>
            <w:r>
              <w:rPr>
                <w:rStyle w:val="66"/>
                <w:rFonts w:ascii="宋体" w:hAnsi="宋体"/>
                <w:color w:val="auto"/>
                <w:szCs w:val="21"/>
                <w:highlight w:val="none"/>
              </w:rPr>
              <w:t>非竞争费用</w:t>
            </w:r>
          </w:p>
        </w:tc>
        <w:tc>
          <w:tcPr>
            <w:tcW w:w="5689" w:type="dxa"/>
            <w:tcBorders>
              <w:left w:val="single" w:color="000000" w:sz="4" w:space="0"/>
            </w:tcBorders>
            <w:vAlign w:val="center"/>
          </w:tcPr>
          <w:p w14:paraId="1CBC9D10">
            <w:pPr>
              <w:spacing w:line="276" w:lineRule="auto"/>
              <w:rPr>
                <w:rStyle w:val="66"/>
                <w:rFonts w:ascii="宋体" w:hAnsi="宋体"/>
                <w:color w:val="auto"/>
                <w:szCs w:val="21"/>
                <w:highlight w:val="none"/>
              </w:rPr>
            </w:pPr>
            <w:r>
              <w:rPr>
                <w:rFonts w:ascii="宋体" w:hAnsi="宋体"/>
                <w:color w:val="auto"/>
                <w:szCs w:val="21"/>
                <w:highlight w:val="none"/>
              </w:rPr>
              <w:t>本项目绿色施工安全防护措施费为</w:t>
            </w:r>
            <w:r>
              <w:rPr>
                <w:rFonts w:hint="eastAsia" w:ascii="宋体" w:hAnsi="宋体"/>
                <w:color w:val="auto"/>
                <w:szCs w:val="21"/>
                <w:highlight w:val="none"/>
                <w:lang w:val="en-US" w:eastAsia="zh-CN"/>
              </w:rPr>
              <w:t>342833.16</w:t>
            </w:r>
            <w:r>
              <w:rPr>
                <w:rFonts w:ascii="宋体" w:hAnsi="宋体"/>
                <w:color w:val="auto"/>
                <w:szCs w:val="21"/>
                <w:highlight w:val="none"/>
              </w:rPr>
              <w:t>元，暂列金额为</w:t>
            </w:r>
            <w:r>
              <w:rPr>
                <w:rFonts w:hint="eastAsia" w:ascii="宋体" w:hAnsi="宋体"/>
                <w:color w:val="auto"/>
                <w:szCs w:val="21"/>
                <w:highlight w:val="none"/>
                <w:lang w:val="en-US" w:eastAsia="zh-CN"/>
              </w:rPr>
              <w:t>807511.49</w:t>
            </w:r>
            <w:r>
              <w:rPr>
                <w:rFonts w:ascii="宋体" w:hAnsi="宋体"/>
                <w:color w:val="auto"/>
                <w:szCs w:val="21"/>
                <w:highlight w:val="none"/>
              </w:rPr>
              <w:t>元</w:t>
            </w:r>
            <w:r>
              <w:rPr>
                <w:rFonts w:hint="eastAsia" w:ascii="宋体" w:hAnsi="宋体"/>
                <w:color w:val="auto"/>
                <w:szCs w:val="21"/>
                <w:highlight w:val="none"/>
              </w:rPr>
              <w:t>，暂估价为</w:t>
            </w:r>
            <w:r>
              <w:rPr>
                <w:rFonts w:hint="eastAsia" w:ascii="宋体" w:hAnsi="宋体"/>
                <w:color w:val="auto"/>
                <w:szCs w:val="21"/>
                <w:highlight w:val="none"/>
                <w:u w:val="single"/>
              </w:rPr>
              <w:t>/</w:t>
            </w:r>
            <w:r>
              <w:rPr>
                <w:rFonts w:ascii="宋体" w:hAnsi="宋体"/>
                <w:color w:val="auto"/>
                <w:szCs w:val="21"/>
                <w:highlight w:val="none"/>
              </w:rPr>
              <w:t>元。（未按招标文件规定的金额填写的，由评标委员会按照招标文件规定的金额进行修正）</w:t>
            </w:r>
          </w:p>
        </w:tc>
      </w:tr>
      <w:tr w14:paraId="2AE093A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633" w:type="dxa"/>
            <w:vAlign w:val="center"/>
          </w:tcPr>
          <w:p w14:paraId="209F4176">
            <w:pPr>
              <w:spacing w:line="276" w:lineRule="auto"/>
              <w:jc w:val="center"/>
              <w:rPr>
                <w:rStyle w:val="66"/>
                <w:rFonts w:ascii="宋体" w:hAnsi="宋体"/>
                <w:color w:val="auto"/>
                <w:szCs w:val="21"/>
                <w:highlight w:val="none"/>
              </w:rPr>
            </w:pPr>
            <w:r>
              <w:rPr>
                <w:rStyle w:val="66"/>
                <w:rFonts w:ascii="宋体" w:hAnsi="宋体"/>
                <w:color w:val="auto"/>
                <w:szCs w:val="21"/>
                <w:highlight w:val="none"/>
              </w:rPr>
              <w:t>23</w:t>
            </w:r>
          </w:p>
        </w:tc>
        <w:tc>
          <w:tcPr>
            <w:tcW w:w="944" w:type="dxa"/>
            <w:tcBorders>
              <w:left w:val="single" w:color="000000" w:sz="4" w:space="0"/>
            </w:tcBorders>
            <w:vAlign w:val="center"/>
          </w:tcPr>
          <w:p w14:paraId="6BC24DD4">
            <w:pPr>
              <w:spacing w:line="276" w:lineRule="auto"/>
              <w:jc w:val="center"/>
              <w:rPr>
                <w:rStyle w:val="66"/>
                <w:rFonts w:ascii="宋体" w:hAnsi="宋体"/>
                <w:color w:val="auto"/>
                <w:szCs w:val="21"/>
                <w:highlight w:val="none"/>
              </w:rPr>
            </w:pPr>
          </w:p>
        </w:tc>
        <w:tc>
          <w:tcPr>
            <w:tcW w:w="1494" w:type="dxa"/>
            <w:tcBorders>
              <w:left w:val="single" w:color="000000" w:sz="4" w:space="0"/>
            </w:tcBorders>
            <w:vAlign w:val="center"/>
          </w:tcPr>
          <w:p w14:paraId="62042E44">
            <w:pPr>
              <w:pStyle w:val="97"/>
              <w:spacing w:after="0" w:line="276" w:lineRule="auto"/>
              <w:ind w:firstLine="0"/>
              <w:jc w:val="center"/>
              <w:rPr>
                <w:rStyle w:val="66"/>
                <w:rFonts w:ascii="宋体" w:hAnsi="宋体"/>
                <w:color w:val="auto"/>
                <w:kern w:val="2"/>
                <w:sz w:val="21"/>
                <w:szCs w:val="21"/>
                <w:highlight w:val="none"/>
              </w:rPr>
            </w:pPr>
            <w:r>
              <w:rPr>
                <w:rStyle w:val="66"/>
                <w:rFonts w:ascii="宋体" w:hAnsi="宋体"/>
                <w:color w:val="auto"/>
                <w:kern w:val="2"/>
                <w:sz w:val="21"/>
                <w:szCs w:val="21"/>
                <w:highlight w:val="none"/>
              </w:rPr>
              <w:t>保修期</w:t>
            </w:r>
          </w:p>
        </w:tc>
        <w:tc>
          <w:tcPr>
            <w:tcW w:w="5689" w:type="dxa"/>
            <w:tcBorders>
              <w:left w:val="single" w:color="000000" w:sz="4" w:space="0"/>
            </w:tcBorders>
            <w:vAlign w:val="center"/>
          </w:tcPr>
          <w:p w14:paraId="48C3719F">
            <w:pPr>
              <w:spacing w:line="276" w:lineRule="auto"/>
              <w:rPr>
                <w:rStyle w:val="66"/>
                <w:rFonts w:ascii="宋体" w:hAnsi="宋体"/>
                <w:color w:val="auto"/>
                <w:szCs w:val="21"/>
                <w:highlight w:val="none"/>
              </w:rPr>
            </w:pPr>
            <w:r>
              <w:rPr>
                <w:rStyle w:val="66"/>
                <w:rFonts w:ascii="宋体" w:hAnsi="宋体"/>
                <w:color w:val="auto"/>
                <w:szCs w:val="21"/>
                <w:highlight w:val="none"/>
              </w:rPr>
              <w:t>按照《建设工程质量管理条例》规定。</w:t>
            </w:r>
          </w:p>
        </w:tc>
      </w:tr>
      <w:tr w14:paraId="35FA940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633" w:type="dxa"/>
            <w:vAlign w:val="center"/>
          </w:tcPr>
          <w:p w14:paraId="7D2A17A3">
            <w:pPr>
              <w:spacing w:line="276" w:lineRule="auto"/>
              <w:jc w:val="center"/>
              <w:rPr>
                <w:rStyle w:val="66"/>
                <w:rFonts w:ascii="宋体" w:hAnsi="宋体"/>
                <w:color w:val="auto"/>
                <w:szCs w:val="21"/>
                <w:highlight w:val="none"/>
              </w:rPr>
            </w:pPr>
            <w:r>
              <w:rPr>
                <w:rStyle w:val="66"/>
                <w:rFonts w:ascii="宋体" w:hAnsi="宋体"/>
                <w:color w:val="auto"/>
                <w:szCs w:val="21"/>
                <w:highlight w:val="none"/>
              </w:rPr>
              <w:t>24</w:t>
            </w:r>
          </w:p>
        </w:tc>
        <w:tc>
          <w:tcPr>
            <w:tcW w:w="944" w:type="dxa"/>
            <w:tcBorders>
              <w:left w:val="single" w:color="000000" w:sz="4" w:space="0"/>
            </w:tcBorders>
            <w:vAlign w:val="center"/>
          </w:tcPr>
          <w:p w14:paraId="0CFB728F">
            <w:pPr>
              <w:spacing w:line="276" w:lineRule="auto"/>
              <w:jc w:val="center"/>
              <w:rPr>
                <w:rStyle w:val="66"/>
                <w:rFonts w:ascii="宋体" w:hAnsi="宋体"/>
                <w:color w:val="auto"/>
                <w:szCs w:val="21"/>
                <w:highlight w:val="none"/>
              </w:rPr>
            </w:pPr>
          </w:p>
        </w:tc>
        <w:tc>
          <w:tcPr>
            <w:tcW w:w="1494" w:type="dxa"/>
            <w:tcBorders>
              <w:left w:val="single" w:color="000000" w:sz="4" w:space="0"/>
            </w:tcBorders>
            <w:vAlign w:val="center"/>
          </w:tcPr>
          <w:p w14:paraId="4A9AA646">
            <w:pPr>
              <w:spacing w:line="276" w:lineRule="auto"/>
              <w:jc w:val="center"/>
              <w:rPr>
                <w:rStyle w:val="66"/>
                <w:rFonts w:ascii="宋体" w:hAnsi="宋体"/>
                <w:color w:val="auto"/>
                <w:szCs w:val="21"/>
                <w:highlight w:val="none"/>
              </w:rPr>
            </w:pPr>
            <w:r>
              <w:rPr>
                <w:rStyle w:val="66"/>
                <w:rFonts w:ascii="宋体" w:hAnsi="宋体"/>
                <w:color w:val="auto"/>
                <w:szCs w:val="21"/>
                <w:highlight w:val="none"/>
              </w:rPr>
              <w:t>计算评标参考价的等分点值</w:t>
            </w:r>
          </w:p>
        </w:tc>
        <w:tc>
          <w:tcPr>
            <w:tcW w:w="5689" w:type="dxa"/>
            <w:tcBorders>
              <w:left w:val="single" w:color="000000" w:sz="4" w:space="0"/>
            </w:tcBorders>
            <w:vAlign w:val="center"/>
          </w:tcPr>
          <w:p w14:paraId="7D44B86C">
            <w:pPr>
              <w:spacing w:line="276" w:lineRule="auto"/>
              <w:rPr>
                <w:rStyle w:val="66"/>
                <w:rFonts w:ascii="宋体" w:hAnsi="宋体"/>
                <w:color w:val="auto"/>
                <w:szCs w:val="21"/>
                <w:highlight w:val="none"/>
              </w:rPr>
            </w:pPr>
            <w:r>
              <w:rPr>
                <w:rStyle w:val="66"/>
                <w:rFonts w:hint="eastAsia"/>
                <w:color w:val="auto"/>
                <w:highlight w:val="none"/>
              </w:rPr>
              <w:t>本款不适用。</w:t>
            </w:r>
          </w:p>
        </w:tc>
      </w:tr>
      <w:tr w14:paraId="40D52B9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633" w:type="dxa"/>
            <w:vAlign w:val="center"/>
          </w:tcPr>
          <w:p w14:paraId="581CFD48">
            <w:pPr>
              <w:spacing w:line="276" w:lineRule="auto"/>
              <w:jc w:val="center"/>
              <w:rPr>
                <w:rStyle w:val="66"/>
                <w:rFonts w:ascii="宋体" w:hAnsi="宋体"/>
                <w:color w:val="auto"/>
                <w:szCs w:val="21"/>
                <w:highlight w:val="none"/>
              </w:rPr>
            </w:pPr>
            <w:r>
              <w:rPr>
                <w:rStyle w:val="66"/>
                <w:rFonts w:ascii="宋体" w:hAnsi="宋体"/>
                <w:color w:val="auto"/>
                <w:szCs w:val="21"/>
                <w:highlight w:val="none"/>
              </w:rPr>
              <w:t>25</w:t>
            </w:r>
          </w:p>
        </w:tc>
        <w:tc>
          <w:tcPr>
            <w:tcW w:w="944" w:type="dxa"/>
            <w:tcBorders>
              <w:left w:val="single" w:color="000000" w:sz="4" w:space="0"/>
            </w:tcBorders>
            <w:vAlign w:val="center"/>
          </w:tcPr>
          <w:p w14:paraId="496D6480">
            <w:pPr>
              <w:spacing w:line="276" w:lineRule="auto"/>
              <w:ind w:firstLine="458"/>
              <w:jc w:val="center"/>
              <w:rPr>
                <w:rStyle w:val="66"/>
                <w:rFonts w:ascii="宋体" w:hAnsi="宋体"/>
                <w:color w:val="auto"/>
                <w:szCs w:val="21"/>
                <w:highlight w:val="none"/>
              </w:rPr>
            </w:pPr>
          </w:p>
        </w:tc>
        <w:tc>
          <w:tcPr>
            <w:tcW w:w="1494" w:type="dxa"/>
            <w:tcBorders>
              <w:left w:val="single" w:color="000000" w:sz="4" w:space="0"/>
            </w:tcBorders>
            <w:vAlign w:val="center"/>
          </w:tcPr>
          <w:p w14:paraId="5691E8ED">
            <w:pPr>
              <w:spacing w:line="276" w:lineRule="auto"/>
              <w:jc w:val="center"/>
              <w:rPr>
                <w:rStyle w:val="66"/>
                <w:rFonts w:ascii="宋体" w:hAnsi="宋体"/>
                <w:color w:val="auto"/>
                <w:szCs w:val="21"/>
                <w:highlight w:val="none"/>
              </w:rPr>
            </w:pPr>
            <w:r>
              <w:rPr>
                <w:rStyle w:val="66"/>
                <w:rFonts w:ascii="宋体" w:hAnsi="宋体"/>
                <w:color w:val="auto"/>
                <w:szCs w:val="21"/>
                <w:highlight w:val="none"/>
              </w:rPr>
              <w:t>进入第二阶段评审的家数</w:t>
            </w:r>
          </w:p>
        </w:tc>
        <w:tc>
          <w:tcPr>
            <w:tcW w:w="5689" w:type="dxa"/>
            <w:tcBorders>
              <w:left w:val="single" w:color="000000" w:sz="4" w:space="0"/>
            </w:tcBorders>
            <w:vAlign w:val="center"/>
          </w:tcPr>
          <w:p w14:paraId="7898A7BC">
            <w:pPr>
              <w:spacing w:line="276" w:lineRule="auto"/>
              <w:rPr>
                <w:rStyle w:val="66"/>
                <w:rFonts w:ascii="宋体" w:hAnsi="宋体"/>
                <w:color w:val="auto"/>
                <w:szCs w:val="21"/>
                <w:highlight w:val="none"/>
              </w:rPr>
            </w:pPr>
            <w:r>
              <w:rPr>
                <w:rStyle w:val="66"/>
                <w:rFonts w:hint="eastAsia"/>
                <w:color w:val="auto"/>
                <w:highlight w:val="none"/>
              </w:rPr>
              <w:t>本款不适用。</w:t>
            </w:r>
          </w:p>
        </w:tc>
      </w:tr>
      <w:tr w14:paraId="183AE49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633" w:type="dxa"/>
            <w:vAlign w:val="center"/>
          </w:tcPr>
          <w:p w14:paraId="4667742E">
            <w:pPr>
              <w:spacing w:line="276" w:lineRule="auto"/>
              <w:jc w:val="center"/>
              <w:rPr>
                <w:rStyle w:val="66"/>
                <w:rFonts w:ascii="宋体" w:hAnsi="宋体"/>
                <w:color w:val="auto"/>
                <w:szCs w:val="21"/>
                <w:highlight w:val="none"/>
              </w:rPr>
            </w:pPr>
            <w:r>
              <w:rPr>
                <w:rStyle w:val="66"/>
                <w:rFonts w:ascii="宋体" w:hAnsi="宋体"/>
                <w:color w:val="auto"/>
                <w:szCs w:val="21"/>
                <w:highlight w:val="none"/>
              </w:rPr>
              <w:t>26</w:t>
            </w:r>
          </w:p>
        </w:tc>
        <w:tc>
          <w:tcPr>
            <w:tcW w:w="944" w:type="dxa"/>
            <w:tcBorders>
              <w:left w:val="single" w:color="000000" w:sz="4" w:space="0"/>
            </w:tcBorders>
            <w:vAlign w:val="center"/>
          </w:tcPr>
          <w:p w14:paraId="3EBF38A1">
            <w:pPr>
              <w:spacing w:line="276" w:lineRule="auto"/>
              <w:jc w:val="center"/>
              <w:rPr>
                <w:rStyle w:val="66"/>
                <w:rFonts w:ascii="宋体" w:hAnsi="宋体"/>
                <w:color w:val="auto"/>
                <w:szCs w:val="21"/>
                <w:highlight w:val="none"/>
              </w:rPr>
            </w:pPr>
          </w:p>
        </w:tc>
        <w:tc>
          <w:tcPr>
            <w:tcW w:w="1494" w:type="dxa"/>
            <w:tcBorders>
              <w:left w:val="single" w:color="000000" w:sz="4" w:space="0"/>
            </w:tcBorders>
            <w:vAlign w:val="center"/>
          </w:tcPr>
          <w:p w14:paraId="56642661">
            <w:pPr>
              <w:spacing w:line="276" w:lineRule="auto"/>
              <w:jc w:val="center"/>
              <w:rPr>
                <w:rStyle w:val="66"/>
                <w:rFonts w:ascii="宋体" w:hAnsi="宋体"/>
                <w:color w:val="auto"/>
                <w:szCs w:val="21"/>
                <w:highlight w:val="none"/>
              </w:rPr>
            </w:pPr>
            <w:r>
              <w:rPr>
                <w:rStyle w:val="66"/>
                <w:rFonts w:ascii="宋体" w:hAnsi="宋体"/>
                <w:color w:val="auto"/>
                <w:szCs w:val="21"/>
                <w:highlight w:val="none"/>
              </w:rPr>
              <w:t>工程成本警戒价</w:t>
            </w:r>
          </w:p>
        </w:tc>
        <w:tc>
          <w:tcPr>
            <w:tcW w:w="5689" w:type="dxa"/>
            <w:tcBorders>
              <w:left w:val="single" w:color="000000" w:sz="4" w:space="0"/>
            </w:tcBorders>
            <w:vAlign w:val="center"/>
          </w:tcPr>
          <w:p w14:paraId="630197FA">
            <w:pPr>
              <w:spacing w:line="276" w:lineRule="auto"/>
              <w:rPr>
                <w:rStyle w:val="66"/>
                <w:rFonts w:ascii="宋体" w:hAnsi="宋体"/>
                <w:color w:val="auto"/>
                <w:szCs w:val="21"/>
                <w:highlight w:val="none"/>
              </w:rPr>
            </w:pPr>
            <w:r>
              <w:rPr>
                <w:rStyle w:val="66"/>
                <w:rFonts w:ascii="宋体" w:hAnsi="宋体"/>
                <w:color w:val="auto"/>
                <w:szCs w:val="21"/>
                <w:highlight w:val="none"/>
              </w:rPr>
              <w:t>工程成本警戒价为</w:t>
            </w:r>
            <w:r>
              <w:rPr>
                <w:rStyle w:val="66"/>
                <w:rFonts w:ascii="宋体" w:hAnsi="宋体"/>
                <w:color w:val="auto"/>
                <w:szCs w:val="21"/>
                <w:highlight w:val="none"/>
                <w:u w:val="none"/>
                <w:lang w:val="en-US" w:eastAsia="zh-CN"/>
              </w:rPr>
              <w:t>16926958.83</w:t>
            </w:r>
            <w:r>
              <w:rPr>
                <w:rStyle w:val="66"/>
                <w:rFonts w:ascii="宋体" w:hAnsi="宋体"/>
                <w:color w:val="auto"/>
                <w:szCs w:val="21"/>
                <w:highlight w:val="none"/>
              </w:rPr>
              <w:t>元（招标控制价的</w:t>
            </w:r>
            <w:r>
              <w:rPr>
                <w:rStyle w:val="66"/>
                <w:rFonts w:hint="eastAsia" w:ascii="宋体" w:hAnsi="宋体"/>
                <w:color w:val="auto"/>
                <w:szCs w:val="21"/>
                <w:highlight w:val="none"/>
              </w:rPr>
              <w:t>90</w:t>
            </w:r>
            <w:r>
              <w:rPr>
                <w:rStyle w:val="66"/>
                <w:rFonts w:ascii="宋体" w:hAnsi="宋体"/>
                <w:color w:val="auto"/>
                <w:szCs w:val="21"/>
                <w:highlight w:val="none"/>
              </w:rPr>
              <w:t>%）。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14:paraId="7658B661">
            <w:pPr>
              <w:spacing w:line="276" w:lineRule="auto"/>
              <w:rPr>
                <w:rStyle w:val="66"/>
                <w:rFonts w:ascii="宋体" w:hAnsi="宋体"/>
                <w:color w:val="auto"/>
                <w:szCs w:val="21"/>
                <w:highlight w:val="none"/>
                <w:u w:val="single"/>
              </w:rPr>
            </w:pPr>
            <w:r>
              <w:rPr>
                <w:rStyle w:val="66"/>
                <w:rFonts w:ascii="宋体" w:hAnsi="宋体"/>
                <w:color w:val="auto"/>
                <w:szCs w:val="21"/>
                <w:highlight w:val="none"/>
              </w:rPr>
              <w:t>注：为充分体现招标人意愿及落实项目招标人负责制，警戒价由招标人决定。</w:t>
            </w:r>
          </w:p>
        </w:tc>
      </w:tr>
      <w:tr w14:paraId="2F49EDC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633" w:type="dxa"/>
            <w:vAlign w:val="center"/>
          </w:tcPr>
          <w:p w14:paraId="1928ACBE">
            <w:pPr>
              <w:spacing w:line="276" w:lineRule="auto"/>
              <w:jc w:val="center"/>
              <w:rPr>
                <w:rStyle w:val="66"/>
                <w:rFonts w:ascii="宋体" w:hAnsi="宋体"/>
                <w:color w:val="auto"/>
                <w:szCs w:val="21"/>
                <w:highlight w:val="none"/>
              </w:rPr>
            </w:pPr>
            <w:r>
              <w:rPr>
                <w:rStyle w:val="66"/>
                <w:rFonts w:ascii="宋体" w:hAnsi="宋体"/>
                <w:color w:val="auto"/>
                <w:szCs w:val="21"/>
                <w:highlight w:val="none"/>
              </w:rPr>
              <w:t>27</w:t>
            </w:r>
          </w:p>
        </w:tc>
        <w:tc>
          <w:tcPr>
            <w:tcW w:w="944" w:type="dxa"/>
            <w:tcBorders>
              <w:left w:val="single" w:color="000000" w:sz="4" w:space="0"/>
            </w:tcBorders>
            <w:vAlign w:val="center"/>
          </w:tcPr>
          <w:p w14:paraId="6ED3DF01">
            <w:pPr>
              <w:spacing w:line="276" w:lineRule="auto"/>
              <w:jc w:val="center"/>
              <w:rPr>
                <w:rStyle w:val="66"/>
                <w:rFonts w:ascii="宋体" w:hAnsi="宋体"/>
                <w:color w:val="auto"/>
                <w:szCs w:val="21"/>
                <w:highlight w:val="none"/>
              </w:rPr>
            </w:pPr>
          </w:p>
        </w:tc>
        <w:tc>
          <w:tcPr>
            <w:tcW w:w="1494" w:type="dxa"/>
            <w:tcBorders>
              <w:left w:val="single" w:color="000000" w:sz="4" w:space="0"/>
            </w:tcBorders>
            <w:vAlign w:val="center"/>
          </w:tcPr>
          <w:p w14:paraId="0D42C2A6">
            <w:pPr>
              <w:spacing w:line="276" w:lineRule="auto"/>
              <w:jc w:val="center"/>
              <w:rPr>
                <w:rStyle w:val="66"/>
                <w:rFonts w:ascii="宋体" w:hAnsi="宋体"/>
                <w:color w:val="auto"/>
                <w:szCs w:val="21"/>
                <w:highlight w:val="none"/>
              </w:rPr>
            </w:pPr>
            <w:r>
              <w:rPr>
                <w:rStyle w:val="66"/>
                <w:rFonts w:ascii="宋体" w:hAnsi="宋体"/>
                <w:color w:val="auto"/>
                <w:szCs w:val="21"/>
                <w:highlight w:val="none"/>
              </w:rPr>
              <w:t>第一阶段各分值的权重</w:t>
            </w:r>
          </w:p>
        </w:tc>
        <w:tc>
          <w:tcPr>
            <w:tcW w:w="5689" w:type="dxa"/>
            <w:tcBorders>
              <w:left w:val="single" w:color="000000" w:sz="4" w:space="0"/>
            </w:tcBorders>
            <w:vAlign w:val="center"/>
          </w:tcPr>
          <w:p w14:paraId="5B25F518">
            <w:pPr>
              <w:pStyle w:val="13"/>
              <w:ind w:left="0" w:leftChars="0"/>
              <w:rPr>
                <w:rFonts w:ascii="宋体" w:hAnsi="宋体" w:cs="宋体"/>
                <w:color w:val="auto"/>
                <w:highlight w:val="none"/>
              </w:rPr>
            </w:pPr>
            <w:r>
              <w:rPr>
                <w:rStyle w:val="66"/>
                <w:rFonts w:hint="eastAsia"/>
                <w:color w:val="auto"/>
                <w:highlight w:val="none"/>
              </w:rPr>
              <w:t>本款不适用。</w:t>
            </w:r>
          </w:p>
        </w:tc>
      </w:tr>
      <w:tr w14:paraId="3DDEE5E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633" w:type="dxa"/>
            <w:vAlign w:val="center"/>
          </w:tcPr>
          <w:p w14:paraId="646714B3">
            <w:pPr>
              <w:spacing w:line="276" w:lineRule="auto"/>
              <w:jc w:val="center"/>
              <w:rPr>
                <w:rStyle w:val="66"/>
                <w:rFonts w:ascii="宋体" w:hAnsi="宋体"/>
                <w:color w:val="auto"/>
                <w:szCs w:val="21"/>
                <w:highlight w:val="none"/>
              </w:rPr>
            </w:pPr>
            <w:r>
              <w:rPr>
                <w:rStyle w:val="66"/>
                <w:rFonts w:ascii="宋体" w:hAnsi="宋体"/>
                <w:color w:val="auto"/>
                <w:szCs w:val="21"/>
                <w:highlight w:val="none"/>
              </w:rPr>
              <w:t>28</w:t>
            </w:r>
          </w:p>
        </w:tc>
        <w:tc>
          <w:tcPr>
            <w:tcW w:w="944" w:type="dxa"/>
            <w:tcBorders>
              <w:left w:val="single" w:color="000000" w:sz="4" w:space="0"/>
            </w:tcBorders>
            <w:vAlign w:val="center"/>
          </w:tcPr>
          <w:p w14:paraId="194C2468">
            <w:pPr>
              <w:spacing w:line="276" w:lineRule="auto"/>
              <w:jc w:val="center"/>
              <w:rPr>
                <w:rStyle w:val="66"/>
                <w:rFonts w:ascii="宋体" w:hAnsi="宋体"/>
                <w:color w:val="auto"/>
                <w:szCs w:val="21"/>
                <w:highlight w:val="none"/>
              </w:rPr>
            </w:pPr>
          </w:p>
        </w:tc>
        <w:tc>
          <w:tcPr>
            <w:tcW w:w="1494" w:type="dxa"/>
            <w:tcBorders>
              <w:left w:val="single" w:color="000000" w:sz="4" w:space="0"/>
            </w:tcBorders>
            <w:vAlign w:val="center"/>
          </w:tcPr>
          <w:p w14:paraId="62381650">
            <w:pPr>
              <w:spacing w:line="276" w:lineRule="auto"/>
              <w:jc w:val="center"/>
              <w:rPr>
                <w:rStyle w:val="66"/>
                <w:rFonts w:ascii="宋体" w:hAnsi="宋体"/>
                <w:color w:val="auto"/>
                <w:szCs w:val="21"/>
                <w:highlight w:val="none"/>
              </w:rPr>
            </w:pPr>
            <w:r>
              <w:rPr>
                <w:rStyle w:val="66"/>
                <w:rFonts w:ascii="宋体" w:hAnsi="宋体"/>
                <w:color w:val="auto"/>
                <w:szCs w:val="21"/>
                <w:highlight w:val="none"/>
              </w:rPr>
              <w:t>评标委员会人数</w:t>
            </w:r>
          </w:p>
        </w:tc>
        <w:tc>
          <w:tcPr>
            <w:tcW w:w="5689" w:type="dxa"/>
            <w:tcBorders>
              <w:left w:val="single" w:color="000000" w:sz="4" w:space="0"/>
            </w:tcBorders>
            <w:vAlign w:val="center"/>
          </w:tcPr>
          <w:p w14:paraId="6D2B0FDD">
            <w:pPr>
              <w:spacing w:line="276" w:lineRule="auto"/>
              <w:rPr>
                <w:rStyle w:val="66"/>
                <w:rFonts w:ascii="宋体" w:hAnsi="宋体"/>
                <w:color w:val="auto"/>
                <w:szCs w:val="21"/>
                <w:highlight w:val="none"/>
              </w:rPr>
            </w:pPr>
            <w:r>
              <w:rPr>
                <w:rStyle w:val="66"/>
                <w:rFonts w:ascii="宋体" w:hAnsi="宋体"/>
                <w:color w:val="auto"/>
                <w:szCs w:val="21"/>
                <w:highlight w:val="none"/>
              </w:rPr>
              <w:t>评标委员会由招标人依法组建。</w:t>
            </w:r>
          </w:p>
        </w:tc>
      </w:tr>
      <w:tr w14:paraId="0CD29CA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633" w:type="dxa"/>
            <w:vAlign w:val="center"/>
          </w:tcPr>
          <w:p w14:paraId="71E0F470">
            <w:pPr>
              <w:spacing w:line="276" w:lineRule="auto"/>
              <w:jc w:val="center"/>
              <w:rPr>
                <w:rStyle w:val="66"/>
                <w:rFonts w:ascii="宋体" w:hAnsi="宋体"/>
                <w:color w:val="auto"/>
                <w:szCs w:val="21"/>
                <w:highlight w:val="none"/>
              </w:rPr>
            </w:pPr>
            <w:r>
              <w:rPr>
                <w:rStyle w:val="66"/>
                <w:rFonts w:ascii="宋体" w:hAnsi="宋体"/>
                <w:color w:val="auto"/>
                <w:szCs w:val="21"/>
                <w:highlight w:val="none"/>
              </w:rPr>
              <w:t>29</w:t>
            </w:r>
          </w:p>
        </w:tc>
        <w:tc>
          <w:tcPr>
            <w:tcW w:w="944" w:type="dxa"/>
            <w:tcBorders>
              <w:left w:val="single" w:color="000000" w:sz="4" w:space="0"/>
            </w:tcBorders>
            <w:vAlign w:val="center"/>
          </w:tcPr>
          <w:p w14:paraId="30876AE5">
            <w:pPr>
              <w:spacing w:line="276" w:lineRule="auto"/>
              <w:jc w:val="center"/>
              <w:rPr>
                <w:rStyle w:val="66"/>
                <w:rFonts w:ascii="宋体" w:hAnsi="宋体"/>
                <w:color w:val="auto"/>
                <w:szCs w:val="21"/>
                <w:highlight w:val="none"/>
              </w:rPr>
            </w:pPr>
          </w:p>
        </w:tc>
        <w:tc>
          <w:tcPr>
            <w:tcW w:w="1494" w:type="dxa"/>
            <w:tcBorders>
              <w:left w:val="single" w:color="000000" w:sz="4" w:space="0"/>
            </w:tcBorders>
            <w:vAlign w:val="center"/>
          </w:tcPr>
          <w:p w14:paraId="37F5D203">
            <w:pPr>
              <w:spacing w:line="276" w:lineRule="auto"/>
              <w:jc w:val="center"/>
              <w:rPr>
                <w:rStyle w:val="66"/>
                <w:rFonts w:ascii="宋体" w:hAnsi="宋体"/>
                <w:color w:val="auto"/>
                <w:szCs w:val="21"/>
                <w:highlight w:val="none"/>
              </w:rPr>
            </w:pPr>
            <w:r>
              <w:rPr>
                <w:rStyle w:val="66"/>
                <w:rFonts w:ascii="宋体" w:hAnsi="宋体"/>
                <w:color w:val="auto"/>
                <w:szCs w:val="21"/>
                <w:highlight w:val="none"/>
              </w:rPr>
              <w:t>企业综合诚信评价分数</w:t>
            </w:r>
          </w:p>
        </w:tc>
        <w:tc>
          <w:tcPr>
            <w:tcW w:w="5689" w:type="dxa"/>
            <w:tcBorders>
              <w:left w:val="single" w:color="000000" w:sz="4" w:space="0"/>
            </w:tcBorders>
            <w:vAlign w:val="center"/>
          </w:tcPr>
          <w:p w14:paraId="064B5834">
            <w:pPr>
              <w:spacing w:line="380" w:lineRule="exact"/>
              <w:rPr>
                <w:color w:val="auto"/>
                <w:highlight w:val="none"/>
              </w:rPr>
            </w:pPr>
            <w:r>
              <w:rPr>
                <w:rStyle w:val="66"/>
                <w:rFonts w:hint="eastAsia" w:ascii="Times New Roman" w:hAnsi="Times New Roman"/>
                <w:color w:val="auto"/>
                <w:highlight w:val="none"/>
              </w:rPr>
              <w:t>本项目不适用。</w:t>
            </w:r>
          </w:p>
        </w:tc>
      </w:tr>
      <w:tr w14:paraId="0E7BC38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633" w:type="dxa"/>
            <w:vAlign w:val="center"/>
          </w:tcPr>
          <w:p w14:paraId="72B55E15">
            <w:pPr>
              <w:spacing w:line="276" w:lineRule="auto"/>
              <w:jc w:val="center"/>
              <w:rPr>
                <w:rStyle w:val="66"/>
                <w:rFonts w:ascii="宋体" w:hAnsi="宋体"/>
                <w:color w:val="auto"/>
                <w:szCs w:val="21"/>
                <w:highlight w:val="none"/>
              </w:rPr>
            </w:pPr>
            <w:r>
              <w:rPr>
                <w:rStyle w:val="66"/>
                <w:rFonts w:ascii="宋体" w:hAnsi="宋体"/>
                <w:color w:val="auto"/>
                <w:szCs w:val="21"/>
                <w:highlight w:val="none"/>
              </w:rPr>
              <w:t>30</w:t>
            </w:r>
          </w:p>
        </w:tc>
        <w:tc>
          <w:tcPr>
            <w:tcW w:w="944" w:type="dxa"/>
            <w:tcBorders>
              <w:left w:val="single" w:color="000000" w:sz="4" w:space="0"/>
            </w:tcBorders>
            <w:vAlign w:val="center"/>
          </w:tcPr>
          <w:p w14:paraId="5FB5AAE9">
            <w:pPr>
              <w:spacing w:line="276" w:lineRule="auto"/>
              <w:ind w:firstLine="458"/>
              <w:jc w:val="center"/>
              <w:rPr>
                <w:rStyle w:val="66"/>
                <w:rFonts w:ascii="宋体" w:hAnsi="宋体"/>
                <w:strike/>
                <w:dstrike w:val="0"/>
                <w:color w:val="auto"/>
                <w:szCs w:val="21"/>
                <w:highlight w:val="none"/>
              </w:rPr>
            </w:pPr>
          </w:p>
        </w:tc>
        <w:tc>
          <w:tcPr>
            <w:tcW w:w="1494" w:type="dxa"/>
            <w:tcBorders>
              <w:left w:val="single" w:color="000000" w:sz="4" w:space="0"/>
            </w:tcBorders>
            <w:vAlign w:val="center"/>
          </w:tcPr>
          <w:p w14:paraId="722DFA97">
            <w:pPr>
              <w:spacing w:line="276" w:lineRule="auto"/>
              <w:jc w:val="center"/>
              <w:rPr>
                <w:rStyle w:val="66"/>
                <w:rFonts w:ascii="宋体" w:hAnsi="宋体"/>
                <w:color w:val="auto"/>
                <w:szCs w:val="21"/>
                <w:highlight w:val="none"/>
              </w:rPr>
            </w:pPr>
            <w:r>
              <w:rPr>
                <w:rStyle w:val="66"/>
                <w:rFonts w:ascii="宋体" w:hAnsi="宋体"/>
                <w:color w:val="auto"/>
                <w:szCs w:val="21"/>
                <w:highlight w:val="none"/>
              </w:rPr>
              <w:t>第二阶段投标人名次的排序方法（适用于办法一、办法二）</w:t>
            </w:r>
          </w:p>
        </w:tc>
        <w:tc>
          <w:tcPr>
            <w:tcW w:w="5689" w:type="dxa"/>
            <w:tcBorders>
              <w:left w:val="single" w:color="000000" w:sz="4" w:space="0"/>
            </w:tcBorders>
            <w:vAlign w:val="center"/>
          </w:tcPr>
          <w:p w14:paraId="07097D2D">
            <w:pPr>
              <w:spacing w:line="276" w:lineRule="auto"/>
              <w:rPr>
                <w:rStyle w:val="66"/>
                <w:rFonts w:ascii="宋体" w:hAnsi="宋体"/>
                <w:color w:val="auto"/>
                <w:szCs w:val="21"/>
                <w:highlight w:val="none"/>
              </w:rPr>
            </w:pPr>
            <w:r>
              <w:rPr>
                <w:rFonts w:hint="eastAsia" w:ascii="宋体" w:hAnsi="宋体"/>
                <w:color w:val="auto"/>
                <w:szCs w:val="21"/>
                <w:highlight w:val="none"/>
              </w:rPr>
              <w:t>本款不适用。</w:t>
            </w:r>
          </w:p>
        </w:tc>
      </w:tr>
      <w:tr w14:paraId="68B7728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633" w:type="dxa"/>
            <w:vAlign w:val="center"/>
          </w:tcPr>
          <w:p w14:paraId="6EC92BB9">
            <w:pPr>
              <w:spacing w:line="276" w:lineRule="auto"/>
              <w:jc w:val="center"/>
              <w:rPr>
                <w:rStyle w:val="66"/>
                <w:rFonts w:ascii="宋体" w:hAnsi="宋体"/>
                <w:color w:val="auto"/>
                <w:szCs w:val="21"/>
                <w:highlight w:val="none"/>
              </w:rPr>
            </w:pPr>
            <w:r>
              <w:rPr>
                <w:rStyle w:val="66"/>
                <w:rFonts w:ascii="宋体" w:hAnsi="宋体"/>
                <w:color w:val="auto"/>
                <w:szCs w:val="21"/>
                <w:highlight w:val="none"/>
              </w:rPr>
              <w:t>31</w:t>
            </w:r>
          </w:p>
        </w:tc>
        <w:tc>
          <w:tcPr>
            <w:tcW w:w="944" w:type="dxa"/>
            <w:tcBorders>
              <w:left w:val="single" w:color="000000" w:sz="4" w:space="0"/>
            </w:tcBorders>
            <w:vAlign w:val="center"/>
          </w:tcPr>
          <w:p w14:paraId="5A83C013">
            <w:pPr>
              <w:spacing w:line="276" w:lineRule="auto"/>
              <w:ind w:firstLine="458"/>
              <w:jc w:val="center"/>
              <w:rPr>
                <w:rStyle w:val="66"/>
                <w:rFonts w:ascii="宋体" w:hAnsi="宋体"/>
                <w:strike/>
                <w:dstrike w:val="0"/>
                <w:color w:val="auto"/>
                <w:szCs w:val="21"/>
                <w:highlight w:val="none"/>
              </w:rPr>
            </w:pPr>
          </w:p>
        </w:tc>
        <w:tc>
          <w:tcPr>
            <w:tcW w:w="1494" w:type="dxa"/>
            <w:tcBorders>
              <w:left w:val="single" w:color="000000" w:sz="4" w:space="0"/>
            </w:tcBorders>
            <w:vAlign w:val="center"/>
          </w:tcPr>
          <w:p w14:paraId="23C377BC">
            <w:pPr>
              <w:spacing w:line="276" w:lineRule="auto"/>
              <w:jc w:val="center"/>
              <w:rPr>
                <w:rStyle w:val="66"/>
                <w:rFonts w:ascii="宋体" w:hAnsi="宋体"/>
                <w:color w:val="auto"/>
                <w:szCs w:val="21"/>
                <w:highlight w:val="none"/>
              </w:rPr>
            </w:pPr>
            <w:r>
              <w:rPr>
                <w:rStyle w:val="66"/>
                <w:rFonts w:ascii="宋体" w:hAnsi="宋体"/>
                <w:color w:val="auto"/>
                <w:szCs w:val="21"/>
                <w:highlight w:val="none"/>
              </w:rPr>
              <w:t>经济分相同情况下的排序方法（适用于办法三、办法四）</w:t>
            </w:r>
          </w:p>
        </w:tc>
        <w:tc>
          <w:tcPr>
            <w:tcW w:w="5689" w:type="dxa"/>
            <w:tcBorders>
              <w:left w:val="single" w:color="000000" w:sz="4" w:space="0"/>
            </w:tcBorders>
            <w:vAlign w:val="center"/>
          </w:tcPr>
          <w:p w14:paraId="58CBEE4D">
            <w:pPr>
              <w:spacing w:line="276" w:lineRule="auto"/>
              <w:rPr>
                <w:rStyle w:val="66"/>
                <w:rFonts w:ascii="宋体" w:hAnsi="宋体"/>
                <w:color w:val="auto"/>
                <w:szCs w:val="21"/>
                <w:highlight w:val="none"/>
              </w:rPr>
            </w:pPr>
            <w:r>
              <w:rPr>
                <w:rFonts w:hint="eastAsia" w:ascii="宋体" w:hAnsi="宋体"/>
                <w:color w:val="auto"/>
                <w:szCs w:val="21"/>
                <w:highlight w:val="none"/>
              </w:rPr>
              <w:t>本款不适用。</w:t>
            </w:r>
          </w:p>
        </w:tc>
      </w:tr>
      <w:tr w14:paraId="4B74049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633" w:type="dxa"/>
            <w:vAlign w:val="center"/>
          </w:tcPr>
          <w:p w14:paraId="5E2C77C6">
            <w:pPr>
              <w:spacing w:line="276" w:lineRule="auto"/>
              <w:jc w:val="center"/>
              <w:rPr>
                <w:rStyle w:val="66"/>
                <w:rFonts w:ascii="宋体" w:hAnsi="宋体"/>
                <w:color w:val="auto"/>
                <w:szCs w:val="21"/>
                <w:highlight w:val="none"/>
              </w:rPr>
            </w:pPr>
            <w:r>
              <w:rPr>
                <w:rStyle w:val="66"/>
                <w:rFonts w:ascii="宋体" w:hAnsi="宋体"/>
                <w:color w:val="auto"/>
                <w:szCs w:val="21"/>
                <w:highlight w:val="none"/>
              </w:rPr>
              <w:t>32</w:t>
            </w:r>
          </w:p>
        </w:tc>
        <w:tc>
          <w:tcPr>
            <w:tcW w:w="944" w:type="dxa"/>
            <w:tcBorders>
              <w:left w:val="single" w:color="000000" w:sz="4" w:space="0"/>
            </w:tcBorders>
            <w:vAlign w:val="center"/>
          </w:tcPr>
          <w:p w14:paraId="6B9DABAF">
            <w:pPr>
              <w:spacing w:line="276" w:lineRule="auto"/>
              <w:ind w:firstLine="458"/>
              <w:jc w:val="center"/>
              <w:rPr>
                <w:rStyle w:val="66"/>
                <w:rFonts w:ascii="宋体" w:hAnsi="宋体"/>
                <w:color w:val="auto"/>
                <w:szCs w:val="21"/>
                <w:highlight w:val="none"/>
              </w:rPr>
            </w:pPr>
          </w:p>
        </w:tc>
        <w:tc>
          <w:tcPr>
            <w:tcW w:w="1494" w:type="dxa"/>
            <w:tcBorders>
              <w:left w:val="single" w:color="000000" w:sz="4" w:space="0"/>
            </w:tcBorders>
            <w:vAlign w:val="center"/>
          </w:tcPr>
          <w:p w14:paraId="7A12A38A">
            <w:pPr>
              <w:spacing w:line="276" w:lineRule="auto"/>
              <w:jc w:val="center"/>
              <w:rPr>
                <w:rStyle w:val="66"/>
                <w:rFonts w:ascii="宋体" w:hAnsi="宋体"/>
                <w:color w:val="auto"/>
                <w:szCs w:val="21"/>
                <w:highlight w:val="none"/>
              </w:rPr>
            </w:pPr>
            <w:r>
              <w:rPr>
                <w:rStyle w:val="66"/>
                <w:rFonts w:ascii="宋体" w:hAnsi="宋体"/>
                <w:color w:val="auto"/>
                <w:szCs w:val="21"/>
                <w:highlight w:val="none"/>
              </w:rPr>
              <w:t>第二阶段投标人名次的排序方法（适用于办法五、办法六）</w:t>
            </w:r>
          </w:p>
        </w:tc>
        <w:tc>
          <w:tcPr>
            <w:tcW w:w="5689" w:type="dxa"/>
            <w:tcBorders>
              <w:left w:val="single" w:color="000000" w:sz="4" w:space="0"/>
            </w:tcBorders>
            <w:vAlign w:val="center"/>
          </w:tcPr>
          <w:p w14:paraId="29D346FF">
            <w:pPr>
              <w:spacing w:line="276" w:lineRule="auto"/>
              <w:rPr>
                <w:rStyle w:val="66"/>
                <w:rFonts w:ascii="宋体" w:hAnsi="宋体"/>
                <w:color w:val="auto"/>
                <w:szCs w:val="21"/>
                <w:highlight w:val="none"/>
              </w:rPr>
            </w:pPr>
            <w:r>
              <w:rPr>
                <w:rStyle w:val="66"/>
                <w:rFonts w:hint="eastAsia"/>
                <w:color w:val="auto"/>
                <w:highlight w:val="none"/>
              </w:rPr>
              <w:t>本款不适用。</w:t>
            </w:r>
          </w:p>
        </w:tc>
      </w:tr>
      <w:tr w14:paraId="31338F9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633" w:type="dxa"/>
            <w:vAlign w:val="center"/>
          </w:tcPr>
          <w:p w14:paraId="6D2EF149">
            <w:pPr>
              <w:spacing w:line="276" w:lineRule="auto"/>
              <w:jc w:val="center"/>
              <w:rPr>
                <w:rStyle w:val="66"/>
                <w:rFonts w:ascii="宋体" w:hAnsi="宋体"/>
                <w:color w:val="auto"/>
                <w:szCs w:val="21"/>
                <w:highlight w:val="none"/>
              </w:rPr>
            </w:pPr>
            <w:r>
              <w:rPr>
                <w:rStyle w:val="66"/>
                <w:rFonts w:ascii="宋体" w:hAnsi="宋体"/>
                <w:color w:val="auto"/>
                <w:szCs w:val="21"/>
                <w:highlight w:val="none"/>
              </w:rPr>
              <w:t>33</w:t>
            </w:r>
          </w:p>
        </w:tc>
        <w:tc>
          <w:tcPr>
            <w:tcW w:w="944" w:type="dxa"/>
            <w:tcBorders>
              <w:left w:val="single" w:color="000000" w:sz="4" w:space="0"/>
            </w:tcBorders>
            <w:vAlign w:val="center"/>
          </w:tcPr>
          <w:p w14:paraId="5C132E7F">
            <w:pPr>
              <w:spacing w:line="276" w:lineRule="auto"/>
              <w:jc w:val="center"/>
              <w:rPr>
                <w:rStyle w:val="66"/>
                <w:rFonts w:ascii="宋体" w:hAnsi="宋体"/>
                <w:color w:val="auto"/>
                <w:szCs w:val="21"/>
                <w:highlight w:val="none"/>
              </w:rPr>
            </w:pPr>
            <w:r>
              <w:rPr>
                <w:rStyle w:val="66"/>
                <w:rFonts w:ascii="宋体" w:hAnsi="宋体"/>
                <w:color w:val="auto"/>
                <w:szCs w:val="21"/>
                <w:highlight w:val="none"/>
              </w:rPr>
              <w:t>13.4、13.5.2</w:t>
            </w:r>
          </w:p>
        </w:tc>
        <w:tc>
          <w:tcPr>
            <w:tcW w:w="1494" w:type="dxa"/>
            <w:tcBorders>
              <w:left w:val="single" w:color="000000" w:sz="4" w:space="0"/>
            </w:tcBorders>
            <w:vAlign w:val="center"/>
          </w:tcPr>
          <w:p w14:paraId="1F6535BA">
            <w:pPr>
              <w:spacing w:line="276" w:lineRule="auto"/>
              <w:jc w:val="center"/>
              <w:rPr>
                <w:rStyle w:val="66"/>
                <w:rFonts w:ascii="宋体" w:hAnsi="宋体"/>
                <w:color w:val="auto"/>
                <w:szCs w:val="21"/>
                <w:highlight w:val="none"/>
              </w:rPr>
            </w:pPr>
            <w:r>
              <w:rPr>
                <w:rStyle w:val="66"/>
                <w:rFonts w:ascii="宋体" w:hAnsi="宋体"/>
                <w:color w:val="auto"/>
                <w:szCs w:val="21"/>
                <w:highlight w:val="none"/>
              </w:rPr>
              <w:t>合同价款的调整办法</w:t>
            </w:r>
          </w:p>
        </w:tc>
        <w:tc>
          <w:tcPr>
            <w:tcW w:w="5689" w:type="dxa"/>
            <w:tcBorders>
              <w:left w:val="single" w:color="000000" w:sz="4" w:space="0"/>
            </w:tcBorders>
            <w:vAlign w:val="center"/>
          </w:tcPr>
          <w:p w14:paraId="008B0145">
            <w:pPr>
              <w:spacing w:line="276" w:lineRule="auto"/>
              <w:rPr>
                <w:rStyle w:val="66"/>
                <w:rFonts w:ascii="宋体" w:hAnsi="宋体"/>
                <w:color w:val="auto"/>
                <w:szCs w:val="21"/>
                <w:highlight w:val="none"/>
                <w:u w:val="single"/>
              </w:rPr>
            </w:pPr>
            <w:r>
              <w:rPr>
                <w:color w:val="auto"/>
                <w:highlight w:val="none"/>
              </w:rPr>
              <w:t>按合同条款相关约定调整。</w:t>
            </w:r>
          </w:p>
        </w:tc>
      </w:tr>
      <w:tr w14:paraId="2E58508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633" w:type="dxa"/>
            <w:vAlign w:val="center"/>
          </w:tcPr>
          <w:p w14:paraId="75CB798B">
            <w:pPr>
              <w:spacing w:line="276" w:lineRule="auto"/>
              <w:jc w:val="center"/>
              <w:rPr>
                <w:rStyle w:val="66"/>
                <w:rFonts w:ascii="宋体" w:hAnsi="宋体"/>
                <w:color w:val="auto"/>
                <w:szCs w:val="21"/>
                <w:highlight w:val="none"/>
              </w:rPr>
            </w:pPr>
            <w:r>
              <w:rPr>
                <w:rStyle w:val="66"/>
                <w:rFonts w:ascii="宋体" w:hAnsi="宋体"/>
                <w:color w:val="auto"/>
                <w:szCs w:val="21"/>
                <w:highlight w:val="none"/>
              </w:rPr>
              <w:t>34</w:t>
            </w:r>
          </w:p>
        </w:tc>
        <w:tc>
          <w:tcPr>
            <w:tcW w:w="944" w:type="dxa"/>
            <w:tcBorders>
              <w:left w:val="single" w:color="000000" w:sz="4" w:space="0"/>
            </w:tcBorders>
            <w:vAlign w:val="center"/>
          </w:tcPr>
          <w:p w14:paraId="179D1D48">
            <w:pPr>
              <w:spacing w:line="276" w:lineRule="auto"/>
              <w:jc w:val="center"/>
              <w:rPr>
                <w:rStyle w:val="66"/>
                <w:rFonts w:ascii="宋体" w:hAnsi="宋体"/>
                <w:color w:val="auto"/>
                <w:szCs w:val="21"/>
                <w:highlight w:val="none"/>
              </w:rPr>
            </w:pPr>
          </w:p>
        </w:tc>
        <w:tc>
          <w:tcPr>
            <w:tcW w:w="1494" w:type="dxa"/>
            <w:tcBorders>
              <w:left w:val="single" w:color="000000" w:sz="4" w:space="0"/>
            </w:tcBorders>
            <w:vAlign w:val="center"/>
          </w:tcPr>
          <w:p w14:paraId="4874F154">
            <w:pPr>
              <w:spacing w:line="276" w:lineRule="auto"/>
              <w:jc w:val="center"/>
              <w:rPr>
                <w:rStyle w:val="66"/>
                <w:rFonts w:ascii="宋体" w:hAnsi="宋体"/>
                <w:color w:val="auto"/>
                <w:szCs w:val="21"/>
                <w:highlight w:val="none"/>
              </w:rPr>
            </w:pPr>
            <w:r>
              <w:rPr>
                <w:rFonts w:hint="eastAsia" w:ascii="宋体" w:eastAsia="宋体" w:cs="宋体"/>
                <w:color w:val="auto"/>
                <w:kern w:val="0"/>
                <w:szCs w:val="21"/>
                <w:highlight w:val="none"/>
                <w:lang w:val="zh-CN" w:eastAsia="zh-CN" w:bidi="ar-SA"/>
              </w:rPr>
              <w:t>建设工程质量检测单位</w:t>
            </w:r>
          </w:p>
        </w:tc>
        <w:tc>
          <w:tcPr>
            <w:tcW w:w="5689" w:type="dxa"/>
            <w:tcBorders>
              <w:left w:val="single" w:color="000000" w:sz="4" w:space="0"/>
            </w:tcBorders>
            <w:vAlign w:val="center"/>
          </w:tcPr>
          <w:p w14:paraId="7B7FB392">
            <w:pPr>
              <w:spacing w:line="276" w:lineRule="auto"/>
              <w:rPr>
                <w:rStyle w:val="66"/>
                <w:rFonts w:ascii="宋体" w:hAnsi="宋体"/>
                <w:color w:val="auto"/>
                <w:kern w:val="0"/>
                <w:szCs w:val="21"/>
                <w:highlight w:val="none"/>
                <w:lang w:val="zh-CN"/>
              </w:rPr>
            </w:pPr>
            <w:r>
              <w:rPr>
                <w:rStyle w:val="66"/>
                <w:rFonts w:ascii="宋体" w:hAnsi="宋体"/>
                <w:color w:val="auto"/>
                <w:kern w:val="0"/>
                <w:szCs w:val="21"/>
                <w:highlight w:val="none"/>
                <w:lang w:val="zh-CN"/>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14:paraId="4102BAE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633" w:type="dxa"/>
            <w:vAlign w:val="center"/>
          </w:tcPr>
          <w:p w14:paraId="094C149C">
            <w:pPr>
              <w:spacing w:line="276" w:lineRule="auto"/>
              <w:jc w:val="center"/>
              <w:rPr>
                <w:rStyle w:val="66"/>
                <w:rFonts w:ascii="宋体" w:hAnsi="宋体"/>
                <w:color w:val="auto"/>
                <w:szCs w:val="21"/>
                <w:highlight w:val="none"/>
              </w:rPr>
            </w:pPr>
            <w:r>
              <w:rPr>
                <w:rStyle w:val="66"/>
                <w:rFonts w:ascii="宋体" w:hAnsi="宋体"/>
                <w:color w:val="auto"/>
                <w:szCs w:val="21"/>
                <w:highlight w:val="none"/>
              </w:rPr>
              <w:t>35</w:t>
            </w:r>
          </w:p>
        </w:tc>
        <w:tc>
          <w:tcPr>
            <w:tcW w:w="944" w:type="dxa"/>
            <w:tcBorders>
              <w:left w:val="single" w:color="000000" w:sz="4" w:space="0"/>
            </w:tcBorders>
            <w:vAlign w:val="center"/>
          </w:tcPr>
          <w:p w14:paraId="2F6D8C72">
            <w:pPr>
              <w:spacing w:line="276" w:lineRule="auto"/>
              <w:jc w:val="center"/>
              <w:rPr>
                <w:rStyle w:val="66"/>
                <w:rFonts w:ascii="宋体" w:hAnsi="宋体"/>
                <w:color w:val="auto"/>
                <w:szCs w:val="21"/>
                <w:highlight w:val="none"/>
              </w:rPr>
            </w:pPr>
          </w:p>
        </w:tc>
        <w:tc>
          <w:tcPr>
            <w:tcW w:w="1494" w:type="dxa"/>
            <w:tcBorders>
              <w:left w:val="single" w:color="000000" w:sz="4" w:space="0"/>
            </w:tcBorders>
            <w:vAlign w:val="center"/>
          </w:tcPr>
          <w:p w14:paraId="56767899">
            <w:pPr>
              <w:spacing w:line="276" w:lineRule="auto"/>
              <w:jc w:val="center"/>
              <w:rPr>
                <w:rStyle w:val="66"/>
                <w:rFonts w:ascii="宋体" w:hAnsi="宋体"/>
                <w:color w:val="auto"/>
                <w:kern w:val="0"/>
                <w:szCs w:val="21"/>
                <w:highlight w:val="none"/>
                <w:lang w:val="zh-CN"/>
              </w:rPr>
            </w:pPr>
            <w:r>
              <w:rPr>
                <w:rStyle w:val="66"/>
                <w:rFonts w:ascii="宋体" w:hAnsi="宋体"/>
                <w:color w:val="auto"/>
                <w:kern w:val="0"/>
                <w:szCs w:val="21"/>
                <w:highlight w:val="none"/>
                <w:lang w:val="zh-CN"/>
              </w:rPr>
              <w:t>分包</w:t>
            </w:r>
          </w:p>
        </w:tc>
        <w:tc>
          <w:tcPr>
            <w:tcW w:w="5689" w:type="dxa"/>
            <w:tcBorders>
              <w:left w:val="single" w:color="000000" w:sz="4" w:space="0"/>
            </w:tcBorders>
            <w:vAlign w:val="center"/>
          </w:tcPr>
          <w:p w14:paraId="71CFA424">
            <w:pPr>
              <w:spacing w:line="276" w:lineRule="auto"/>
              <w:rPr>
                <w:rStyle w:val="66"/>
                <w:rFonts w:ascii="宋体" w:hAnsi="宋体"/>
                <w:color w:val="auto"/>
                <w:kern w:val="0"/>
                <w:szCs w:val="21"/>
                <w:highlight w:val="none"/>
                <w:lang w:val="zh-CN"/>
              </w:rPr>
            </w:pPr>
            <w:r>
              <w:rPr>
                <w:rFonts w:hint="eastAsia" w:ascii="宋体" w:hAnsi="宋体" w:cs="宋体"/>
                <w:color w:val="auto"/>
                <w:sz w:val="24"/>
                <w:szCs w:val="24"/>
                <w:highlight w:val="none"/>
              </w:rPr>
              <w:t>☑</w:t>
            </w:r>
            <w:r>
              <w:rPr>
                <w:rStyle w:val="66"/>
                <w:rFonts w:ascii="宋体" w:hAnsi="宋体"/>
                <w:color w:val="auto"/>
                <w:kern w:val="0"/>
                <w:szCs w:val="21"/>
                <w:highlight w:val="none"/>
                <w:lang w:val="zh-CN"/>
              </w:rPr>
              <w:t>不允许；</w:t>
            </w:r>
          </w:p>
          <w:p w14:paraId="3D1685B8">
            <w:pPr>
              <w:spacing w:line="276" w:lineRule="auto"/>
              <w:rPr>
                <w:rStyle w:val="66"/>
                <w:rFonts w:ascii="宋体" w:hAnsi="宋体"/>
                <w:color w:val="auto"/>
                <w:kern w:val="0"/>
                <w:szCs w:val="21"/>
                <w:highlight w:val="none"/>
                <w:lang w:val="zh-CN"/>
              </w:rPr>
            </w:pPr>
            <w:r>
              <w:rPr>
                <w:rFonts w:hint="eastAsia" w:ascii="宋体" w:hAnsi="宋体" w:cs="宋体"/>
                <w:color w:val="auto"/>
                <w:sz w:val="24"/>
                <w:szCs w:val="24"/>
                <w:highlight w:val="none"/>
              </w:rPr>
              <w:t>□</w:t>
            </w:r>
            <w:r>
              <w:rPr>
                <w:rStyle w:val="66"/>
                <w:rFonts w:ascii="宋体" w:hAnsi="宋体"/>
                <w:color w:val="auto"/>
                <w:kern w:val="0"/>
                <w:szCs w:val="21"/>
                <w:highlight w:val="none"/>
                <w:lang w:val="zh-CN"/>
              </w:rPr>
              <w:t>允许：分包内容要要求：</w:t>
            </w:r>
            <w:r>
              <w:rPr>
                <w:rFonts w:hint="eastAsia" w:ascii="宋体" w:hAnsi="宋体" w:cs="宋体"/>
                <w:color w:val="auto"/>
                <w:kern w:val="0"/>
                <w:szCs w:val="21"/>
                <w:highlight w:val="none"/>
                <w:u w:val="single"/>
              </w:rPr>
              <w:t>/。</w:t>
            </w:r>
          </w:p>
        </w:tc>
      </w:tr>
      <w:tr w14:paraId="6368E59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633" w:type="dxa"/>
            <w:vAlign w:val="center"/>
          </w:tcPr>
          <w:p w14:paraId="58420787">
            <w:pPr>
              <w:spacing w:line="276" w:lineRule="auto"/>
              <w:jc w:val="center"/>
              <w:rPr>
                <w:rStyle w:val="66"/>
                <w:rFonts w:ascii="宋体" w:hAnsi="宋体"/>
                <w:color w:val="auto"/>
                <w:szCs w:val="21"/>
                <w:highlight w:val="none"/>
              </w:rPr>
            </w:pPr>
            <w:r>
              <w:rPr>
                <w:rStyle w:val="66"/>
                <w:rFonts w:ascii="宋体" w:hAnsi="宋体"/>
                <w:color w:val="auto"/>
                <w:szCs w:val="21"/>
                <w:highlight w:val="none"/>
              </w:rPr>
              <w:t>36</w:t>
            </w:r>
          </w:p>
        </w:tc>
        <w:tc>
          <w:tcPr>
            <w:tcW w:w="944" w:type="dxa"/>
            <w:tcBorders>
              <w:left w:val="single" w:color="000000" w:sz="4" w:space="0"/>
            </w:tcBorders>
            <w:vAlign w:val="center"/>
          </w:tcPr>
          <w:p w14:paraId="7CA8310A">
            <w:pPr>
              <w:spacing w:line="276" w:lineRule="auto"/>
              <w:jc w:val="center"/>
              <w:rPr>
                <w:rStyle w:val="66"/>
                <w:rFonts w:ascii="宋体" w:hAnsi="宋体"/>
                <w:color w:val="auto"/>
                <w:szCs w:val="21"/>
                <w:highlight w:val="none"/>
              </w:rPr>
            </w:pPr>
          </w:p>
        </w:tc>
        <w:tc>
          <w:tcPr>
            <w:tcW w:w="1494" w:type="dxa"/>
            <w:tcBorders>
              <w:left w:val="single" w:color="000000" w:sz="4" w:space="0"/>
            </w:tcBorders>
            <w:vAlign w:val="center"/>
          </w:tcPr>
          <w:p w14:paraId="6555F6ED">
            <w:pPr>
              <w:spacing w:line="276" w:lineRule="auto"/>
              <w:jc w:val="center"/>
              <w:rPr>
                <w:rStyle w:val="66"/>
                <w:rFonts w:ascii="宋体" w:hAnsi="宋体"/>
                <w:color w:val="auto"/>
                <w:kern w:val="0"/>
                <w:szCs w:val="21"/>
                <w:highlight w:val="none"/>
                <w:lang w:val="zh-CN"/>
              </w:rPr>
            </w:pPr>
            <w:r>
              <w:rPr>
                <w:rStyle w:val="66"/>
                <w:rFonts w:ascii="宋体" w:hAnsi="宋体"/>
                <w:color w:val="auto"/>
                <w:szCs w:val="21"/>
                <w:highlight w:val="none"/>
              </w:rPr>
              <w:t>电子招标投标解密失败及突发情况的补救</w:t>
            </w:r>
          </w:p>
        </w:tc>
        <w:tc>
          <w:tcPr>
            <w:tcW w:w="5689" w:type="dxa"/>
            <w:tcBorders>
              <w:left w:val="single" w:color="000000" w:sz="4" w:space="0"/>
            </w:tcBorders>
            <w:vAlign w:val="center"/>
          </w:tcPr>
          <w:p w14:paraId="6AE62437">
            <w:pPr>
              <w:spacing w:line="276" w:lineRule="auto"/>
              <w:rPr>
                <w:rStyle w:val="66"/>
                <w:rFonts w:ascii="宋体" w:hAnsi="宋体"/>
                <w:color w:val="auto"/>
                <w:szCs w:val="21"/>
                <w:highlight w:val="none"/>
              </w:rPr>
            </w:pPr>
            <w:r>
              <w:rPr>
                <w:rStyle w:val="66"/>
                <w:rFonts w:hint="eastAsia" w:ascii="宋体" w:hAnsi="宋体"/>
                <w:color w:val="auto"/>
                <w:szCs w:val="21"/>
                <w:highlight w:val="none"/>
              </w:rPr>
              <w:t>1</w:t>
            </w:r>
            <w:r>
              <w:rPr>
                <w:rStyle w:val="66"/>
                <w:rFonts w:ascii="宋体" w:hAnsi="宋体"/>
                <w:color w:val="auto"/>
                <w:szCs w:val="21"/>
                <w:highlight w:val="none"/>
              </w:rPr>
              <w:t>.按照交易平台关于全流程电子化项目的相关指南进行操作。详见：</w:t>
            </w:r>
            <w:r>
              <w:rPr>
                <w:rStyle w:val="66"/>
                <w:rFonts w:hint="eastAsia" w:ascii="宋体" w:hAnsi="宋体"/>
                <w:color w:val="auto"/>
                <w:szCs w:val="21"/>
                <w:highlight w:val="none"/>
                <w:u w:val="single"/>
              </w:rPr>
              <w:t>广州公共资源交易中心网站最新指引</w:t>
            </w:r>
            <w:r>
              <w:rPr>
                <w:rStyle w:val="66"/>
                <w:rFonts w:ascii="宋体" w:hAnsi="宋体"/>
                <w:color w:val="auto"/>
                <w:szCs w:val="21"/>
                <w:highlight w:val="none"/>
              </w:rPr>
              <w:t>。</w:t>
            </w:r>
          </w:p>
          <w:p w14:paraId="714D192B">
            <w:pPr>
              <w:spacing w:line="276" w:lineRule="auto"/>
              <w:rPr>
                <w:rStyle w:val="66"/>
                <w:rFonts w:ascii="宋体" w:hAnsi="宋体"/>
                <w:color w:val="auto"/>
                <w:szCs w:val="21"/>
                <w:highlight w:val="none"/>
              </w:rPr>
            </w:pPr>
            <w:r>
              <w:rPr>
                <w:rStyle w:val="66"/>
                <w:rFonts w:hint="eastAsia" w:ascii="宋体" w:hAnsi="宋体"/>
                <w:color w:val="auto"/>
                <w:szCs w:val="21"/>
                <w:highlight w:val="none"/>
              </w:rPr>
              <w:t>2</w:t>
            </w:r>
            <w:r>
              <w:rPr>
                <w:rStyle w:val="66"/>
                <w:rFonts w:ascii="宋体" w:hAnsi="宋体"/>
                <w:color w:val="auto"/>
                <w:szCs w:val="21"/>
                <w:highlight w:val="none"/>
              </w:rPr>
              <w:t>.提交投标文件光盘备用</w:t>
            </w:r>
          </w:p>
          <w:p w14:paraId="635FC418">
            <w:pPr>
              <w:spacing w:line="276" w:lineRule="auto"/>
              <w:rPr>
                <w:rStyle w:val="66"/>
                <w:rFonts w:ascii="宋体" w:hAnsi="宋体"/>
                <w:color w:val="auto"/>
                <w:szCs w:val="21"/>
                <w:highlight w:val="none"/>
              </w:rPr>
            </w:pPr>
            <w:r>
              <w:rPr>
                <w:rStyle w:val="66"/>
                <w:rFonts w:ascii="宋体" w:hAnsi="宋体"/>
                <w:color w:val="auto"/>
                <w:szCs w:val="21"/>
                <w:highlight w:val="none"/>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r>
              <w:rPr>
                <w:rStyle w:val="66"/>
                <w:rFonts w:hint="eastAsia" w:ascii="宋体" w:hAnsi="宋体"/>
                <w:color w:val="auto"/>
                <w:szCs w:val="21"/>
                <w:highlight w:val="none"/>
              </w:rPr>
              <w:t>。</w:t>
            </w:r>
          </w:p>
          <w:p w14:paraId="724BB08C">
            <w:pPr>
              <w:spacing w:line="276" w:lineRule="auto"/>
              <w:rPr>
                <w:rStyle w:val="66"/>
                <w:rFonts w:ascii="宋体" w:hAnsi="宋体"/>
                <w:color w:val="auto"/>
                <w:szCs w:val="21"/>
                <w:highlight w:val="none"/>
              </w:rPr>
            </w:pPr>
            <w:r>
              <w:rPr>
                <w:rStyle w:val="66"/>
                <w:rFonts w:hint="eastAsia" w:ascii="宋体" w:hAnsi="宋体"/>
                <w:color w:val="auto"/>
                <w:szCs w:val="21"/>
                <w:highlight w:val="none"/>
              </w:rPr>
              <w:t>3</w:t>
            </w:r>
            <w:r>
              <w:rPr>
                <w:rStyle w:val="66"/>
                <w:rFonts w:ascii="宋体" w:hAnsi="宋体"/>
                <w:color w:val="auto"/>
                <w:szCs w:val="21"/>
                <w:highlight w:val="none"/>
              </w:rPr>
              <w:t>.补救方案</w:t>
            </w:r>
          </w:p>
          <w:p w14:paraId="524DF3BD">
            <w:pPr>
              <w:spacing w:line="276" w:lineRule="auto"/>
              <w:rPr>
                <w:rStyle w:val="66"/>
                <w:rFonts w:ascii="宋体" w:hAnsi="宋体"/>
                <w:color w:val="auto"/>
                <w:szCs w:val="21"/>
                <w:highlight w:val="none"/>
              </w:rPr>
            </w:pPr>
            <w:r>
              <w:rPr>
                <w:rStyle w:val="66"/>
                <w:rFonts w:ascii="宋体" w:hAnsi="宋体"/>
                <w:color w:val="auto"/>
                <w:szCs w:val="21"/>
                <w:highlight w:val="none"/>
              </w:rPr>
              <w:t>（1）投标文件解密失败的补救方案：</w:t>
            </w:r>
          </w:p>
          <w:p w14:paraId="24DF08B6">
            <w:pPr>
              <w:spacing w:line="276" w:lineRule="auto"/>
              <w:rPr>
                <w:rStyle w:val="66"/>
                <w:rFonts w:ascii="宋体" w:hAnsi="宋体"/>
                <w:color w:val="auto"/>
                <w:szCs w:val="21"/>
                <w:highlight w:val="none"/>
              </w:rPr>
            </w:pPr>
            <w:r>
              <w:rPr>
                <w:rStyle w:val="66"/>
                <w:rFonts w:ascii="宋体" w:hAnsi="宋体"/>
                <w:color w:val="auto"/>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74542318">
            <w:pPr>
              <w:spacing w:line="276" w:lineRule="auto"/>
              <w:rPr>
                <w:rStyle w:val="66"/>
                <w:rFonts w:ascii="宋体" w:hAnsi="宋体"/>
                <w:color w:val="auto"/>
                <w:szCs w:val="21"/>
                <w:highlight w:val="none"/>
              </w:rPr>
            </w:pPr>
            <w:r>
              <w:rPr>
                <w:rStyle w:val="66"/>
                <w:rFonts w:ascii="宋体" w:hAnsi="宋体"/>
                <w:color w:val="auto"/>
                <w:szCs w:val="21"/>
                <w:highlight w:val="none"/>
              </w:rPr>
              <w:t>（2）评标时突发情况的补救方案</w:t>
            </w:r>
          </w:p>
          <w:p w14:paraId="0336689A">
            <w:pPr>
              <w:spacing w:line="276" w:lineRule="auto"/>
              <w:rPr>
                <w:rStyle w:val="66"/>
                <w:rFonts w:ascii="宋体" w:hAnsi="宋体"/>
                <w:color w:val="auto"/>
                <w:szCs w:val="21"/>
                <w:highlight w:val="none"/>
              </w:rPr>
            </w:pPr>
            <w:r>
              <w:rPr>
                <w:rStyle w:val="66"/>
                <w:rFonts w:ascii="宋体" w:hAnsi="宋体"/>
                <w:color w:val="auto"/>
                <w:szCs w:val="21"/>
                <w:highlight w:val="none"/>
              </w:rPr>
              <w:t>若遇不可抗力发生（指网络瘫痪、服务器损坏、交易系统故障短期无法恢复等因素），由评标委员会开启投标人递交的全部投标文件光盘，并按光盘内容进行评审。</w:t>
            </w:r>
          </w:p>
          <w:p w14:paraId="27C3F75E">
            <w:pPr>
              <w:spacing w:line="276" w:lineRule="auto"/>
              <w:rPr>
                <w:rStyle w:val="66"/>
                <w:rFonts w:ascii="宋体" w:hAnsi="宋体"/>
                <w:color w:val="auto"/>
                <w:kern w:val="0"/>
                <w:szCs w:val="21"/>
                <w:highlight w:val="none"/>
                <w:lang w:val="zh-CN"/>
              </w:rPr>
            </w:pPr>
            <w:r>
              <w:rPr>
                <w:rStyle w:val="66"/>
                <w:rFonts w:ascii="宋体" w:hAnsi="宋体"/>
                <w:color w:val="auto"/>
                <w:szCs w:val="21"/>
                <w:highlight w:val="none"/>
              </w:rPr>
              <w:t>（3）除发生上述情况外，开标评标均以投标人通过交易平台网上递交的电子投标文件为准。</w:t>
            </w:r>
          </w:p>
        </w:tc>
      </w:tr>
      <w:tr w14:paraId="3A13E53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633" w:type="dxa"/>
            <w:vAlign w:val="center"/>
          </w:tcPr>
          <w:p w14:paraId="12F6B383">
            <w:pPr>
              <w:spacing w:line="276" w:lineRule="auto"/>
              <w:jc w:val="center"/>
              <w:rPr>
                <w:rStyle w:val="66"/>
                <w:rFonts w:ascii="宋体" w:hAnsi="宋体"/>
                <w:color w:val="auto"/>
                <w:szCs w:val="21"/>
                <w:highlight w:val="none"/>
              </w:rPr>
            </w:pPr>
            <w:r>
              <w:rPr>
                <w:rStyle w:val="66"/>
                <w:rFonts w:hint="eastAsia" w:ascii="宋体" w:hAnsi="宋体"/>
                <w:color w:val="auto"/>
                <w:szCs w:val="21"/>
                <w:highlight w:val="none"/>
              </w:rPr>
              <w:t>37</w:t>
            </w:r>
          </w:p>
        </w:tc>
        <w:tc>
          <w:tcPr>
            <w:tcW w:w="944" w:type="dxa"/>
            <w:tcBorders>
              <w:left w:val="single" w:color="000000" w:sz="4" w:space="0"/>
            </w:tcBorders>
            <w:vAlign w:val="center"/>
          </w:tcPr>
          <w:p w14:paraId="31E0E0BB">
            <w:pPr>
              <w:spacing w:line="276" w:lineRule="auto"/>
              <w:jc w:val="center"/>
              <w:rPr>
                <w:rStyle w:val="66"/>
                <w:rFonts w:ascii="宋体" w:hAnsi="宋体"/>
                <w:color w:val="auto"/>
                <w:szCs w:val="21"/>
                <w:highlight w:val="none"/>
              </w:rPr>
            </w:pPr>
          </w:p>
        </w:tc>
        <w:tc>
          <w:tcPr>
            <w:tcW w:w="1494" w:type="dxa"/>
            <w:tcBorders>
              <w:left w:val="single" w:color="000000" w:sz="4" w:space="0"/>
            </w:tcBorders>
            <w:vAlign w:val="center"/>
          </w:tcPr>
          <w:p w14:paraId="28371390">
            <w:pPr>
              <w:spacing w:line="276" w:lineRule="auto"/>
              <w:jc w:val="center"/>
              <w:rPr>
                <w:rStyle w:val="66"/>
                <w:rFonts w:ascii="宋体" w:hAnsi="宋体"/>
                <w:color w:val="auto"/>
                <w:szCs w:val="21"/>
                <w:highlight w:val="none"/>
              </w:rPr>
            </w:pPr>
            <w:r>
              <w:rPr>
                <w:rFonts w:hint="eastAsia" w:ascii="宋体" w:hAnsi="宋体"/>
                <w:color w:val="auto"/>
                <w:highlight w:val="none"/>
              </w:rPr>
              <w:t>其他</w:t>
            </w:r>
          </w:p>
        </w:tc>
        <w:tc>
          <w:tcPr>
            <w:tcW w:w="5689" w:type="dxa"/>
            <w:tcBorders>
              <w:left w:val="single" w:color="000000" w:sz="4" w:space="0"/>
            </w:tcBorders>
            <w:vAlign w:val="center"/>
          </w:tcPr>
          <w:p w14:paraId="780E53EB">
            <w:pPr>
              <w:spacing w:line="276" w:lineRule="auto"/>
              <w:rPr>
                <w:color w:val="auto"/>
                <w:highlight w:val="none"/>
              </w:rPr>
            </w:pPr>
            <w:r>
              <w:rPr>
                <w:rFonts w:hint="eastAsia"/>
                <w:color w:val="auto"/>
                <w:highlight w:val="none"/>
              </w:rPr>
              <w:t>中标单位中标后须提供一正二副的纸质投标文件和电子光盘给招标人（纸质投标文件内容须与投标时一致，并加盖投标单位公章）。</w:t>
            </w:r>
          </w:p>
        </w:tc>
      </w:tr>
    </w:tbl>
    <w:p w14:paraId="317175BD">
      <w:pPr>
        <w:pStyle w:val="123"/>
        <w:spacing w:line="276" w:lineRule="auto"/>
        <w:ind w:left="0"/>
        <w:jc w:val="left"/>
        <w:outlineLvl w:val="1"/>
        <w:rPr>
          <w:rFonts w:ascii="宋体" w:hAnsi="宋体" w:cs="Courier New"/>
          <w:strike/>
          <w:dstrike w:val="0"/>
          <w:color w:val="auto"/>
          <w:sz w:val="21"/>
          <w:szCs w:val="21"/>
          <w:highlight w:val="none"/>
        </w:rPr>
      </w:pPr>
      <w:bookmarkStart w:id="2" w:name="_Toc105014621"/>
      <w:bookmarkStart w:id="3" w:name="_Toc105005587"/>
      <w:r>
        <w:rPr>
          <w:rFonts w:hint="eastAsia" w:ascii="宋体" w:hAnsi="宋体" w:cs="Courier New"/>
          <w:strike/>
          <w:dstrike w:val="0"/>
          <w:color w:val="auto"/>
          <w:sz w:val="21"/>
          <w:szCs w:val="21"/>
          <w:highlight w:val="none"/>
        </w:rPr>
        <w:t>注：企业综合诚信评价得分即企业综合诚信评价60日诚信分，以下同。</w:t>
      </w:r>
      <w:bookmarkEnd w:id="2"/>
      <w:bookmarkEnd w:id="3"/>
    </w:p>
    <w:p w14:paraId="1CCAD252">
      <w:pPr>
        <w:pStyle w:val="123"/>
        <w:spacing w:line="360" w:lineRule="auto"/>
        <w:outlineLvl w:val="1"/>
        <w:rPr>
          <w:rStyle w:val="66"/>
          <w:rFonts w:ascii="宋体" w:hAnsi="宋体"/>
          <w:b/>
          <w:color w:val="auto"/>
          <w:highlight w:val="none"/>
        </w:rPr>
      </w:pPr>
      <w:r>
        <w:rPr>
          <w:rStyle w:val="66"/>
          <w:rFonts w:ascii="宋体" w:hAnsi="宋体"/>
          <w:b/>
          <w:color w:val="auto"/>
          <w:highlight w:val="none"/>
        </w:rPr>
        <w:br w:type="page"/>
      </w:r>
      <w:bookmarkStart w:id="4" w:name="_Toc105014622"/>
      <w:r>
        <w:rPr>
          <w:rStyle w:val="66"/>
          <w:rFonts w:ascii="宋体" w:hAnsi="宋体"/>
          <w:b/>
          <w:color w:val="auto"/>
          <w:highlight w:val="none"/>
        </w:rPr>
        <w:t>二、投标须知修改表</w:t>
      </w:r>
      <w:bookmarkEnd w:id="4"/>
    </w:p>
    <w:p w14:paraId="71603AE7">
      <w:pPr>
        <w:pStyle w:val="97"/>
        <w:spacing w:line="360" w:lineRule="auto"/>
        <w:rPr>
          <w:rStyle w:val="66"/>
          <w:rFonts w:ascii="宋体" w:hAnsi="宋体"/>
          <w:b/>
          <w:sz w:val="21"/>
          <w:szCs w:val="21"/>
          <w:highlight w:val="none"/>
        </w:rPr>
      </w:pPr>
      <w:r>
        <w:rPr>
          <w:rStyle w:val="66"/>
          <w:rFonts w:ascii="宋体" w:hAnsi="宋体"/>
          <w:b/>
          <w:sz w:val="21"/>
          <w:szCs w:val="21"/>
          <w:highlight w:val="none"/>
        </w:rPr>
        <w:t>声明：</w:t>
      </w:r>
      <w:r>
        <w:rPr>
          <w:rStyle w:val="66"/>
          <w:rFonts w:hint="eastAsia" w:ascii="宋体" w:hAnsi="宋体"/>
          <w:b/>
          <w:sz w:val="21"/>
          <w:szCs w:val="21"/>
          <w:highlight w:val="none"/>
        </w:rPr>
        <w:t>本投标须知使用GZZB2018-3招标文件范本的投标须知通用条款，与该通用条款不同之处，均在本表中列明，并以现文为准，原文不再有效。本招标文件中不再转录投标须知通用条款，请投标人自行到广州市住房和城乡建设局网站（网址：http://zfcj.gz.gov.cn/）下载查阅</w:t>
      </w:r>
      <w:r>
        <w:rPr>
          <w:rStyle w:val="66"/>
          <w:rFonts w:ascii="宋体" w:hAnsi="宋体"/>
          <w:b/>
          <w:sz w:val="21"/>
          <w:szCs w:val="21"/>
          <w:highlight w:val="none"/>
        </w:rPr>
        <w:t>。</w:t>
      </w:r>
    </w:p>
    <w:p w14:paraId="75CC7EF7">
      <w:pPr>
        <w:spacing w:line="360" w:lineRule="auto"/>
        <w:ind w:firstLine="422" w:firstLineChars="200"/>
        <w:rPr>
          <w:rStyle w:val="66"/>
          <w:rFonts w:ascii="宋体" w:hAnsi="宋体"/>
          <w:b/>
          <w:szCs w:val="21"/>
          <w:highlight w:val="none"/>
        </w:rPr>
      </w:pPr>
      <w:r>
        <w:rPr>
          <w:rStyle w:val="66"/>
          <w:rFonts w:ascii="宋体" w:hAnsi="宋体"/>
          <w:b/>
          <w:szCs w:val="21"/>
          <w:highlight w:val="none"/>
        </w:rPr>
        <w:t>条款号：</w:t>
      </w:r>
      <w:r>
        <w:rPr>
          <w:rStyle w:val="66"/>
          <w:rFonts w:hint="eastAsia" w:ascii="宋体" w:hAnsi="宋体"/>
          <w:b/>
          <w:szCs w:val="21"/>
          <w:highlight w:val="none"/>
        </w:rPr>
        <w:t>5</w:t>
      </w:r>
      <w:r>
        <w:rPr>
          <w:rStyle w:val="66"/>
          <w:rFonts w:ascii="宋体" w:hAnsi="宋体"/>
          <w:b/>
          <w:szCs w:val="21"/>
          <w:highlight w:val="none"/>
        </w:rPr>
        <w:t>.1          修改类型：修改</w:t>
      </w:r>
    </w:p>
    <w:p w14:paraId="3488F906">
      <w:pPr>
        <w:spacing w:line="360" w:lineRule="auto"/>
        <w:ind w:firstLine="422" w:firstLineChars="200"/>
        <w:rPr>
          <w:rStyle w:val="66"/>
          <w:rFonts w:ascii="宋体" w:hAnsi="宋体"/>
          <w:b/>
          <w:szCs w:val="21"/>
          <w:highlight w:val="none"/>
        </w:rPr>
      </w:pPr>
      <w:r>
        <w:rPr>
          <w:rStyle w:val="66"/>
          <w:rFonts w:ascii="宋体" w:hAnsi="宋体"/>
          <w:b/>
          <w:szCs w:val="21"/>
          <w:highlight w:val="none"/>
        </w:rPr>
        <w:t>原文</w:t>
      </w:r>
      <w:r>
        <w:rPr>
          <w:rStyle w:val="66"/>
          <w:rFonts w:hint="eastAsia" w:ascii="宋体" w:hAnsi="宋体"/>
          <w:b/>
          <w:szCs w:val="21"/>
          <w:highlight w:val="none"/>
        </w:rPr>
        <w:t>：</w:t>
      </w:r>
      <w:r>
        <w:rPr>
          <w:rStyle w:val="66"/>
          <w:rFonts w:hint="eastAsia" w:ascii="宋体" w:hAnsi="宋体"/>
          <w:szCs w:val="21"/>
          <w:highlight w:val="none"/>
        </w:rPr>
        <w:t>5</w:t>
      </w:r>
      <w:r>
        <w:rPr>
          <w:rStyle w:val="66"/>
          <w:rFonts w:ascii="宋体" w:hAnsi="宋体"/>
          <w:szCs w:val="21"/>
          <w:highlight w:val="none"/>
        </w:rPr>
        <w:t>.1</w:t>
      </w:r>
      <w:r>
        <w:rPr>
          <w:rStyle w:val="66"/>
          <w:rFonts w:hint="eastAsia"/>
          <w:szCs w:val="21"/>
          <w:highlight w:val="none"/>
        </w:rPr>
        <w:t>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14:paraId="22E451EA">
      <w:pPr>
        <w:pBdr>
          <w:bottom w:val="single" w:color="000000" w:sz="6" w:space="1"/>
        </w:pBdr>
        <w:spacing w:line="360" w:lineRule="auto"/>
        <w:ind w:firstLine="422" w:firstLineChars="200"/>
        <w:rPr>
          <w:rStyle w:val="66"/>
          <w:rFonts w:ascii="宋体" w:hAnsi="宋体"/>
          <w:szCs w:val="21"/>
          <w:highlight w:val="none"/>
        </w:rPr>
      </w:pPr>
      <w:r>
        <w:rPr>
          <w:rStyle w:val="66"/>
          <w:rFonts w:ascii="宋体" w:hAnsi="宋体"/>
          <w:b/>
          <w:szCs w:val="21"/>
          <w:highlight w:val="none"/>
        </w:rPr>
        <w:t>现文：</w:t>
      </w:r>
      <w:r>
        <w:rPr>
          <w:rStyle w:val="66"/>
          <w:rFonts w:hint="eastAsia" w:ascii="宋体" w:hAnsi="宋体"/>
          <w:szCs w:val="21"/>
          <w:highlight w:val="none"/>
        </w:rPr>
        <w:t>5</w:t>
      </w:r>
      <w:r>
        <w:rPr>
          <w:rStyle w:val="66"/>
          <w:rFonts w:ascii="宋体" w:hAnsi="宋体"/>
          <w:szCs w:val="21"/>
          <w:highlight w:val="none"/>
        </w:rPr>
        <w:t>.1</w:t>
      </w:r>
      <w:r>
        <w:rPr>
          <w:rStyle w:val="66"/>
          <w:rFonts w:hint="eastAsia"/>
          <w:szCs w:val="21"/>
          <w:highlight w:val="none"/>
        </w:rPr>
        <w:t>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w:t>
      </w:r>
      <w:r>
        <w:rPr>
          <w:rStyle w:val="66"/>
          <w:rFonts w:hint="eastAsia"/>
          <w:szCs w:val="21"/>
          <w:highlight w:val="none"/>
          <w:u w:val="single"/>
        </w:rPr>
        <w:t>投标人不进行踏勘的，视为已熟知现场条件，自行承担相关风险。投标单位自行勘察并对工程量清单及图纸内容、准确性进行复核，如有误差必须在答疑中提出，否则视为已认可本项目的工程量清单及图纸所有内容。</w:t>
      </w:r>
      <w:r>
        <w:rPr>
          <w:rStyle w:val="66"/>
          <w:rFonts w:hint="eastAsia"/>
          <w:szCs w:val="21"/>
          <w:highlight w:val="none"/>
        </w:rPr>
        <w:t>一旦中标，这种考察即被认为其结果已在中标文件中得到充分反映。</w:t>
      </w:r>
      <w:r>
        <w:rPr>
          <w:rStyle w:val="66"/>
          <w:rFonts w:hint="eastAsia"/>
          <w:szCs w:val="21"/>
          <w:highlight w:val="none"/>
          <w:u w:val="single"/>
        </w:rPr>
        <w:t>招标人不受理因投标人缺乏对现场条件的了解或掌握而提出的任何索赔。</w:t>
      </w:r>
      <w:r>
        <w:rPr>
          <w:rStyle w:val="66"/>
          <w:rFonts w:hint="eastAsia"/>
          <w:szCs w:val="21"/>
          <w:highlight w:val="none"/>
        </w:rPr>
        <w:t>考察现场的费用由投标人自己承担。</w:t>
      </w:r>
    </w:p>
    <w:p w14:paraId="2D67E926">
      <w:pPr>
        <w:spacing w:line="360" w:lineRule="auto"/>
        <w:ind w:firstLine="422" w:firstLineChars="200"/>
        <w:rPr>
          <w:rStyle w:val="66"/>
          <w:rFonts w:ascii="宋体" w:hAnsi="宋体"/>
          <w:b/>
          <w:szCs w:val="21"/>
          <w:highlight w:val="none"/>
        </w:rPr>
      </w:pPr>
      <w:r>
        <w:rPr>
          <w:rStyle w:val="66"/>
          <w:rFonts w:ascii="宋体" w:hAnsi="宋体"/>
          <w:b/>
          <w:szCs w:val="21"/>
          <w:highlight w:val="none"/>
        </w:rPr>
        <w:t>条款号：7.1             修改类型：修改</w:t>
      </w:r>
    </w:p>
    <w:p w14:paraId="77646979">
      <w:pPr>
        <w:spacing w:line="360" w:lineRule="auto"/>
        <w:ind w:firstLine="422" w:firstLineChars="200"/>
        <w:rPr>
          <w:rStyle w:val="66"/>
          <w:rFonts w:ascii="宋体" w:hAnsi="宋体"/>
          <w:b w:val="0"/>
          <w:szCs w:val="21"/>
          <w:highlight w:val="none"/>
        </w:rPr>
      </w:pPr>
      <w:r>
        <w:rPr>
          <w:rStyle w:val="66"/>
          <w:rFonts w:ascii="宋体" w:hAnsi="宋体"/>
          <w:b/>
          <w:szCs w:val="21"/>
          <w:highlight w:val="none"/>
        </w:rPr>
        <w:t>原文：</w:t>
      </w:r>
      <w:r>
        <w:rPr>
          <w:rStyle w:val="66"/>
          <w:rFonts w:ascii="宋体" w:hAnsi="宋体"/>
          <w:b w:val="0"/>
          <w:szCs w:val="21"/>
          <w:highlight w:val="none"/>
        </w:rPr>
        <w:t>7.1本招标文件包括下列文件，以及所有按本须知第8条发出的招标答疑会会议纪要和按本须知第9条发出的澄清或修改：</w:t>
      </w:r>
    </w:p>
    <w:p w14:paraId="3987DB0B">
      <w:pPr>
        <w:spacing w:line="360" w:lineRule="auto"/>
        <w:ind w:firstLine="420" w:firstLineChars="200"/>
        <w:rPr>
          <w:rStyle w:val="66"/>
          <w:rFonts w:ascii="宋体" w:hAnsi="宋体"/>
          <w:b w:val="0"/>
          <w:szCs w:val="21"/>
          <w:highlight w:val="none"/>
        </w:rPr>
      </w:pPr>
      <w:r>
        <w:rPr>
          <w:rStyle w:val="66"/>
          <w:rFonts w:ascii="宋体" w:hAnsi="宋体"/>
          <w:b w:val="0"/>
          <w:szCs w:val="21"/>
          <w:highlight w:val="none"/>
        </w:rPr>
        <w:t>第一章  投标须知</w:t>
      </w:r>
    </w:p>
    <w:p w14:paraId="0465359B">
      <w:pPr>
        <w:spacing w:line="360" w:lineRule="auto"/>
        <w:ind w:firstLine="420" w:firstLineChars="200"/>
        <w:rPr>
          <w:rStyle w:val="66"/>
          <w:rFonts w:ascii="宋体" w:hAnsi="宋体"/>
          <w:b w:val="0"/>
          <w:szCs w:val="21"/>
          <w:highlight w:val="none"/>
        </w:rPr>
      </w:pPr>
      <w:r>
        <w:rPr>
          <w:rStyle w:val="66"/>
          <w:rFonts w:ascii="宋体" w:hAnsi="宋体"/>
          <w:b w:val="0"/>
          <w:szCs w:val="21"/>
          <w:highlight w:val="none"/>
        </w:rPr>
        <w:t>第二章  开标、评标及定标办法</w:t>
      </w:r>
    </w:p>
    <w:p w14:paraId="47FF4E5F">
      <w:pPr>
        <w:spacing w:line="360" w:lineRule="auto"/>
        <w:ind w:firstLine="420" w:firstLineChars="200"/>
        <w:rPr>
          <w:rStyle w:val="66"/>
          <w:rFonts w:ascii="宋体" w:hAnsi="宋体"/>
          <w:b w:val="0"/>
          <w:szCs w:val="21"/>
          <w:highlight w:val="none"/>
        </w:rPr>
      </w:pPr>
      <w:r>
        <w:rPr>
          <w:rStyle w:val="66"/>
          <w:rFonts w:ascii="宋体" w:hAnsi="宋体"/>
          <w:b w:val="0"/>
          <w:szCs w:val="21"/>
          <w:highlight w:val="none"/>
        </w:rPr>
        <w:t>第三章  合同条款</w:t>
      </w:r>
    </w:p>
    <w:p w14:paraId="4AC267E9">
      <w:pPr>
        <w:spacing w:line="360" w:lineRule="auto"/>
        <w:ind w:firstLine="420" w:firstLineChars="200"/>
        <w:rPr>
          <w:rStyle w:val="66"/>
          <w:rFonts w:ascii="宋体" w:hAnsi="宋体"/>
          <w:b w:val="0"/>
          <w:szCs w:val="21"/>
          <w:highlight w:val="none"/>
        </w:rPr>
      </w:pPr>
      <w:r>
        <w:rPr>
          <w:rStyle w:val="66"/>
          <w:rFonts w:ascii="宋体" w:hAnsi="宋体"/>
          <w:b w:val="0"/>
          <w:szCs w:val="21"/>
          <w:highlight w:val="none"/>
        </w:rPr>
        <w:t>第四章  投标文件格式</w:t>
      </w:r>
    </w:p>
    <w:p w14:paraId="5D80EB9C">
      <w:pPr>
        <w:spacing w:line="360" w:lineRule="auto"/>
        <w:ind w:firstLine="420" w:firstLineChars="200"/>
        <w:rPr>
          <w:rStyle w:val="66"/>
          <w:rFonts w:ascii="宋体" w:hAnsi="宋体"/>
          <w:b w:val="0"/>
          <w:szCs w:val="21"/>
          <w:highlight w:val="none"/>
        </w:rPr>
      </w:pPr>
      <w:r>
        <w:rPr>
          <w:rStyle w:val="66"/>
          <w:rFonts w:ascii="宋体" w:hAnsi="宋体"/>
          <w:b w:val="0"/>
          <w:szCs w:val="21"/>
          <w:highlight w:val="none"/>
        </w:rPr>
        <w:t>第五章  技术条件（工程建设标准）（另册）</w:t>
      </w:r>
    </w:p>
    <w:p w14:paraId="3D5C590D">
      <w:pPr>
        <w:spacing w:line="360" w:lineRule="auto"/>
        <w:ind w:firstLine="420" w:firstLineChars="200"/>
        <w:rPr>
          <w:rStyle w:val="66"/>
          <w:rFonts w:ascii="宋体" w:hAnsi="宋体"/>
          <w:b w:val="0"/>
          <w:szCs w:val="21"/>
          <w:highlight w:val="none"/>
        </w:rPr>
      </w:pPr>
      <w:r>
        <w:rPr>
          <w:rStyle w:val="66"/>
          <w:rFonts w:ascii="宋体" w:hAnsi="宋体"/>
          <w:b w:val="0"/>
          <w:szCs w:val="21"/>
          <w:highlight w:val="none"/>
        </w:rPr>
        <w:t>第六章  图纸及勘察资料（另册）</w:t>
      </w:r>
    </w:p>
    <w:p w14:paraId="237DE99E">
      <w:pPr>
        <w:spacing w:line="360" w:lineRule="auto"/>
        <w:ind w:firstLine="420" w:firstLineChars="200"/>
        <w:rPr>
          <w:rStyle w:val="66"/>
          <w:rFonts w:ascii="宋体" w:hAnsi="宋体"/>
          <w:b w:val="0"/>
          <w:szCs w:val="21"/>
          <w:highlight w:val="none"/>
        </w:rPr>
      </w:pPr>
      <w:r>
        <w:rPr>
          <w:rStyle w:val="66"/>
          <w:rFonts w:ascii="宋体" w:hAnsi="宋体"/>
          <w:b w:val="0"/>
          <w:szCs w:val="21"/>
          <w:highlight w:val="none"/>
        </w:rPr>
        <w:t>第七章  招标工程量清单（另册）</w:t>
      </w:r>
    </w:p>
    <w:p w14:paraId="4868E16A">
      <w:pPr>
        <w:spacing w:line="360" w:lineRule="auto"/>
        <w:ind w:firstLine="420" w:firstLineChars="200"/>
        <w:rPr>
          <w:rStyle w:val="66"/>
          <w:rFonts w:ascii="宋体" w:hAnsi="宋体"/>
          <w:b w:val="0"/>
          <w:szCs w:val="21"/>
          <w:highlight w:val="none"/>
        </w:rPr>
      </w:pPr>
      <w:r>
        <w:rPr>
          <w:rStyle w:val="66"/>
          <w:rFonts w:ascii="宋体" w:hAnsi="宋体"/>
          <w:b w:val="0"/>
          <w:szCs w:val="21"/>
          <w:highlight w:val="none"/>
        </w:rPr>
        <w:t>第八章  最高投标限价</w:t>
      </w:r>
    </w:p>
    <w:p w14:paraId="33482318">
      <w:pPr>
        <w:spacing w:line="360" w:lineRule="auto"/>
        <w:ind w:firstLine="422" w:firstLineChars="200"/>
        <w:rPr>
          <w:rStyle w:val="66"/>
          <w:rFonts w:ascii="宋体" w:hAnsi="宋体"/>
          <w:b w:val="0"/>
          <w:szCs w:val="21"/>
          <w:highlight w:val="none"/>
        </w:rPr>
      </w:pPr>
      <w:r>
        <w:rPr>
          <w:rStyle w:val="66"/>
          <w:rFonts w:ascii="宋体" w:hAnsi="宋体"/>
          <w:b/>
          <w:szCs w:val="21"/>
          <w:highlight w:val="none"/>
        </w:rPr>
        <w:t>现文：</w:t>
      </w:r>
      <w:r>
        <w:rPr>
          <w:rStyle w:val="66"/>
          <w:rFonts w:ascii="宋体" w:hAnsi="宋体"/>
          <w:b w:val="0"/>
          <w:szCs w:val="21"/>
          <w:highlight w:val="none"/>
        </w:rPr>
        <w:t>7.1本招标文件包括下列文件，以及所有按本须知第8条发出的招标答疑会会议纪要和按本须知第9条发出的澄清或修改：</w:t>
      </w:r>
    </w:p>
    <w:p w14:paraId="67C07C9E">
      <w:pPr>
        <w:spacing w:line="360" w:lineRule="auto"/>
        <w:ind w:firstLine="420" w:firstLineChars="200"/>
        <w:rPr>
          <w:rStyle w:val="66"/>
          <w:rFonts w:ascii="宋体" w:hAnsi="宋体"/>
          <w:b w:val="0"/>
          <w:szCs w:val="21"/>
          <w:highlight w:val="none"/>
        </w:rPr>
      </w:pPr>
      <w:r>
        <w:rPr>
          <w:rStyle w:val="66"/>
          <w:rFonts w:ascii="宋体" w:hAnsi="宋体"/>
          <w:b w:val="0"/>
          <w:szCs w:val="21"/>
          <w:highlight w:val="none"/>
        </w:rPr>
        <w:t>第一章  投标须知</w:t>
      </w:r>
    </w:p>
    <w:p w14:paraId="034FC6AC">
      <w:pPr>
        <w:spacing w:line="360" w:lineRule="auto"/>
        <w:ind w:firstLine="420" w:firstLineChars="200"/>
        <w:rPr>
          <w:rStyle w:val="66"/>
          <w:rFonts w:ascii="宋体" w:hAnsi="宋体"/>
          <w:b w:val="0"/>
          <w:szCs w:val="21"/>
          <w:highlight w:val="none"/>
        </w:rPr>
      </w:pPr>
      <w:r>
        <w:rPr>
          <w:rStyle w:val="66"/>
          <w:rFonts w:ascii="宋体" w:hAnsi="宋体"/>
          <w:b w:val="0"/>
          <w:szCs w:val="21"/>
          <w:highlight w:val="none"/>
        </w:rPr>
        <w:t>第二章  开标、评标及定标办法</w:t>
      </w:r>
    </w:p>
    <w:p w14:paraId="4798AFA8">
      <w:pPr>
        <w:spacing w:line="360" w:lineRule="auto"/>
        <w:ind w:firstLine="420" w:firstLineChars="200"/>
        <w:rPr>
          <w:rStyle w:val="66"/>
          <w:rFonts w:ascii="宋体" w:hAnsi="宋体"/>
          <w:b w:val="0"/>
          <w:szCs w:val="21"/>
          <w:highlight w:val="none"/>
        </w:rPr>
      </w:pPr>
      <w:r>
        <w:rPr>
          <w:rStyle w:val="66"/>
          <w:rFonts w:ascii="宋体" w:hAnsi="宋体"/>
          <w:b w:val="0"/>
          <w:szCs w:val="21"/>
          <w:highlight w:val="none"/>
        </w:rPr>
        <w:t>第三章  合同条款</w:t>
      </w:r>
      <w:r>
        <w:rPr>
          <w:rStyle w:val="66"/>
          <w:rFonts w:ascii="宋体" w:hAnsi="宋体"/>
          <w:szCs w:val="21"/>
          <w:highlight w:val="none"/>
          <w:u w:val="single"/>
        </w:rPr>
        <w:t>（另册）</w:t>
      </w:r>
    </w:p>
    <w:p w14:paraId="57C66953">
      <w:pPr>
        <w:spacing w:line="360" w:lineRule="auto"/>
        <w:ind w:firstLine="420" w:firstLineChars="200"/>
        <w:rPr>
          <w:rStyle w:val="66"/>
          <w:rFonts w:ascii="宋体" w:hAnsi="宋体"/>
          <w:b w:val="0"/>
          <w:szCs w:val="21"/>
          <w:highlight w:val="none"/>
        </w:rPr>
      </w:pPr>
      <w:r>
        <w:rPr>
          <w:rStyle w:val="66"/>
          <w:rFonts w:ascii="宋体" w:hAnsi="宋体"/>
          <w:b w:val="0"/>
          <w:szCs w:val="21"/>
          <w:highlight w:val="none"/>
        </w:rPr>
        <w:t>第四章  投标文件格式</w:t>
      </w:r>
    </w:p>
    <w:p w14:paraId="237D8649">
      <w:pPr>
        <w:spacing w:line="360" w:lineRule="auto"/>
        <w:ind w:firstLine="420" w:firstLineChars="200"/>
        <w:rPr>
          <w:rStyle w:val="66"/>
          <w:rFonts w:ascii="宋体" w:hAnsi="宋体"/>
          <w:b w:val="0"/>
          <w:szCs w:val="21"/>
          <w:highlight w:val="none"/>
        </w:rPr>
      </w:pPr>
      <w:r>
        <w:rPr>
          <w:rStyle w:val="66"/>
          <w:rFonts w:ascii="宋体" w:hAnsi="宋体"/>
          <w:b w:val="0"/>
          <w:szCs w:val="21"/>
          <w:highlight w:val="none"/>
        </w:rPr>
        <w:t>第五章  技术条件（工程建设标准）</w:t>
      </w:r>
    </w:p>
    <w:p w14:paraId="065EA01C">
      <w:pPr>
        <w:spacing w:line="360" w:lineRule="auto"/>
        <w:ind w:firstLine="420" w:firstLineChars="200"/>
        <w:rPr>
          <w:rStyle w:val="66"/>
          <w:rFonts w:ascii="宋体" w:hAnsi="宋体"/>
          <w:b w:val="0"/>
          <w:szCs w:val="21"/>
          <w:highlight w:val="none"/>
        </w:rPr>
      </w:pPr>
      <w:r>
        <w:rPr>
          <w:rStyle w:val="66"/>
          <w:rFonts w:ascii="宋体" w:hAnsi="宋体"/>
          <w:b w:val="0"/>
          <w:szCs w:val="21"/>
          <w:highlight w:val="none"/>
        </w:rPr>
        <w:t>第六章  图纸及勘察资料（另册）</w:t>
      </w:r>
    </w:p>
    <w:p w14:paraId="26568ECF">
      <w:pPr>
        <w:spacing w:line="360" w:lineRule="auto"/>
        <w:ind w:firstLine="420" w:firstLineChars="200"/>
        <w:rPr>
          <w:rStyle w:val="66"/>
          <w:rFonts w:ascii="宋体" w:hAnsi="宋体"/>
          <w:b w:val="0"/>
          <w:szCs w:val="21"/>
          <w:highlight w:val="none"/>
        </w:rPr>
      </w:pPr>
      <w:r>
        <w:rPr>
          <w:rStyle w:val="66"/>
          <w:rFonts w:ascii="宋体" w:hAnsi="宋体"/>
          <w:b w:val="0"/>
          <w:szCs w:val="21"/>
          <w:highlight w:val="none"/>
        </w:rPr>
        <w:t>第七章  招标工程量清单（另册）</w:t>
      </w:r>
    </w:p>
    <w:p w14:paraId="0FE537FC">
      <w:pPr>
        <w:spacing w:line="360" w:lineRule="auto"/>
        <w:ind w:firstLine="420" w:firstLineChars="200"/>
        <w:rPr>
          <w:rStyle w:val="66"/>
          <w:rFonts w:ascii="宋体" w:hAnsi="宋体"/>
          <w:b w:val="0"/>
          <w:szCs w:val="21"/>
          <w:highlight w:val="none"/>
          <w:u w:val="single"/>
        </w:rPr>
      </w:pPr>
      <w:r>
        <w:rPr>
          <w:rStyle w:val="66"/>
          <w:rFonts w:ascii="宋体" w:hAnsi="宋体"/>
          <w:b w:val="0"/>
          <w:szCs w:val="21"/>
          <w:highlight w:val="none"/>
        </w:rPr>
        <w:t>第八章  最高投标限价</w:t>
      </w:r>
      <w:r>
        <w:rPr>
          <w:rStyle w:val="66"/>
          <w:rFonts w:ascii="宋体" w:hAnsi="宋体"/>
          <w:szCs w:val="21"/>
          <w:highlight w:val="none"/>
          <w:u w:val="single"/>
        </w:rPr>
        <w:t>（另册）</w:t>
      </w:r>
    </w:p>
    <w:p w14:paraId="3CD4A708">
      <w:pPr>
        <w:pBdr>
          <w:bottom w:val="single" w:color="auto" w:sz="6" w:space="1"/>
        </w:pBdr>
        <w:spacing w:line="360" w:lineRule="auto"/>
        <w:ind w:firstLine="411" w:firstLineChars="196"/>
        <w:rPr>
          <w:rFonts w:hint="eastAsia" w:ascii="宋体" w:eastAsia="宋体" w:cs="宋体"/>
          <w:b/>
          <w:szCs w:val="21"/>
          <w:highlight w:val="none"/>
          <w:u w:val="single"/>
          <w:lang w:bidi="ar-SA"/>
        </w:rPr>
      </w:pPr>
      <w:r>
        <w:rPr>
          <w:rStyle w:val="66"/>
          <w:rFonts w:ascii="宋体" w:hAnsi="宋体"/>
          <w:b w:val="0"/>
          <w:szCs w:val="21"/>
          <w:highlight w:val="none"/>
          <w:u w:val="single"/>
        </w:rPr>
        <w:t>注：招标人应在技术条件（工程建设标准）中明确施工现场建筑垃圾源头减量的具体要求和建筑垃圾综合利用产品的使用要求。</w:t>
      </w:r>
    </w:p>
    <w:p w14:paraId="2272BD26">
      <w:pPr>
        <w:spacing w:line="360" w:lineRule="auto"/>
        <w:ind w:firstLine="422" w:firstLineChars="200"/>
        <w:rPr>
          <w:rStyle w:val="66"/>
          <w:rFonts w:ascii="宋体" w:hAnsi="宋体"/>
          <w:b/>
          <w:szCs w:val="21"/>
          <w:highlight w:val="none"/>
        </w:rPr>
      </w:pPr>
      <w:r>
        <w:rPr>
          <w:rStyle w:val="66"/>
          <w:rFonts w:ascii="宋体" w:hAnsi="宋体"/>
          <w:b/>
          <w:szCs w:val="21"/>
          <w:highlight w:val="none"/>
        </w:rPr>
        <w:t>条款号：8.1          修改类型：修改</w:t>
      </w:r>
    </w:p>
    <w:p w14:paraId="1E4A2AA8">
      <w:pPr>
        <w:spacing w:line="360" w:lineRule="auto"/>
        <w:ind w:firstLine="422" w:firstLineChars="200"/>
        <w:rPr>
          <w:rStyle w:val="66"/>
          <w:rFonts w:ascii="宋体" w:hAnsi="宋体"/>
          <w:b/>
          <w:szCs w:val="21"/>
          <w:highlight w:val="none"/>
        </w:rPr>
      </w:pPr>
      <w:r>
        <w:rPr>
          <w:rStyle w:val="66"/>
          <w:rFonts w:ascii="宋体" w:hAnsi="宋体"/>
          <w:b/>
          <w:szCs w:val="21"/>
          <w:highlight w:val="none"/>
        </w:rPr>
        <w:t>原文</w:t>
      </w:r>
      <w:r>
        <w:rPr>
          <w:rStyle w:val="66"/>
          <w:rFonts w:hint="eastAsia" w:ascii="宋体" w:hAnsi="宋体"/>
          <w:b/>
          <w:szCs w:val="21"/>
          <w:highlight w:val="none"/>
        </w:rPr>
        <w:t>：</w:t>
      </w:r>
      <w:r>
        <w:rPr>
          <w:rStyle w:val="66"/>
          <w:rFonts w:ascii="宋体" w:hAnsi="宋体"/>
          <w:szCs w:val="21"/>
          <w:highlight w:val="none"/>
        </w:rPr>
        <w:t>8.1投标人若对招标文件（包括招标图纸）中有疑问，可以书面形式通过</w:t>
      </w:r>
      <w:r>
        <w:rPr>
          <w:rFonts w:hint="eastAsia" w:ascii="宋体" w:eastAsia="宋体" w:cs="宋体"/>
          <w:szCs w:val="21"/>
          <w:highlight w:val="none"/>
          <w:u w:val="single"/>
          <w:lang w:bidi="ar-SA"/>
        </w:rPr>
        <w:t xml:space="preserve">        </w:t>
      </w:r>
      <w:r>
        <w:rPr>
          <w:rStyle w:val="66"/>
          <w:rFonts w:ascii="宋体" w:hAnsi="宋体"/>
          <w:szCs w:val="21"/>
          <w:highlight w:val="none"/>
        </w:rPr>
        <w:t>交易平台提交给招标人或招标代理人，提交形式见本须知前附表第16项。</w:t>
      </w:r>
    </w:p>
    <w:p w14:paraId="28A35FCF">
      <w:pPr>
        <w:pBdr>
          <w:bottom w:val="single" w:color="000000" w:sz="6" w:space="1"/>
        </w:pBdr>
        <w:spacing w:line="360" w:lineRule="auto"/>
        <w:ind w:firstLine="422" w:firstLineChars="200"/>
        <w:rPr>
          <w:rStyle w:val="66"/>
          <w:rFonts w:ascii="宋体" w:hAnsi="宋体"/>
          <w:szCs w:val="21"/>
          <w:highlight w:val="none"/>
        </w:rPr>
      </w:pPr>
      <w:r>
        <w:rPr>
          <w:rStyle w:val="66"/>
          <w:rFonts w:ascii="宋体" w:hAnsi="宋体"/>
          <w:b/>
          <w:szCs w:val="21"/>
          <w:highlight w:val="none"/>
        </w:rPr>
        <w:t>现文：</w:t>
      </w:r>
      <w:r>
        <w:rPr>
          <w:rStyle w:val="66"/>
          <w:rFonts w:ascii="宋体" w:hAnsi="宋体"/>
          <w:szCs w:val="21"/>
          <w:highlight w:val="none"/>
        </w:rPr>
        <w:t>8.1投标人若对招标文件</w:t>
      </w:r>
      <w:r>
        <w:rPr>
          <w:rStyle w:val="66"/>
          <w:rFonts w:ascii="宋体" w:hAnsi="宋体"/>
          <w:szCs w:val="21"/>
          <w:highlight w:val="none"/>
          <w:u w:val="single"/>
        </w:rPr>
        <w:t>（包括招标图纸、</w:t>
      </w:r>
      <w:r>
        <w:rPr>
          <w:rStyle w:val="66"/>
          <w:rFonts w:hint="eastAsia" w:ascii="宋体" w:hAnsi="宋体"/>
          <w:szCs w:val="21"/>
          <w:highlight w:val="none"/>
          <w:u w:val="single"/>
        </w:rPr>
        <w:t>招标工程量</w:t>
      </w:r>
      <w:r>
        <w:rPr>
          <w:rStyle w:val="66"/>
          <w:rFonts w:ascii="宋体" w:hAnsi="宋体"/>
          <w:szCs w:val="21"/>
          <w:highlight w:val="none"/>
          <w:u w:val="single"/>
        </w:rPr>
        <w:t>清单、合同条款等）</w:t>
      </w:r>
      <w:r>
        <w:rPr>
          <w:rStyle w:val="66"/>
          <w:rFonts w:ascii="宋体" w:hAnsi="宋体"/>
          <w:szCs w:val="21"/>
          <w:highlight w:val="none"/>
        </w:rPr>
        <w:t>中有疑问，可以书面形式通过</w:t>
      </w:r>
      <w:r>
        <w:rPr>
          <w:rStyle w:val="66"/>
          <w:rFonts w:ascii="宋体" w:hAnsi="宋体"/>
          <w:szCs w:val="21"/>
          <w:highlight w:val="none"/>
          <w:u w:val="single"/>
        </w:rPr>
        <w:t>广州公共资源交易中心</w:t>
      </w:r>
      <w:r>
        <w:rPr>
          <w:rStyle w:val="66"/>
          <w:rFonts w:ascii="宋体" w:hAnsi="宋体"/>
          <w:szCs w:val="21"/>
          <w:highlight w:val="none"/>
        </w:rPr>
        <w:t>交易平台提交给招标人或招标代理人，提交形式见本须知前附表第16项。</w:t>
      </w:r>
    </w:p>
    <w:p w14:paraId="3BAF9235">
      <w:pPr>
        <w:spacing w:line="360" w:lineRule="auto"/>
        <w:ind w:firstLine="422" w:firstLineChars="200"/>
        <w:rPr>
          <w:rStyle w:val="66"/>
          <w:rFonts w:ascii="宋体" w:hAnsi="宋体"/>
          <w:b/>
          <w:szCs w:val="21"/>
          <w:highlight w:val="none"/>
        </w:rPr>
      </w:pPr>
      <w:r>
        <w:rPr>
          <w:rStyle w:val="66"/>
          <w:rFonts w:ascii="宋体" w:hAnsi="宋体"/>
          <w:b/>
          <w:szCs w:val="21"/>
          <w:highlight w:val="none"/>
        </w:rPr>
        <w:t>条款号：8.2          修改类型：修改</w:t>
      </w:r>
    </w:p>
    <w:p w14:paraId="2DEC8271">
      <w:pPr>
        <w:spacing w:line="360" w:lineRule="auto"/>
        <w:ind w:firstLine="422" w:firstLineChars="200"/>
        <w:rPr>
          <w:rStyle w:val="66"/>
          <w:rFonts w:ascii="宋体" w:hAnsi="宋体"/>
          <w:b/>
          <w:szCs w:val="21"/>
          <w:highlight w:val="none"/>
        </w:rPr>
      </w:pPr>
      <w:r>
        <w:rPr>
          <w:rStyle w:val="66"/>
          <w:rFonts w:ascii="宋体" w:hAnsi="宋体"/>
          <w:b/>
          <w:szCs w:val="21"/>
          <w:highlight w:val="none"/>
        </w:rPr>
        <w:t>原文：</w:t>
      </w:r>
      <w:r>
        <w:rPr>
          <w:rStyle w:val="66"/>
          <w:rFonts w:ascii="宋体" w:hAnsi="宋体"/>
          <w:szCs w:val="21"/>
          <w:highlight w:val="none"/>
        </w:rPr>
        <w:t>8.2招标答疑会会议纪要将在提交投标文件截止时间15日前在</w:t>
      </w:r>
      <w:r>
        <w:rPr>
          <w:rFonts w:hint="eastAsia" w:ascii="宋体" w:eastAsia="宋体" w:cs="宋体"/>
          <w:szCs w:val="21"/>
          <w:highlight w:val="none"/>
          <w:u w:val="single"/>
          <w:lang w:bidi="ar-SA"/>
        </w:rPr>
        <w:t xml:space="preserve">        </w:t>
      </w:r>
      <w:r>
        <w:rPr>
          <w:rStyle w:val="66"/>
          <w:rFonts w:ascii="宋体" w:hAnsi="宋体"/>
          <w:szCs w:val="21"/>
          <w:highlight w:val="none"/>
        </w:rPr>
        <w:t>交易平台 “项目答疑纪要”专区公开发布。答疑纪要一经在</w:t>
      </w:r>
      <w:r>
        <w:rPr>
          <w:rFonts w:hint="eastAsia" w:ascii="宋体" w:eastAsia="宋体" w:cs="宋体"/>
          <w:szCs w:val="21"/>
          <w:highlight w:val="none"/>
          <w:u w:val="single"/>
          <w:lang w:bidi="ar-SA"/>
        </w:rPr>
        <w:t xml:space="preserve">        </w:t>
      </w:r>
      <w:r>
        <w:rPr>
          <w:rStyle w:val="66"/>
          <w:rFonts w:ascii="宋体" w:hAnsi="宋体"/>
          <w:szCs w:val="21"/>
          <w:highlight w:val="none"/>
        </w:rPr>
        <w:t>交易平台发布，视作已发放给所有投标人。</w:t>
      </w:r>
    </w:p>
    <w:p w14:paraId="6C3E9953">
      <w:pPr>
        <w:pBdr>
          <w:bottom w:val="single" w:color="000000" w:sz="6" w:space="1"/>
        </w:pBdr>
        <w:spacing w:line="360" w:lineRule="auto"/>
        <w:ind w:firstLine="422" w:firstLineChars="200"/>
        <w:rPr>
          <w:rStyle w:val="66"/>
          <w:rFonts w:ascii="宋体" w:hAnsi="宋体"/>
          <w:szCs w:val="21"/>
          <w:highlight w:val="none"/>
        </w:rPr>
      </w:pPr>
      <w:r>
        <w:rPr>
          <w:rStyle w:val="66"/>
          <w:rFonts w:ascii="宋体" w:hAnsi="宋体"/>
          <w:b/>
          <w:szCs w:val="21"/>
          <w:highlight w:val="none"/>
        </w:rPr>
        <w:t>现文：</w:t>
      </w:r>
      <w:r>
        <w:rPr>
          <w:rStyle w:val="66"/>
          <w:rFonts w:ascii="宋体" w:hAnsi="宋体"/>
          <w:szCs w:val="21"/>
          <w:highlight w:val="none"/>
        </w:rPr>
        <w:t>8.2招标答疑会会议纪要将在提交投标文件截止时间15日前在</w:t>
      </w:r>
      <w:r>
        <w:rPr>
          <w:rStyle w:val="66"/>
          <w:rFonts w:ascii="宋体" w:hAnsi="宋体"/>
          <w:szCs w:val="21"/>
          <w:highlight w:val="none"/>
          <w:u w:val="single"/>
        </w:rPr>
        <w:t>广州公共资源交易中心</w:t>
      </w:r>
      <w:r>
        <w:rPr>
          <w:rStyle w:val="66"/>
          <w:rFonts w:ascii="宋体" w:hAnsi="宋体"/>
          <w:szCs w:val="21"/>
          <w:highlight w:val="none"/>
        </w:rPr>
        <w:t>交易平台“项目答疑纪要”专区公开发布。答疑纪要一经在</w:t>
      </w:r>
      <w:r>
        <w:rPr>
          <w:rStyle w:val="66"/>
          <w:rFonts w:ascii="宋体" w:hAnsi="宋体"/>
          <w:szCs w:val="21"/>
          <w:highlight w:val="none"/>
          <w:u w:val="single"/>
        </w:rPr>
        <w:t>广州公共资源交易中心</w:t>
      </w:r>
      <w:r>
        <w:rPr>
          <w:rStyle w:val="66"/>
          <w:rFonts w:ascii="宋体" w:hAnsi="宋体"/>
          <w:szCs w:val="21"/>
          <w:highlight w:val="none"/>
        </w:rPr>
        <w:t>交易平台发布，视作已发放给所有投标人。</w:t>
      </w:r>
    </w:p>
    <w:p w14:paraId="48F103A5">
      <w:pPr>
        <w:spacing w:line="360" w:lineRule="auto"/>
        <w:ind w:firstLine="422" w:firstLineChars="200"/>
        <w:rPr>
          <w:rStyle w:val="66"/>
          <w:rFonts w:ascii="宋体" w:hAnsi="宋体"/>
          <w:b/>
          <w:szCs w:val="21"/>
          <w:highlight w:val="none"/>
        </w:rPr>
      </w:pPr>
      <w:r>
        <w:rPr>
          <w:rStyle w:val="66"/>
          <w:rFonts w:ascii="宋体" w:hAnsi="宋体"/>
          <w:b/>
          <w:szCs w:val="21"/>
          <w:highlight w:val="none"/>
        </w:rPr>
        <w:t>条款号：9.2          修改类型：修改</w:t>
      </w:r>
    </w:p>
    <w:p w14:paraId="3B19005C">
      <w:pPr>
        <w:spacing w:line="360" w:lineRule="auto"/>
        <w:ind w:firstLine="422" w:firstLineChars="200"/>
        <w:rPr>
          <w:rStyle w:val="66"/>
          <w:rFonts w:ascii="宋体" w:hAnsi="宋体"/>
          <w:b/>
          <w:szCs w:val="21"/>
          <w:highlight w:val="none"/>
        </w:rPr>
      </w:pPr>
      <w:r>
        <w:rPr>
          <w:rStyle w:val="66"/>
          <w:rFonts w:ascii="宋体" w:hAnsi="宋体"/>
          <w:b/>
          <w:szCs w:val="21"/>
          <w:highlight w:val="none"/>
        </w:rPr>
        <w:t>原文：</w:t>
      </w:r>
      <w:r>
        <w:rPr>
          <w:rStyle w:val="66"/>
          <w:rFonts w:ascii="宋体" w:hAnsi="宋体"/>
          <w:szCs w:val="21"/>
          <w:highlight w:val="none"/>
        </w:rPr>
        <w:t>9.2招标文件的澄清或修改将在</w:t>
      </w:r>
      <w:r>
        <w:rPr>
          <w:rFonts w:hint="eastAsia" w:ascii="宋体" w:eastAsia="宋体" w:cs="宋体"/>
          <w:szCs w:val="21"/>
          <w:highlight w:val="none"/>
          <w:u w:val="single"/>
          <w:lang w:bidi="ar-SA"/>
        </w:rPr>
        <w:t xml:space="preserve">        </w:t>
      </w:r>
      <w:r>
        <w:rPr>
          <w:rStyle w:val="66"/>
          <w:rFonts w:ascii="宋体" w:hAnsi="宋体"/>
          <w:szCs w:val="21"/>
          <w:highlight w:val="none"/>
        </w:rPr>
        <w:t>交易平台“项目答疑纪要”专区公开发布。答疑纪要一经在</w:t>
      </w:r>
      <w:r>
        <w:rPr>
          <w:rFonts w:hint="eastAsia" w:ascii="宋体" w:eastAsia="宋体" w:cs="宋体"/>
          <w:szCs w:val="21"/>
          <w:highlight w:val="none"/>
          <w:u w:val="single"/>
          <w:lang w:bidi="ar-SA"/>
        </w:rPr>
        <w:t xml:space="preserve">        </w:t>
      </w:r>
      <w:r>
        <w:rPr>
          <w:rStyle w:val="66"/>
          <w:rFonts w:ascii="宋体" w:hAnsi="宋体"/>
          <w:szCs w:val="21"/>
          <w:highlight w:val="none"/>
        </w:rPr>
        <w:t>交易平台发布，视作已发放给所有投标人，以</w:t>
      </w:r>
      <w:r>
        <w:rPr>
          <w:rFonts w:hint="eastAsia" w:ascii="宋体" w:eastAsia="宋体" w:cs="宋体"/>
          <w:szCs w:val="21"/>
          <w:highlight w:val="none"/>
          <w:u w:val="single"/>
          <w:lang w:bidi="ar-SA"/>
        </w:rPr>
        <w:t xml:space="preserve">        </w:t>
      </w:r>
      <w:r>
        <w:rPr>
          <w:rStyle w:val="66"/>
          <w:rFonts w:ascii="宋体" w:hAnsi="宋体"/>
          <w:szCs w:val="21"/>
          <w:highlight w:val="none"/>
        </w:rPr>
        <w:t>交易平台上网发布时间作为送达时间。</w:t>
      </w:r>
    </w:p>
    <w:p w14:paraId="2BB30706">
      <w:pPr>
        <w:pBdr>
          <w:bottom w:val="single" w:color="000000" w:sz="6" w:space="1"/>
        </w:pBdr>
        <w:spacing w:line="360" w:lineRule="auto"/>
        <w:ind w:firstLine="422" w:firstLineChars="200"/>
        <w:rPr>
          <w:rStyle w:val="66"/>
          <w:rFonts w:ascii="宋体" w:hAnsi="宋体"/>
          <w:szCs w:val="21"/>
          <w:highlight w:val="none"/>
        </w:rPr>
      </w:pPr>
      <w:r>
        <w:rPr>
          <w:rStyle w:val="66"/>
          <w:rFonts w:ascii="宋体" w:hAnsi="宋体"/>
          <w:b/>
          <w:szCs w:val="21"/>
          <w:highlight w:val="none"/>
        </w:rPr>
        <w:t>现文：</w:t>
      </w:r>
      <w:r>
        <w:rPr>
          <w:rStyle w:val="66"/>
          <w:rFonts w:ascii="宋体" w:hAnsi="宋体"/>
          <w:szCs w:val="21"/>
          <w:highlight w:val="none"/>
        </w:rPr>
        <w:t>9.2招标文件的澄清或修改将在</w:t>
      </w:r>
      <w:r>
        <w:rPr>
          <w:rStyle w:val="66"/>
          <w:rFonts w:ascii="宋体" w:hAnsi="宋体"/>
          <w:szCs w:val="21"/>
          <w:highlight w:val="none"/>
          <w:u w:val="single"/>
        </w:rPr>
        <w:t>广州公共资源交易中心</w:t>
      </w:r>
      <w:r>
        <w:rPr>
          <w:rStyle w:val="66"/>
          <w:rFonts w:ascii="宋体" w:hAnsi="宋体"/>
          <w:szCs w:val="21"/>
          <w:highlight w:val="none"/>
        </w:rPr>
        <w:t>交易平台“项目答疑纪要”专区公开发布。答疑纪要一经在</w:t>
      </w:r>
      <w:r>
        <w:rPr>
          <w:rStyle w:val="66"/>
          <w:rFonts w:ascii="宋体" w:hAnsi="宋体"/>
          <w:szCs w:val="21"/>
          <w:highlight w:val="none"/>
          <w:u w:val="single"/>
        </w:rPr>
        <w:t>广州公共资源交易中心</w:t>
      </w:r>
      <w:r>
        <w:rPr>
          <w:rStyle w:val="66"/>
          <w:rFonts w:ascii="宋体" w:hAnsi="宋体"/>
          <w:szCs w:val="21"/>
          <w:highlight w:val="none"/>
        </w:rPr>
        <w:t>交易平台发布，视作已发放给所有投标人，以</w:t>
      </w:r>
      <w:r>
        <w:rPr>
          <w:rStyle w:val="66"/>
          <w:rFonts w:ascii="宋体" w:hAnsi="宋体"/>
          <w:szCs w:val="21"/>
          <w:highlight w:val="none"/>
          <w:u w:val="single"/>
        </w:rPr>
        <w:t>广州公共资源交易中心</w:t>
      </w:r>
      <w:r>
        <w:rPr>
          <w:rStyle w:val="66"/>
          <w:rFonts w:ascii="宋体" w:hAnsi="宋体"/>
          <w:szCs w:val="21"/>
          <w:highlight w:val="none"/>
        </w:rPr>
        <w:t>交易平台上网发布时间作为送达时间。</w:t>
      </w:r>
    </w:p>
    <w:p w14:paraId="6EEBA89C">
      <w:pPr>
        <w:spacing w:line="360" w:lineRule="auto"/>
        <w:ind w:firstLine="422" w:firstLineChars="200"/>
        <w:rPr>
          <w:rStyle w:val="66"/>
          <w:rFonts w:ascii="宋体" w:hAnsi="宋体"/>
          <w:b/>
          <w:szCs w:val="21"/>
          <w:highlight w:val="none"/>
        </w:rPr>
      </w:pPr>
      <w:r>
        <w:rPr>
          <w:rStyle w:val="66"/>
          <w:rFonts w:ascii="宋体" w:hAnsi="宋体"/>
          <w:b/>
          <w:szCs w:val="21"/>
          <w:highlight w:val="none"/>
        </w:rPr>
        <w:t>条款号：11.2          修改类型：修改</w:t>
      </w:r>
    </w:p>
    <w:p w14:paraId="33D00EBD">
      <w:pPr>
        <w:spacing w:line="360" w:lineRule="auto"/>
        <w:ind w:firstLine="422" w:firstLineChars="200"/>
        <w:rPr>
          <w:rStyle w:val="66"/>
          <w:rFonts w:ascii="宋体" w:hAnsi="宋体"/>
          <w:bCs/>
          <w:szCs w:val="21"/>
          <w:highlight w:val="none"/>
        </w:rPr>
      </w:pPr>
      <w:r>
        <w:rPr>
          <w:rStyle w:val="66"/>
          <w:rFonts w:ascii="宋体" w:hAnsi="宋体"/>
          <w:b/>
          <w:szCs w:val="21"/>
          <w:highlight w:val="none"/>
        </w:rPr>
        <w:t>原文：</w:t>
      </w:r>
      <w:r>
        <w:rPr>
          <w:rStyle w:val="66"/>
          <w:rFonts w:ascii="宋体" w:hAnsi="宋体"/>
          <w:bCs/>
          <w:szCs w:val="21"/>
          <w:highlight w:val="none"/>
        </w:rPr>
        <w:t>11.2投标文件技术标部分主要包括下列内容</w:t>
      </w:r>
      <w:r>
        <w:rPr>
          <w:rStyle w:val="66"/>
          <w:rFonts w:hint="eastAsia" w:ascii="宋体" w:hAnsi="宋体"/>
          <w:bCs/>
          <w:szCs w:val="21"/>
          <w:highlight w:val="none"/>
        </w:rPr>
        <w:t>：</w:t>
      </w:r>
    </w:p>
    <w:p w14:paraId="7085CE0E">
      <w:pPr>
        <w:spacing w:line="360" w:lineRule="auto"/>
        <w:ind w:firstLine="420" w:firstLineChars="200"/>
        <w:rPr>
          <w:rStyle w:val="66"/>
          <w:rFonts w:ascii="宋体" w:hAnsi="宋体"/>
          <w:bCs/>
          <w:szCs w:val="21"/>
          <w:highlight w:val="none"/>
        </w:rPr>
      </w:pPr>
      <w:r>
        <w:rPr>
          <w:rStyle w:val="66"/>
          <w:rFonts w:ascii="宋体" w:hAnsi="宋体"/>
          <w:bCs/>
          <w:szCs w:val="21"/>
          <w:highlight w:val="none"/>
        </w:rPr>
        <w:t>11.2.1 技术投标文件</w:t>
      </w:r>
      <w:r>
        <w:rPr>
          <w:rStyle w:val="66"/>
          <w:rFonts w:ascii="宋体" w:hAnsi="宋体"/>
          <w:szCs w:val="21"/>
          <w:highlight w:val="none"/>
        </w:rPr>
        <w:t>(按招标文件的要求填写)</w:t>
      </w:r>
      <w:r>
        <w:rPr>
          <w:rStyle w:val="66"/>
          <w:rFonts w:ascii="宋体" w:hAnsi="宋体"/>
          <w:bCs/>
          <w:szCs w:val="21"/>
          <w:highlight w:val="none"/>
        </w:rPr>
        <w:t>；</w:t>
      </w:r>
    </w:p>
    <w:p w14:paraId="0ED780CB">
      <w:pPr>
        <w:spacing w:line="360" w:lineRule="auto"/>
        <w:ind w:firstLine="420" w:firstLineChars="200"/>
        <w:rPr>
          <w:rStyle w:val="66"/>
          <w:rFonts w:ascii="宋体" w:hAnsi="宋体"/>
          <w:bCs/>
          <w:szCs w:val="21"/>
          <w:highlight w:val="none"/>
        </w:rPr>
      </w:pPr>
      <w:r>
        <w:rPr>
          <w:rStyle w:val="66"/>
          <w:rFonts w:ascii="宋体" w:hAnsi="宋体"/>
          <w:bCs/>
          <w:szCs w:val="21"/>
          <w:highlight w:val="none"/>
        </w:rPr>
        <w:t>11.2.2 资格审查文件：</w:t>
      </w:r>
    </w:p>
    <w:p w14:paraId="6A659FB2">
      <w:pPr>
        <w:spacing w:line="360" w:lineRule="auto"/>
        <w:ind w:firstLine="420" w:firstLineChars="200"/>
        <w:rPr>
          <w:rFonts w:ascii="宋体" w:hAnsi="宋体"/>
          <w:bCs/>
          <w:szCs w:val="21"/>
          <w:highlight w:val="none"/>
        </w:rPr>
      </w:pPr>
      <w:r>
        <w:rPr>
          <w:rFonts w:hint="eastAsia" w:ascii="宋体" w:hAnsi="宋体"/>
          <w:bCs/>
          <w:szCs w:val="21"/>
          <w:highlight w:val="none"/>
        </w:rPr>
        <w:t>（1）投标人声明；</w:t>
      </w:r>
    </w:p>
    <w:p w14:paraId="2E7D3A36">
      <w:pPr>
        <w:spacing w:line="360" w:lineRule="auto"/>
        <w:ind w:firstLine="420" w:firstLineChars="200"/>
        <w:rPr>
          <w:rFonts w:ascii="宋体" w:hAnsi="宋体"/>
          <w:bCs/>
          <w:szCs w:val="21"/>
          <w:highlight w:val="none"/>
        </w:rPr>
      </w:pPr>
      <w:r>
        <w:rPr>
          <w:rFonts w:hint="eastAsia" w:ascii="宋体" w:hAnsi="宋体"/>
          <w:bCs/>
          <w:szCs w:val="21"/>
          <w:highlight w:val="none"/>
        </w:rPr>
        <w:t>（2）法定代表人证明书、法定代表人签字或盖章的本投标文件授权委托证明书；</w:t>
      </w:r>
    </w:p>
    <w:p w14:paraId="75377F40">
      <w:pPr>
        <w:spacing w:line="360" w:lineRule="auto"/>
        <w:ind w:firstLine="420" w:firstLineChars="200"/>
        <w:rPr>
          <w:rFonts w:ascii="宋体" w:hAnsi="宋体"/>
          <w:bCs/>
          <w:szCs w:val="21"/>
          <w:highlight w:val="none"/>
        </w:rPr>
      </w:pPr>
      <w:r>
        <w:rPr>
          <w:rFonts w:hint="eastAsia" w:ascii="宋体" w:hAnsi="宋体"/>
          <w:bCs/>
          <w:szCs w:val="21"/>
          <w:highlight w:val="none"/>
        </w:rPr>
        <w:t>（3）企业营业执照（取自平台内上传件）；</w:t>
      </w:r>
    </w:p>
    <w:p w14:paraId="1300CE79">
      <w:pPr>
        <w:spacing w:line="360" w:lineRule="auto"/>
        <w:ind w:firstLine="420" w:firstLineChars="200"/>
        <w:rPr>
          <w:rFonts w:ascii="宋体" w:hAnsi="宋体"/>
          <w:bCs/>
          <w:szCs w:val="21"/>
          <w:highlight w:val="none"/>
        </w:rPr>
      </w:pPr>
      <w:r>
        <w:rPr>
          <w:rFonts w:hint="eastAsia" w:ascii="宋体" w:hAnsi="宋体"/>
          <w:bCs/>
          <w:szCs w:val="21"/>
          <w:highlight w:val="none"/>
        </w:rPr>
        <w:t>（4）企业资质证书（取自平台内上传件）；</w:t>
      </w:r>
    </w:p>
    <w:p w14:paraId="7BA7803D">
      <w:pPr>
        <w:spacing w:line="360" w:lineRule="auto"/>
        <w:ind w:firstLine="420" w:firstLineChars="200"/>
        <w:rPr>
          <w:rFonts w:ascii="宋体" w:hAnsi="宋体"/>
          <w:bCs/>
          <w:szCs w:val="21"/>
          <w:highlight w:val="none"/>
        </w:rPr>
      </w:pPr>
      <w:r>
        <w:rPr>
          <w:rFonts w:hint="eastAsia" w:ascii="宋体" w:hAnsi="宋体"/>
          <w:bCs/>
          <w:szCs w:val="21"/>
          <w:highlight w:val="none"/>
        </w:rPr>
        <w:t>（5）建筑施工企业安全生产许可证（取自平台内上传件）；</w:t>
      </w:r>
    </w:p>
    <w:p w14:paraId="6C39F458">
      <w:pPr>
        <w:spacing w:line="360" w:lineRule="auto"/>
        <w:ind w:firstLine="420" w:firstLineChars="200"/>
        <w:rPr>
          <w:rFonts w:ascii="宋体" w:hAnsi="宋体"/>
          <w:bCs/>
          <w:szCs w:val="21"/>
          <w:highlight w:val="none"/>
        </w:rPr>
      </w:pPr>
      <w:r>
        <w:rPr>
          <w:rFonts w:hint="eastAsia" w:ascii="宋体" w:hAnsi="宋体"/>
          <w:bCs/>
          <w:szCs w:val="21"/>
          <w:highlight w:val="none"/>
        </w:rPr>
        <w:t>（6）项目负责人（按网上投标登记时选择拟投标的项目负责人）；</w:t>
      </w:r>
    </w:p>
    <w:p w14:paraId="33E74B8B">
      <w:pPr>
        <w:spacing w:line="360" w:lineRule="auto"/>
        <w:ind w:firstLine="420" w:firstLineChars="200"/>
        <w:rPr>
          <w:rFonts w:ascii="宋体" w:hAnsi="宋体"/>
          <w:bCs/>
          <w:szCs w:val="21"/>
          <w:highlight w:val="none"/>
        </w:rPr>
      </w:pPr>
      <w:r>
        <w:rPr>
          <w:rFonts w:hint="eastAsia" w:ascii="宋体" w:hAnsi="宋体"/>
          <w:bCs/>
          <w:szCs w:val="21"/>
          <w:highlight w:val="none"/>
        </w:rPr>
        <w:t>（7）专职安全员（按网上投标登记时选择拟投标的专职安全员）；</w:t>
      </w:r>
    </w:p>
    <w:p w14:paraId="3ABF07C7">
      <w:pPr>
        <w:spacing w:line="360" w:lineRule="auto"/>
        <w:ind w:firstLine="420" w:firstLineChars="200"/>
        <w:rPr>
          <w:rFonts w:ascii="宋体" w:hAnsi="宋体"/>
          <w:bCs/>
          <w:szCs w:val="21"/>
          <w:highlight w:val="none"/>
        </w:rPr>
      </w:pPr>
      <w:r>
        <w:rPr>
          <w:rFonts w:hint="eastAsia" w:ascii="宋体" w:hAnsi="宋体"/>
          <w:bCs/>
          <w:szCs w:val="21"/>
          <w:highlight w:val="none"/>
        </w:rPr>
        <w:t>（8）拟委托技术负责人的相关证书、资料（具体要求由招标人明确）；</w:t>
      </w:r>
    </w:p>
    <w:p w14:paraId="200B1F29">
      <w:pPr>
        <w:spacing w:line="360" w:lineRule="auto"/>
        <w:ind w:firstLine="420" w:firstLineChars="200"/>
        <w:rPr>
          <w:rFonts w:ascii="宋体" w:hAnsi="宋体"/>
          <w:bCs/>
          <w:szCs w:val="21"/>
          <w:highlight w:val="none"/>
        </w:rPr>
      </w:pPr>
      <w:r>
        <w:rPr>
          <w:rFonts w:hint="eastAsia" w:ascii="宋体" w:hAnsi="宋体"/>
          <w:bCs/>
          <w:szCs w:val="21"/>
          <w:highlight w:val="none"/>
        </w:rPr>
        <w:t xml:space="preserve">（9）拟委派项目负责人的建造师注册证书或小型项目负责人相关证明（取自平台内上传件）； </w:t>
      </w:r>
    </w:p>
    <w:p w14:paraId="6E2E76D5">
      <w:pPr>
        <w:spacing w:line="360" w:lineRule="auto"/>
        <w:ind w:firstLine="420" w:firstLineChars="200"/>
        <w:rPr>
          <w:rFonts w:ascii="宋体" w:hAnsi="宋体"/>
          <w:bCs/>
          <w:szCs w:val="21"/>
          <w:highlight w:val="none"/>
        </w:rPr>
      </w:pPr>
      <w:r>
        <w:rPr>
          <w:rFonts w:hint="eastAsia" w:ascii="宋体" w:hAnsi="宋体"/>
          <w:bCs/>
          <w:szCs w:val="21"/>
          <w:highlight w:val="none"/>
        </w:rPr>
        <w:t>（10）项目负责人安全培训考核合格证明或在有效期内的安全考核合格证书（B类）或建筑施工企业项目负责人安全生产考核合格证书（取自平台内上传件）；</w:t>
      </w:r>
    </w:p>
    <w:p w14:paraId="2FF2AFDD">
      <w:pPr>
        <w:spacing w:line="360" w:lineRule="auto"/>
        <w:ind w:firstLine="420" w:firstLineChars="200"/>
        <w:rPr>
          <w:rFonts w:ascii="宋体" w:hAnsi="宋体"/>
          <w:bCs/>
          <w:szCs w:val="21"/>
          <w:highlight w:val="none"/>
        </w:rPr>
      </w:pPr>
      <w:r>
        <w:rPr>
          <w:rFonts w:hint="eastAsia" w:ascii="宋体" w:hAnsi="宋体"/>
          <w:bCs/>
          <w:szCs w:val="21"/>
          <w:highlight w:val="none"/>
        </w:rPr>
        <w:t>（11）专职安全员须具有在有效期内的安全考核合格证书（C类）或建筑施工企业专职安全生产管理人员安全生产考核合格证书（取自平台内上传件）；</w:t>
      </w:r>
    </w:p>
    <w:p w14:paraId="57D0B815">
      <w:pPr>
        <w:spacing w:line="360" w:lineRule="auto"/>
        <w:ind w:firstLine="420" w:firstLineChars="200"/>
        <w:rPr>
          <w:rFonts w:ascii="宋体" w:hAnsi="宋体"/>
          <w:bCs/>
          <w:szCs w:val="21"/>
          <w:highlight w:val="none"/>
        </w:rPr>
      </w:pPr>
      <w:r>
        <w:rPr>
          <w:rFonts w:hint="eastAsia" w:ascii="宋体" w:hAnsi="宋体"/>
          <w:bCs/>
          <w:szCs w:val="21"/>
          <w:highlight w:val="none"/>
        </w:rPr>
        <w:t>（12）用于资格审查的业绩（设置业绩要求时选择此项，投标人</w:t>
      </w:r>
      <w:r>
        <w:rPr>
          <w:rFonts w:hint="eastAsia" w:ascii="宋体" w:hAnsi="宋体"/>
          <w:szCs w:val="21"/>
          <w:highlight w:val="none"/>
        </w:rPr>
        <w:t>须提供类似工程业绩的项目名称及项目编号，具体格式由招标人自定</w:t>
      </w:r>
      <w:r>
        <w:rPr>
          <w:rFonts w:hint="eastAsia" w:ascii="宋体" w:hAnsi="宋体"/>
          <w:bCs/>
          <w:szCs w:val="21"/>
          <w:highlight w:val="none"/>
        </w:rPr>
        <w:t>）；</w:t>
      </w:r>
    </w:p>
    <w:p w14:paraId="26A87C19">
      <w:pPr>
        <w:spacing w:line="360" w:lineRule="auto"/>
        <w:ind w:firstLine="420" w:firstLineChars="200"/>
        <w:rPr>
          <w:rFonts w:ascii="宋体" w:hAnsi="宋体"/>
          <w:bCs/>
          <w:szCs w:val="21"/>
          <w:highlight w:val="none"/>
        </w:rPr>
      </w:pPr>
      <w:r>
        <w:rPr>
          <w:rFonts w:hint="eastAsia" w:ascii="宋体" w:hAnsi="宋体"/>
          <w:bCs/>
          <w:szCs w:val="21"/>
          <w:highlight w:val="none"/>
        </w:rPr>
        <w:t>（13）资格审查前，投标人须在广州市住房和城乡建设局建立企业信用档案，拟担任本工程项目负责人、专职安全员须是本企业信用档案中的在册人员；</w:t>
      </w:r>
    </w:p>
    <w:p w14:paraId="7C861F14">
      <w:pPr>
        <w:spacing w:line="360" w:lineRule="auto"/>
        <w:ind w:firstLine="420" w:firstLineChars="200"/>
        <w:rPr>
          <w:rFonts w:ascii="宋体" w:hAnsi="宋体"/>
          <w:bCs/>
          <w:szCs w:val="21"/>
          <w:highlight w:val="none"/>
        </w:rPr>
      </w:pPr>
      <w:r>
        <w:rPr>
          <w:rFonts w:hint="eastAsia" w:ascii="宋体" w:hAnsi="宋体"/>
          <w:bCs/>
          <w:szCs w:val="21"/>
          <w:highlight w:val="none"/>
        </w:rPr>
        <w:t>（14）列明主办单位的联合体工作协议（采用联合体投标时需递交，投标人拟任本工程项目负责人应为联合体主办方信用档案中的在册人员，</w:t>
      </w:r>
      <w:r>
        <w:rPr>
          <w:rFonts w:hint="eastAsia" w:ascii="宋体" w:hAnsi="宋体"/>
          <w:szCs w:val="21"/>
          <w:highlight w:val="none"/>
        </w:rPr>
        <w:t>联合体工作协议应明确约定各方拟承担的工作和责任</w:t>
      </w:r>
      <w:r>
        <w:rPr>
          <w:rFonts w:hint="eastAsia" w:ascii="宋体" w:hAnsi="宋体"/>
          <w:bCs/>
          <w:szCs w:val="21"/>
          <w:highlight w:val="none"/>
        </w:rPr>
        <w:t xml:space="preserve">）； </w:t>
      </w:r>
    </w:p>
    <w:p w14:paraId="01985AE7">
      <w:pPr>
        <w:spacing w:line="360" w:lineRule="auto"/>
        <w:ind w:firstLine="420" w:firstLineChars="200"/>
        <w:rPr>
          <w:rStyle w:val="66"/>
          <w:rFonts w:ascii="宋体" w:hAnsi="宋体"/>
          <w:bCs/>
          <w:szCs w:val="21"/>
          <w:highlight w:val="none"/>
        </w:rPr>
      </w:pPr>
      <w:r>
        <w:rPr>
          <w:rFonts w:hint="eastAsia" w:ascii="宋体" w:hAnsi="宋体"/>
          <w:bCs/>
          <w:szCs w:val="21"/>
          <w:highlight w:val="none"/>
        </w:rPr>
        <w:t>（15）</w:t>
      </w:r>
      <w:r>
        <w:rPr>
          <w:rFonts w:hint="eastAsia" w:ascii="宋体" w:hAnsi="宋体"/>
          <w:szCs w:val="21"/>
          <w:highlight w:val="none"/>
        </w:rPr>
        <w:t>投标人具有在广州地区可使用适合本工程的机械设备的证明文件（提供沥青摊铺机自有发票或权属证明及设备现场全貌彩照（彩照须能反映其规格型号））。（含有市政道路面层沥青摊铺且沥青摊铺占预计发包价50%或以上的大、中修市政公用工程需提供该项内容的证明文件）。</w:t>
      </w:r>
    </w:p>
    <w:p w14:paraId="248DDDB5">
      <w:pPr>
        <w:spacing w:line="360" w:lineRule="auto"/>
        <w:ind w:firstLine="420" w:firstLineChars="200"/>
        <w:rPr>
          <w:rStyle w:val="66"/>
          <w:rFonts w:ascii="宋体" w:hAnsi="宋体"/>
          <w:bCs/>
          <w:szCs w:val="21"/>
          <w:highlight w:val="none"/>
        </w:rPr>
      </w:pPr>
      <w:r>
        <w:rPr>
          <w:rStyle w:val="66"/>
          <w:rFonts w:ascii="宋体" w:hAnsi="宋体"/>
          <w:szCs w:val="21"/>
          <w:highlight w:val="none"/>
        </w:rPr>
        <w:t>11.2.3项目管理机构配备。</w:t>
      </w:r>
    </w:p>
    <w:p w14:paraId="0AF6267D">
      <w:pPr>
        <w:spacing w:line="360" w:lineRule="auto"/>
        <w:ind w:firstLine="420" w:firstLineChars="200"/>
        <w:rPr>
          <w:rFonts w:ascii="宋体" w:hAnsi="宋体"/>
          <w:bCs/>
          <w:szCs w:val="21"/>
          <w:highlight w:val="none"/>
        </w:rPr>
      </w:pPr>
      <w:r>
        <w:rPr>
          <w:rFonts w:hint="eastAsia" w:ascii="宋体" w:hAnsi="宋体"/>
          <w:szCs w:val="21"/>
          <w:highlight w:val="none"/>
        </w:rPr>
        <w:t>（1）投标人应列出该项目工程的施工组织机构构成和画出机构框架图及其负责人；</w:t>
      </w:r>
    </w:p>
    <w:p w14:paraId="5B5DD7C9">
      <w:pPr>
        <w:spacing w:line="360" w:lineRule="auto"/>
        <w:ind w:firstLine="420" w:firstLineChars="200"/>
        <w:rPr>
          <w:rFonts w:ascii="宋体" w:hAnsi="宋体"/>
          <w:bCs/>
          <w:szCs w:val="21"/>
          <w:highlight w:val="none"/>
        </w:rPr>
      </w:pPr>
      <w:r>
        <w:rPr>
          <w:rFonts w:hint="eastAsia" w:ascii="宋体" w:hAnsi="宋体"/>
          <w:szCs w:val="21"/>
          <w:highlight w:val="none"/>
        </w:rPr>
        <w:t>（2）投标人应详细列出该施工组织机构中主要成员的名单、简历资料、职务职称和在本项目中拟担任的职务等资料，并附上有关证明材料扫描件；</w:t>
      </w:r>
    </w:p>
    <w:p w14:paraId="2C4B2791">
      <w:pPr>
        <w:spacing w:line="360" w:lineRule="auto"/>
        <w:ind w:firstLine="420" w:firstLineChars="200"/>
        <w:rPr>
          <w:rStyle w:val="66"/>
          <w:rFonts w:ascii="宋体" w:hAnsi="宋体"/>
          <w:bCs/>
          <w:szCs w:val="21"/>
          <w:highlight w:val="none"/>
        </w:rPr>
      </w:pPr>
      <w:r>
        <w:rPr>
          <w:rFonts w:hint="eastAsia" w:ascii="宋体" w:hAnsi="宋体"/>
          <w:szCs w:val="21"/>
          <w:highlight w:val="none"/>
        </w:rPr>
        <w:t>（3）其他辅助说明资料。</w:t>
      </w:r>
    </w:p>
    <w:p w14:paraId="7DC5ADA9">
      <w:pPr>
        <w:spacing w:line="360" w:lineRule="auto"/>
        <w:ind w:firstLine="420" w:firstLineChars="200"/>
        <w:rPr>
          <w:rStyle w:val="66"/>
          <w:rFonts w:ascii="宋体" w:hAnsi="宋体"/>
          <w:bCs/>
          <w:szCs w:val="21"/>
          <w:highlight w:val="none"/>
        </w:rPr>
      </w:pPr>
      <w:r>
        <w:rPr>
          <w:rStyle w:val="66"/>
          <w:rFonts w:ascii="宋体" w:hAnsi="宋体"/>
          <w:szCs w:val="21"/>
          <w:highlight w:val="none"/>
        </w:rPr>
        <w:t>11.2.4投标人在广州市可使用适合本工程的机械设备（附：机械设备为自有或租赁的说明；及承诺机械设备如属于租赁的，其租赁是不属于重复租赁）。</w:t>
      </w:r>
    </w:p>
    <w:p w14:paraId="4789D886">
      <w:pPr>
        <w:spacing w:line="360" w:lineRule="auto"/>
        <w:ind w:firstLine="420" w:firstLineChars="200"/>
        <w:rPr>
          <w:rStyle w:val="66"/>
          <w:rFonts w:ascii="宋体" w:hAnsi="宋体"/>
          <w:bCs/>
          <w:szCs w:val="21"/>
          <w:highlight w:val="none"/>
        </w:rPr>
      </w:pPr>
      <w:r>
        <w:rPr>
          <w:rStyle w:val="66"/>
          <w:rFonts w:ascii="宋体" w:hAnsi="宋体"/>
          <w:szCs w:val="21"/>
          <w:highlight w:val="none"/>
        </w:rPr>
        <w:t>11.2.5施工组织设计或施工方案。</w:t>
      </w:r>
    </w:p>
    <w:p w14:paraId="12ADB2C1">
      <w:pPr>
        <w:spacing w:line="360" w:lineRule="auto"/>
        <w:ind w:firstLine="420" w:firstLineChars="200"/>
        <w:rPr>
          <w:rStyle w:val="66"/>
          <w:rFonts w:ascii="宋体" w:hAnsi="宋体"/>
          <w:bCs/>
          <w:szCs w:val="21"/>
          <w:highlight w:val="none"/>
        </w:rPr>
      </w:pPr>
      <w:r>
        <w:rPr>
          <w:rStyle w:val="66"/>
          <w:rFonts w:ascii="宋体" w:hAnsi="宋体"/>
          <w:szCs w:val="21"/>
          <w:highlight w:val="none"/>
        </w:rPr>
        <w:t>11.2.6按照</w:t>
      </w:r>
      <w:r>
        <w:rPr>
          <w:rStyle w:val="66"/>
          <w:rFonts w:ascii="宋体" w:hAnsi="宋体"/>
          <w:bCs/>
          <w:szCs w:val="21"/>
          <w:highlight w:val="none"/>
        </w:rPr>
        <w:t>招标文件要求</w:t>
      </w:r>
      <w:r>
        <w:rPr>
          <w:rStyle w:val="66"/>
          <w:rFonts w:ascii="宋体" w:hAnsi="宋体"/>
          <w:szCs w:val="21"/>
          <w:highlight w:val="none"/>
        </w:rPr>
        <w:t>填写的《参与编制技术标投标文件人员名单》。</w:t>
      </w:r>
    </w:p>
    <w:p w14:paraId="62ED3A43">
      <w:pPr>
        <w:spacing w:line="360" w:lineRule="auto"/>
        <w:ind w:firstLine="422" w:firstLineChars="200"/>
        <w:rPr>
          <w:rStyle w:val="66"/>
          <w:rFonts w:ascii="宋体" w:hAnsi="宋体"/>
          <w:bCs/>
          <w:szCs w:val="21"/>
          <w:highlight w:val="none"/>
        </w:rPr>
      </w:pPr>
      <w:r>
        <w:rPr>
          <w:rStyle w:val="66"/>
          <w:rFonts w:ascii="宋体" w:hAnsi="宋体"/>
          <w:b/>
          <w:szCs w:val="21"/>
          <w:highlight w:val="none"/>
        </w:rPr>
        <w:t>现文：</w:t>
      </w:r>
      <w:r>
        <w:rPr>
          <w:rStyle w:val="66"/>
          <w:rFonts w:ascii="宋体" w:hAnsi="宋体"/>
          <w:bCs/>
          <w:szCs w:val="21"/>
          <w:highlight w:val="none"/>
        </w:rPr>
        <w:t>11.2投标文件技术标部分主要包括下列内容:</w:t>
      </w:r>
    </w:p>
    <w:p w14:paraId="16908960">
      <w:pPr>
        <w:spacing w:line="360" w:lineRule="auto"/>
        <w:ind w:firstLine="420" w:firstLineChars="200"/>
        <w:rPr>
          <w:rStyle w:val="66"/>
          <w:rFonts w:ascii="宋体" w:hAnsi="宋体"/>
          <w:bCs/>
          <w:szCs w:val="21"/>
          <w:highlight w:val="none"/>
        </w:rPr>
      </w:pPr>
      <w:r>
        <w:rPr>
          <w:rStyle w:val="66"/>
          <w:rFonts w:ascii="宋体" w:hAnsi="宋体"/>
          <w:bCs/>
          <w:szCs w:val="21"/>
          <w:highlight w:val="none"/>
        </w:rPr>
        <w:t>11.2.1 技术投标文件</w:t>
      </w:r>
      <w:r>
        <w:rPr>
          <w:rStyle w:val="66"/>
          <w:rFonts w:ascii="宋体" w:hAnsi="宋体"/>
          <w:szCs w:val="21"/>
          <w:highlight w:val="none"/>
        </w:rPr>
        <w:t>(按招标文件的要求填写)</w:t>
      </w:r>
      <w:r>
        <w:rPr>
          <w:rStyle w:val="66"/>
          <w:rFonts w:ascii="宋体" w:hAnsi="宋体"/>
          <w:bCs/>
          <w:szCs w:val="21"/>
          <w:highlight w:val="none"/>
        </w:rPr>
        <w:t>；</w:t>
      </w:r>
    </w:p>
    <w:p w14:paraId="12F426F7">
      <w:pPr>
        <w:spacing w:line="360" w:lineRule="auto"/>
        <w:ind w:firstLine="420" w:firstLineChars="200"/>
        <w:rPr>
          <w:rStyle w:val="66"/>
          <w:rFonts w:ascii="宋体" w:hAnsi="宋体"/>
          <w:bCs/>
          <w:szCs w:val="21"/>
          <w:highlight w:val="none"/>
          <w:u w:val="single"/>
        </w:rPr>
      </w:pPr>
      <w:r>
        <w:rPr>
          <w:rStyle w:val="66"/>
          <w:rFonts w:ascii="宋体" w:hAnsi="宋体"/>
          <w:bCs/>
          <w:szCs w:val="21"/>
          <w:highlight w:val="none"/>
          <w:u w:val="single"/>
        </w:rPr>
        <w:t>（1）广州建设工程施工招标投标书</w:t>
      </w:r>
      <w:r>
        <w:rPr>
          <w:rStyle w:val="66"/>
          <w:rFonts w:hint="eastAsia" w:ascii="宋体" w:hAnsi="宋体"/>
          <w:bCs/>
          <w:szCs w:val="21"/>
          <w:highlight w:val="none"/>
          <w:u w:val="single"/>
        </w:rPr>
        <w:t>（技术标）</w:t>
      </w:r>
      <w:r>
        <w:rPr>
          <w:rStyle w:val="66"/>
          <w:rFonts w:hint="eastAsia"/>
          <w:highlight w:val="none"/>
          <w:u w:val="single"/>
        </w:rPr>
        <w:t>（按招标文件第四章技术标投标文件格式）</w:t>
      </w:r>
      <w:r>
        <w:rPr>
          <w:rStyle w:val="66"/>
          <w:rFonts w:ascii="宋体" w:hAnsi="宋体"/>
          <w:bCs/>
          <w:szCs w:val="21"/>
          <w:highlight w:val="none"/>
          <w:u w:val="single"/>
        </w:rPr>
        <w:t>；</w:t>
      </w:r>
    </w:p>
    <w:p w14:paraId="52E4982A">
      <w:pPr>
        <w:spacing w:line="360" w:lineRule="auto"/>
        <w:ind w:firstLine="420" w:firstLineChars="200"/>
        <w:rPr>
          <w:rStyle w:val="66"/>
          <w:rFonts w:ascii="宋体" w:hAnsi="宋体"/>
          <w:bCs/>
          <w:szCs w:val="21"/>
          <w:highlight w:val="none"/>
        </w:rPr>
      </w:pPr>
      <w:r>
        <w:rPr>
          <w:rStyle w:val="66"/>
          <w:rFonts w:ascii="宋体" w:hAnsi="宋体"/>
          <w:bCs/>
          <w:szCs w:val="21"/>
          <w:highlight w:val="none"/>
        </w:rPr>
        <w:t>11.2.2 资格审查文件：</w:t>
      </w:r>
    </w:p>
    <w:p w14:paraId="3982F248">
      <w:pPr>
        <w:spacing w:line="360" w:lineRule="auto"/>
        <w:ind w:firstLine="420" w:firstLineChars="200"/>
        <w:rPr>
          <w:rStyle w:val="66"/>
          <w:highlight w:val="none"/>
        </w:rPr>
      </w:pPr>
      <w:r>
        <w:rPr>
          <w:rStyle w:val="66"/>
          <w:rFonts w:ascii="宋体" w:hAnsi="宋体"/>
          <w:bCs/>
          <w:szCs w:val="21"/>
          <w:highlight w:val="none"/>
        </w:rPr>
        <w:t>（1）投标人声</w:t>
      </w:r>
      <w:r>
        <w:rPr>
          <w:rStyle w:val="66"/>
          <w:highlight w:val="none"/>
        </w:rPr>
        <w:t>明</w:t>
      </w:r>
      <w:r>
        <w:rPr>
          <w:rStyle w:val="66"/>
          <w:rFonts w:hint="eastAsia"/>
          <w:highlight w:val="none"/>
          <w:u w:val="single"/>
        </w:rPr>
        <w:t>（按招标公告附件一的格式及内容提交）</w:t>
      </w:r>
      <w:r>
        <w:rPr>
          <w:rStyle w:val="66"/>
          <w:highlight w:val="none"/>
          <w:u w:val="single"/>
        </w:rPr>
        <w:t>；</w:t>
      </w:r>
    </w:p>
    <w:p w14:paraId="127032AF">
      <w:pPr>
        <w:spacing w:line="360" w:lineRule="auto"/>
        <w:ind w:firstLine="420" w:firstLineChars="200"/>
        <w:rPr>
          <w:rStyle w:val="66"/>
          <w:highlight w:val="none"/>
        </w:rPr>
      </w:pPr>
      <w:r>
        <w:rPr>
          <w:rStyle w:val="66"/>
          <w:highlight w:val="none"/>
        </w:rPr>
        <w:t>（2）法定代表人证明书、法定代表人签字或盖章的本投标文件授权委托证明书；</w:t>
      </w:r>
    </w:p>
    <w:p w14:paraId="66C7F910">
      <w:pPr>
        <w:spacing w:line="360" w:lineRule="auto"/>
        <w:ind w:firstLine="420" w:firstLineChars="200"/>
        <w:rPr>
          <w:rStyle w:val="66"/>
          <w:highlight w:val="none"/>
        </w:rPr>
      </w:pPr>
      <w:r>
        <w:rPr>
          <w:rStyle w:val="66"/>
          <w:highlight w:val="none"/>
        </w:rPr>
        <w:t>（3）企业营业执照（取自</w:t>
      </w:r>
      <w:r>
        <w:rPr>
          <w:rStyle w:val="66"/>
          <w:rFonts w:hint="eastAsia"/>
          <w:highlight w:val="none"/>
        </w:rPr>
        <w:t>平台内</w:t>
      </w:r>
      <w:r>
        <w:rPr>
          <w:rStyle w:val="66"/>
          <w:highlight w:val="none"/>
        </w:rPr>
        <w:t>上传件）；</w:t>
      </w:r>
    </w:p>
    <w:p w14:paraId="27E63FD4">
      <w:pPr>
        <w:spacing w:line="360" w:lineRule="auto"/>
        <w:ind w:firstLine="420" w:firstLineChars="200"/>
        <w:rPr>
          <w:rStyle w:val="66"/>
          <w:highlight w:val="none"/>
        </w:rPr>
      </w:pPr>
      <w:r>
        <w:rPr>
          <w:rStyle w:val="66"/>
          <w:highlight w:val="none"/>
        </w:rPr>
        <w:t>（4）企业资质证书（取自</w:t>
      </w:r>
      <w:r>
        <w:rPr>
          <w:rStyle w:val="66"/>
          <w:rFonts w:hint="eastAsia"/>
          <w:highlight w:val="none"/>
        </w:rPr>
        <w:t>平台内</w:t>
      </w:r>
      <w:r>
        <w:rPr>
          <w:rStyle w:val="66"/>
          <w:highlight w:val="none"/>
        </w:rPr>
        <w:t>上传件）</w:t>
      </w:r>
      <w:r>
        <w:rPr>
          <w:rStyle w:val="66"/>
          <w:rFonts w:hint="eastAsia"/>
          <w:highlight w:val="none"/>
          <w:u w:val="single"/>
        </w:rPr>
        <w:t>、《承装(修、试)电力设施许可证》（扫描件或取自平台内上传件</w:t>
      </w:r>
      <w:r>
        <w:rPr>
          <w:rStyle w:val="66"/>
          <w:highlight w:val="none"/>
        </w:rPr>
        <w:t>）；</w:t>
      </w:r>
    </w:p>
    <w:p w14:paraId="0DAF56BD">
      <w:pPr>
        <w:spacing w:line="360" w:lineRule="auto"/>
        <w:ind w:firstLine="420" w:firstLineChars="200"/>
        <w:rPr>
          <w:rStyle w:val="66"/>
          <w:highlight w:val="none"/>
        </w:rPr>
      </w:pPr>
      <w:r>
        <w:rPr>
          <w:rStyle w:val="66"/>
          <w:highlight w:val="none"/>
        </w:rPr>
        <w:t>（5）建筑施工企业安全生产许可证（取自</w:t>
      </w:r>
      <w:r>
        <w:rPr>
          <w:rStyle w:val="66"/>
          <w:rFonts w:hint="eastAsia"/>
          <w:highlight w:val="none"/>
        </w:rPr>
        <w:t>平台内</w:t>
      </w:r>
      <w:r>
        <w:rPr>
          <w:rStyle w:val="66"/>
          <w:highlight w:val="none"/>
        </w:rPr>
        <w:t>上传件）；</w:t>
      </w:r>
    </w:p>
    <w:p w14:paraId="07B3C312">
      <w:pPr>
        <w:spacing w:line="360" w:lineRule="auto"/>
        <w:ind w:firstLine="420" w:firstLineChars="200"/>
        <w:rPr>
          <w:rStyle w:val="66"/>
          <w:highlight w:val="none"/>
        </w:rPr>
      </w:pPr>
      <w:r>
        <w:rPr>
          <w:rStyle w:val="66"/>
          <w:highlight w:val="none"/>
        </w:rPr>
        <w:t>（6）项目负责人（按网上投标登记时选择拟投标的项目负责人）；</w:t>
      </w:r>
    </w:p>
    <w:p w14:paraId="2E1C7B46">
      <w:pPr>
        <w:spacing w:line="360" w:lineRule="auto"/>
        <w:ind w:firstLine="420" w:firstLineChars="200"/>
        <w:rPr>
          <w:rStyle w:val="66"/>
          <w:highlight w:val="none"/>
        </w:rPr>
      </w:pPr>
      <w:r>
        <w:rPr>
          <w:rStyle w:val="66"/>
          <w:highlight w:val="none"/>
        </w:rPr>
        <w:t>（7）专职安全员（按网上投标登记时选择拟投标的专职安全员）；</w:t>
      </w:r>
    </w:p>
    <w:p w14:paraId="06B8C3B4">
      <w:pPr>
        <w:spacing w:line="360" w:lineRule="auto"/>
        <w:ind w:firstLine="420" w:firstLineChars="200"/>
        <w:rPr>
          <w:rStyle w:val="66"/>
          <w:highlight w:val="none"/>
        </w:rPr>
      </w:pPr>
      <w:r>
        <w:rPr>
          <w:rStyle w:val="66"/>
          <w:highlight w:val="none"/>
        </w:rPr>
        <w:t>（8）拟委托技术负责人的相关证书、资料</w:t>
      </w:r>
      <w:r>
        <w:rPr>
          <w:rStyle w:val="66"/>
          <w:rFonts w:hint="eastAsia"/>
          <w:highlight w:val="none"/>
          <w:u w:val="single"/>
        </w:rPr>
        <w:t>（按招标公告要求，原件扫描件）</w:t>
      </w:r>
      <w:r>
        <w:rPr>
          <w:rStyle w:val="66"/>
          <w:highlight w:val="none"/>
        </w:rPr>
        <w:t>；</w:t>
      </w:r>
    </w:p>
    <w:p w14:paraId="67C19CB6">
      <w:pPr>
        <w:spacing w:line="360" w:lineRule="auto"/>
        <w:ind w:firstLine="420" w:firstLineChars="200"/>
        <w:rPr>
          <w:rStyle w:val="66"/>
          <w:rFonts w:ascii="宋体" w:hAnsi="宋体"/>
          <w:bCs/>
          <w:szCs w:val="21"/>
          <w:highlight w:val="none"/>
        </w:rPr>
      </w:pPr>
      <w:r>
        <w:rPr>
          <w:rStyle w:val="66"/>
          <w:rFonts w:ascii="宋体" w:hAnsi="宋体"/>
          <w:bCs/>
          <w:szCs w:val="21"/>
          <w:highlight w:val="none"/>
        </w:rPr>
        <w:t>（9）</w:t>
      </w:r>
      <w:r>
        <w:rPr>
          <w:rStyle w:val="66"/>
          <w:rFonts w:hint="eastAsia" w:ascii="宋体" w:hAnsi="宋体"/>
          <w:bCs/>
          <w:szCs w:val="21"/>
          <w:highlight w:val="none"/>
        </w:rPr>
        <w:t>拟委派项目负责人的</w:t>
      </w:r>
      <w:r>
        <w:rPr>
          <w:rStyle w:val="66"/>
          <w:rFonts w:hint="eastAsia"/>
          <w:highlight w:val="none"/>
        </w:rPr>
        <w:t>建造师注册证书</w:t>
      </w:r>
      <w:r>
        <w:rPr>
          <w:rStyle w:val="66"/>
          <w:rFonts w:hint="eastAsia" w:ascii="宋体" w:hAnsi="宋体"/>
          <w:bCs/>
          <w:szCs w:val="21"/>
          <w:highlight w:val="none"/>
          <w:u w:val="none"/>
        </w:rPr>
        <w:t>（取自平台内上传件）</w:t>
      </w:r>
      <w:r>
        <w:rPr>
          <w:rStyle w:val="66"/>
          <w:rFonts w:ascii="宋体" w:hAnsi="宋体"/>
          <w:bCs/>
          <w:szCs w:val="21"/>
          <w:highlight w:val="none"/>
        </w:rPr>
        <w:t xml:space="preserve">； </w:t>
      </w:r>
    </w:p>
    <w:p w14:paraId="7B5027A8">
      <w:pPr>
        <w:spacing w:line="360" w:lineRule="auto"/>
        <w:ind w:firstLine="420" w:firstLineChars="200"/>
        <w:rPr>
          <w:rStyle w:val="66"/>
          <w:rFonts w:ascii="宋体" w:hAnsi="宋体"/>
          <w:bCs/>
          <w:szCs w:val="21"/>
          <w:highlight w:val="none"/>
        </w:rPr>
      </w:pPr>
      <w:r>
        <w:rPr>
          <w:rStyle w:val="66"/>
          <w:rFonts w:ascii="宋体" w:hAnsi="宋体"/>
          <w:bCs/>
          <w:szCs w:val="21"/>
          <w:highlight w:val="none"/>
        </w:rPr>
        <w:t>（10）</w:t>
      </w:r>
      <w:r>
        <w:rPr>
          <w:rStyle w:val="66"/>
          <w:rFonts w:hint="eastAsia" w:ascii="宋体" w:hAnsi="宋体"/>
          <w:bCs/>
          <w:szCs w:val="21"/>
          <w:highlight w:val="none"/>
        </w:rPr>
        <w:t>项目负责人安全</w:t>
      </w:r>
      <w:r>
        <w:rPr>
          <w:rStyle w:val="66"/>
          <w:rFonts w:hint="eastAsia" w:ascii="宋体" w:hAnsi="宋体"/>
          <w:szCs w:val="21"/>
          <w:highlight w:val="none"/>
          <w:u w:val="single"/>
        </w:rPr>
        <w:t>生产</w:t>
      </w:r>
      <w:r>
        <w:rPr>
          <w:rStyle w:val="66"/>
          <w:rFonts w:hint="eastAsia" w:ascii="宋体" w:hAnsi="宋体"/>
          <w:bCs/>
          <w:szCs w:val="21"/>
          <w:highlight w:val="none"/>
        </w:rPr>
        <w:t>考核合格证明或在有效期内的安全考核合格证书（B类）或建筑施工企业项目负责人安全生产考核合格证书（取自平台内上传件）</w:t>
      </w:r>
      <w:r>
        <w:rPr>
          <w:rStyle w:val="66"/>
          <w:rFonts w:ascii="宋体" w:hAnsi="宋体"/>
          <w:bCs/>
          <w:szCs w:val="21"/>
          <w:highlight w:val="none"/>
        </w:rPr>
        <w:t>；</w:t>
      </w:r>
    </w:p>
    <w:p w14:paraId="40CEB530">
      <w:pPr>
        <w:spacing w:line="360" w:lineRule="auto"/>
        <w:ind w:firstLine="420" w:firstLineChars="200"/>
        <w:rPr>
          <w:rStyle w:val="66"/>
          <w:rFonts w:ascii="宋体" w:hAnsi="宋体"/>
          <w:bCs/>
          <w:szCs w:val="21"/>
          <w:highlight w:val="none"/>
          <w:u w:val="single"/>
        </w:rPr>
      </w:pPr>
      <w:r>
        <w:rPr>
          <w:rStyle w:val="66"/>
          <w:rFonts w:ascii="宋体" w:hAnsi="宋体"/>
          <w:bCs/>
          <w:szCs w:val="21"/>
          <w:highlight w:val="none"/>
        </w:rPr>
        <w:t>（11）</w:t>
      </w:r>
      <w:r>
        <w:rPr>
          <w:rStyle w:val="66"/>
          <w:rFonts w:hint="eastAsia" w:ascii="宋体" w:hAnsi="宋体"/>
          <w:bCs/>
          <w:szCs w:val="21"/>
          <w:highlight w:val="none"/>
          <w:u w:val="single"/>
        </w:rPr>
        <w:t>专职安全员须具有在有效期内的安全生产考核合格证书（C类）或建筑施工企业专职安全生产管理人员安全生产考核合格证书（C3）（取自平台内上传件）</w:t>
      </w:r>
      <w:r>
        <w:rPr>
          <w:rStyle w:val="66"/>
          <w:rFonts w:ascii="宋体" w:hAnsi="宋体"/>
          <w:bCs/>
          <w:szCs w:val="21"/>
          <w:highlight w:val="none"/>
          <w:u w:val="single"/>
        </w:rPr>
        <w:t>；</w:t>
      </w:r>
    </w:p>
    <w:p w14:paraId="3F56A742">
      <w:pPr>
        <w:spacing w:line="360" w:lineRule="auto"/>
        <w:ind w:firstLine="420" w:firstLineChars="200"/>
        <w:rPr>
          <w:rStyle w:val="66"/>
          <w:rFonts w:ascii="宋体" w:hAnsi="宋体"/>
          <w:bCs/>
          <w:szCs w:val="21"/>
          <w:highlight w:val="none"/>
        </w:rPr>
      </w:pPr>
      <w:r>
        <w:rPr>
          <w:rStyle w:val="66"/>
          <w:rFonts w:ascii="宋体" w:hAnsi="宋体"/>
          <w:bCs/>
          <w:szCs w:val="21"/>
          <w:highlight w:val="none"/>
        </w:rPr>
        <w:t>（12）</w:t>
      </w:r>
      <w:r>
        <w:rPr>
          <w:rStyle w:val="66"/>
          <w:rFonts w:hint="eastAsia" w:ascii="宋体" w:hAnsi="宋体"/>
          <w:bCs/>
          <w:szCs w:val="21"/>
          <w:highlight w:val="none"/>
        </w:rPr>
        <w:t>资格审查前，投标人须在广州市住房和城乡建设局建立企业信用档案，拟担任本工程项目负责人、专职安全员须是本企业信用档案中的在册人员；</w:t>
      </w:r>
    </w:p>
    <w:p w14:paraId="63F47612">
      <w:pPr>
        <w:spacing w:line="360" w:lineRule="auto"/>
        <w:ind w:firstLine="420" w:firstLineChars="200"/>
        <w:rPr>
          <w:rStyle w:val="66"/>
          <w:rFonts w:ascii="宋体" w:hAnsi="宋体"/>
          <w:bCs/>
          <w:szCs w:val="21"/>
          <w:highlight w:val="none"/>
          <w:u w:val="single"/>
        </w:rPr>
      </w:pPr>
      <w:r>
        <w:rPr>
          <w:rStyle w:val="66"/>
          <w:rFonts w:ascii="宋体" w:hAnsi="宋体"/>
          <w:bCs/>
          <w:szCs w:val="21"/>
          <w:highlight w:val="none"/>
          <w:u w:val="single"/>
        </w:rPr>
        <w:t>（</w:t>
      </w:r>
      <w:r>
        <w:rPr>
          <w:rStyle w:val="66"/>
          <w:rFonts w:hint="eastAsia" w:ascii="宋体" w:hAnsi="宋体"/>
          <w:bCs/>
          <w:szCs w:val="21"/>
          <w:highlight w:val="none"/>
          <w:u w:val="single"/>
        </w:rPr>
        <w:t>13</w:t>
      </w:r>
      <w:r>
        <w:rPr>
          <w:rStyle w:val="66"/>
          <w:rFonts w:ascii="宋体" w:hAnsi="宋体"/>
          <w:bCs/>
          <w:szCs w:val="21"/>
          <w:highlight w:val="none"/>
          <w:u w:val="single"/>
        </w:rPr>
        <w:t>）投标人认为应提供的其他资料。</w:t>
      </w:r>
    </w:p>
    <w:p w14:paraId="6D3FB474">
      <w:pPr>
        <w:spacing w:line="360" w:lineRule="auto"/>
        <w:ind w:firstLine="420" w:firstLineChars="200"/>
        <w:rPr>
          <w:rStyle w:val="66"/>
          <w:rFonts w:ascii="宋体" w:hAnsi="宋体"/>
          <w:szCs w:val="21"/>
          <w:highlight w:val="none"/>
          <w:u w:val="single"/>
        </w:rPr>
      </w:pPr>
      <w:r>
        <w:rPr>
          <w:rStyle w:val="66"/>
          <w:rFonts w:ascii="宋体" w:hAnsi="宋体"/>
          <w:szCs w:val="21"/>
          <w:highlight w:val="none"/>
          <w:u w:val="single"/>
        </w:rPr>
        <w:t>11.2.3</w:t>
      </w:r>
      <w:r>
        <w:rPr>
          <w:rStyle w:val="66"/>
          <w:rFonts w:hint="eastAsia" w:ascii="宋体" w:hAnsi="宋体"/>
          <w:szCs w:val="21"/>
          <w:highlight w:val="none"/>
          <w:u w:val="single"/>
        </w:rPr>
        <w:t>按照招标文件要求填写的《参与编制技术标投标文件人员名单》（格式按招标文件第四章技术标投标文件格式）；</w:t>
      </w:r>
    </w:p>
    <w:p w14:paraId="133AAE2C">
      <w:pPr>
        <w:spacing w:line="360" w:lineRule="auto"/>
        <w:ind w:firstLine="420" w:firstLineChars="200"/>
        <w:rPr>
          <w:rStyle w:val="66"/>
          <w:rFonts w:ascii="宋体" w:hAnsi="宋体"/>
          <w:szCs w:val="21"/>
          <w:highlight w:val="none"/>
          <w:u w:val="single"/>
        </w:rPr>
      </w:pPr>
      <w:r>
        <w:rPr>
          <w:rStyle w:val="66"/>
          <w:rFonts w:hint="eastAsia" w:ascii="宋体" w:hAnsi="宋体"/>
          <w:szCs w:val="21"/>
          <w:highlight w:val="none"/>
          <w:u w:val="single"/>
        </w:rPr>
        <w:t>11.2.</w:t>
      </w:r>
      <w:r>
        <w:rPr>
          <w:rStyle w:val="66"/>
          <w:rFonts w:ascii="宋体" w:hAnsi="宋体"/>
          <w:szCs w:val="21"/>
          <w:highlight w:val="none"/>
          <w:u w:val="single"/>
        </w:rPr>
        <w:t>4</w:t>
      </w:r>
      <w:r>
        <w:rPr>
          <w:rStyle w:val="66"/>
          <w:rFonts w:hint="eastAsia" w:ascii="宋体" w:hAnsi="宋体"/>
          <w:szCs w:val="21"/>
          <w:highlight w:val="none"/>
          <w:u w:val="single"/>
        </w:rPr>
        <w:t>《项目管理机构人员配备表》；</w:t>
      </w:r>
    </w:p>
    <w:p w14:paraId="1ABF4850">
      <w:pPr>
        <w:spacing w:line="360" w:lineRule="auto"/>
        <w:ind w:firstLine="420" w:firstLineChars="200"/>
        <w:rPr>
          <w:highlight w:val="none"/>
          <w:u w:val="single"/>
        </w:rPr>
      </w:pPr>
      <w:r>
        <w:rPr>
          <w:rStyle w:val="66"/>
          <w:rFonts w:ascii="宋体" w:hAnsi="宋体"/>
          <w:szCs w:val="21"/>
          <w:highlight w:val="none"/>
          <w:u w:val="single"/>
        </w:rPr>
        <w:t>11.2.5</w:t>
      </w:r>
      <w:r>
        <w:rPr>
          <w:rFonts w:hint="eastAsia"/>
          <w:highlight w:val="none"/>
          <w:u w:val="single"/>
        </w:rPr>
        <w:t>按照招标文件《技术标详细审查评分表》提供的相关证明材料（如有）；</w:t>
      </w:r>
    </w:p>
    <w:p w14:paraId="6B4E7A15">
      <w:pPr>
        <w:pBdr>
          <w:bottom w:val="single" w:color="000000" w:sz="6" w:space="1"/>
        </w:pBdr>
        <w:spacing w:line="360" w:lineRule="auto"/>
        <w:ind w:firstLine="420" w:firstLineChars="200"/>
        <w:rPr>
          <w:highlight w:val="none"/>
        </w:rPr>
      </w:pPr>
      <w:r>
        <w:rPr>
          <w:rFonts w:hint="eastAsia" w:ascii="宋体" w:hAnsi="宋体" w:cs="宋体"/>
          <w:szCs w:val="21"/>
          <w:highlight w:val="none"/>
          <w:u w:val="single"/>
        </w:rPr>
        <w:t>11.2.6</w:t>
      </w:r>
      <w:r>
        <w:rPr>
          <w:rStyle w:val="66"/>
          <w:rFonts w:hint="eastAsia" w:ascii="宋体" w:hAnsi="宋体"/>
          <w:szCs w:val="21"/>
          <w:highlight w:val="none"/>
          <w:u w:val="single"/>
        </w:rPr>
        <w:t>其他投</w:t>
      </w:r>
      <w:r>
        <w:rPr>
          <w:rFonts w:hint="eastAsia"/>
          <w:highlight w:val="none"/>
          <w:u w:val="single"/>
        </w:rPr>
        <w:t>标人认为应该提供的资料。</w:t>
      </w:r>
    </w:p>
    <w:p w14:paraId="79BDA411">
      <w:pPr>
        <w:spacing w:line="360" w:lineRule="auto"/>
        <w:ind w:firstLine="422" w:firstLineChars="200"/>
        <w:rPr>
          <w:rFonts w:ascii="宋体" w:hAnsi="宋体"/>
          <w:b/>
          <w:szCs w:val="21"/>
          <w:highlight w:val="none"/>
        </w:rPr>
      </w:pPr>
      <w:r>
        <w:rPr>
          <w:rFonts w:hint="eastAsia" w:ascii="宋体" w:hAnsi="宋体"/>
          <w:b/>
          <w:szCs w:val="21"/>
          <w:highlight w:val="none"/>
        </w:rPr>
        <w:t>条款号：11.3.3修改类型：修改</w:t>
      </w:r>
    </w:p>
    <w:p w14:paraId="7CAAEC4B">
      <w:pPr>
        <w:pBdr>
          <w:bottom w:val="single" w:color="auto" w:sz="6" w:space="1"/>
        </w:pBdr>
        <w:tabs>
          <w:tab w:val="left" w:pos="6329"/>
        </w:tabs>
        <w:spacing w:line="360" w:lineRule="auto"/>
        <w:ind w:firstLine="422" w:firstLineChars="200"/>
        <w:rPr>
          <w:rFonts w:ascii="宋体" w:hAnsi="宋体"/>
          <w:bCs/>
          <w:szCs w:val="21"/>
          <w:highlight w:val="none"/>
        </w:rPr>
      </w:pPr>
      <w:r>
        <w:rPr>
          <w:rFonts w:hint="eastAsia" w:ascii="宋体" w:hAnsi="宋体"/>
          <w:b/>
          <w:szCs w:val="21"/>
          <w:highlight w:val="none"/>
        </w:rPr>
        <w:t>原文：</w:t>
      </w:r>
      <w:r>
        <w:rPr>
          <w:rFonts w:hint="eastAsia" w:ascii="宋体" w:hAnsi="宋体"/>
          <w:bCs/>
          <w:szCs w:val="21"/>
          <w:highlight w:val="none"/>
        </w:rPr>
        <w:t>11.3.3按照招标文件要求填写的《参与编制经济标投标文件人员名单》。</w:t>
      </w:r>
    </w:p>
    <w:p w14:paraId="45B2E61D">
      <w:pPr>
        <w:pBdr>
          <w:bottom w:val="single" w:color="auto" w:sz="6" w:space="1"/>
        </w:pBdr>
        <w:tabs>
          <w:tab w:val="left" w:pos="6329"/>
        </w:tabs>
        <w:spacing w:line="360" w:lineRule="auto"/>
        <w:ind w:firstLine="422" w:firstLineChars="200"/>
        <w:rPr>
          <w:rFonts w:ascii="宋体" w:hAnsi="宋体"/>
          <w:bCs/>
          <w:szCs w:val="21"/>
          <w:highlight w:val="none"/>
          <w:u w:val="single"/>
        </w:rPr>
      </w:pPr>
      <w:r>
        <w:rPr>
          <w:rFonts w:hint="eastAsia" w:ascii="宋体" w:hAnsi="宋体"/>
          <w:b/>
          <w:szCs w:val="21"/>
          <w:highlight w:val="none"/>
        </w:rPr>
        <w:t>现文：</w:t>
      </w:r>
      <w:r>
        <w:rPr>
          <w:rFonts w:hint="eastAsia" w:ascii="宋体" w:hAnsi="宋体"/>
          <w:bCs/>
          <w:szCs w:val="21"/>
          <w:highlight w:val="none"/>
        </w:rPr>
        <w:t>11.3.3按照招标文件要求填写的《参与编制经济标投标文件人员名单》</w:t>
      </w:r>
      <w:r>
        <w:rPr>
          <w:rFonts w:hint="eastAsia" w:ascii="宋体" w:hAnsi="宋体"/>
          <w:bCs/>
          <w:szCs w:val="21"/>
          <w:highlight w:val="none"/>
          <w:u w:val="single"/>
        </w:rPr>
        <w:t>、《对投标文件编制的承诺》、</w:t>
      </w:r>
      <w:r>
        <w:rPr>
          <w:rFonts w:hint="eastAsia"/>
          <w:highlight w:val="none"/>
          <w:u w:val="single"/>
        </w:rPr>
        <w:t>《</w:t>
      </w:r>
      <w:r>
        <w:rPr>
          <w:highlight w:val="none"/>
          <w:u w:val="single"/>
        </w:rPr>
        <w:t>广州建设工程施工招标投标书</w:t>
      </w:r>
      <w:r>
        <w:rPr>
          <w:rFonts w:hint="eastAsia"/>
          <w:highlight w:val="none"/>
          <w:u w:val="single"/>
        </w:rPr>
        <w:t>（经济标）》</w:t>
      </w:r>
      <w:r>
        <w:rPr>
          <w:rFonts w:hint="eastAsia" w:ascii="宋体" w:hAnsi="宋体"/>
          <w:bCs/>
          <w:szCs w:val="21"/>
          <w:highlight w:val="none"/>
          <w:u w:val="single"/>
        </w:rPr>
        <w:t>（按招标文件第四章经济标投标文件格式）。</w:t>
      </w:r>
    </w:p>
    <w:p w14:paraId="19C94ECF">
      <w:pPr>
        <w:spacing w:line="360" w:lineRule="auto"/>
        <w:ind w:firstLine="422" w:firstLineChars="200"/>
        <w:rPr>
          <w:rFonts w:ascii="宋体" w:hAnsi="宋体"/>
          <w:b/>
          <w:szCs w:val="21"/>
          <w:highlight w:val="none"/>
        </w:rPr>
      </w:pPr>
      <w:r>
        <w:rPr>
          <w:rFonts w:hint="eastAsia" w:ascii="宋体" w:hAnsi="宋体"/>
          <w:b/>
          <w:szCs w:val="21"/>
          <w:highlight w:val="none"/>
        </w:rPr>
        <w:t>条款号：11.3.5修改类型：增加</w:t>
      </w:r>
    </w:p>
    <w:p w14:paraId="18A1F4D4">
      <w:pPr>
        <w:pBdr>
          <w:bottom w:val="single" w:color="auto" w:sz="6" w:space="1"/>
        </w:pBdr>
        <w:tabs>
          <w:tab w:val="left" w:pos="6329"/>
        </w:tabs>
        <w:spacing w:line="360" w:lineRule="auto"/>
        <w:ind w:firstLine="422" w:firstLineChars="200"/>
        <w:rPr>
          <w:rFonts w:ascii="宋体" w:hAnsi="宋体"/>
          <w:bCs/>
          <w:szCs w:val="21"/>
          <w:highlight w:val="none"/>
        </w:rPr>
      </w:pPr>
      <w:r>
        <w:rPr>
          <w:rFonts w:hint="eastAsia" w:ascii="宋体" w:hAnsi="宋体"/>
          <w:b/>
          <w:szCs w:val="21"/>
          <w:highlight w:val="none"/>
        </w:rPr>
        <w:t>现文：</w:t>
      </w:r>
      <w:r>
        <w:rPr>
          <w:rFonts w:hint="eastAsia" w:ascii="宋体" w:hAnsi="宋体"/>
          <w:bCs/>
          <w:szCs w:val="21"/>
          <w:highlight w:val="none"/>
        </w:rPr>
        <w:t>11.3.5其他投标人认为应该提供的资料。</w:t>
      </w:r>
    </w:p>
    <w:p w14:paraId="4F3AC58E">
      <w:pPr>
        <w:spacing w:line="360" w:lineRule="auto"/>
        <w:ind w:firstLine="422" w:firstLineChars="200"/>
        <w:rPr>
          <w:rFonts w:ascii="宋体" w:hAnsi="宋体"/>
          <w:b/>
          <w:szCs w:val="21"/>
          <w:highlight w:val="none"/>
        </w:rPr>
      </w:pPr>
      <w:r>
        <w:rPr>
          <w:rFonts w:hint="eastAsia" w:ascii="宋体" w:hAnsi="宋体"/>
          <w:b/>
          <w:szCs w:val="21"/>
          <w:highlight w:val="none"/>
        </w:rPr>
        <w:t>条款号：1</w:t>
      </w:r>
      <w:r>
        <w:rPr>
          <w:rFonts w:ascii="宋体" w:hAnsi="宋体"/>
          <w:b/>
          <w:szCs w:val="21"/>
          <w:highlight w:val="none"/>
        </w:rPr>
        <w:t xml:space="preserve">2.2          </w:t>
      </w:r>
      <w:r>
        <w:rPr>
          <w:rFonts w:hint="eastAsia" w:ascii="宋体" w:hAnsi="宋体"/>
          <w:b/>
          <w:szCs w:val="21"/>
          <w:highlight w:val="none"/>
        </w:rPr>
        <w:t>修改类型：</w:t>
      </w:r>
      <w:r>
        <w:rPr>
          <w:rStyle w:val="66"/>
          <w:rFonts w:ascii="宋体" w:hAnsi="宋体"/>
          <w:b/>
          <w:szCs w:val="21"/>
          <w:highlight w:val="none"/>
        </w:rPr>
        <w:t>修改</w:t>
      </w:r>
    </w:p>
    <w:p w14:paraId="413E9F0A">
      <w:pPr>
        <w:pBdr>
          <w:bottom w:val="single" w:color="auto" w:sz="6" w:space="1"/>
        </w:pBdr>
        <w:tabs>
          <w:tab w:val="left" w:pos="6329"/>
        </w:tabs>
        <w:spacing w:line="360" w:lineRule="auto"/>
        <w:ind w:firstLine="422" w:firstLineChars="200"/>
        <w:rPr>
          <w:rFonts w:ascii="宋体" w:hAnsi="宋体"/>
          <w:b/>
          <w:szCs w:val="21"/>
          <w:highlight w:val="none"/>
        </w:rPr>
      </w:pPr>
      <w:r>
        <w:rPr>
          <w:rFonts w:hint="eastAsia" w:ascii="宋体" w:hAnsi="宋体"/>
          <w:b/>
          <w:szCs w:val="21"/>
          <w:highlight w:val="none"/>
        </w:rPr>
        <w:t>原文：</w:t>
      </w:r>
      <w:r>
        <w:rPr>
          <w:rFonts w:ascii="宋体" w:hAnsi="宋体"/>
          <w:bCs/>
          <w:szCs w:val="21"/>
          <w:highlight w:val="none"/>
        </w:rPr>
        <w:t xml:space="preserve">12.2 </w:t>
      </w:r>
      <w:r>
        <w:rPr>
          <w:rFonts w:hint="eastAsia" w:ascii="宋体" w:hAnsi="宋体"/>
          <w:szCs w:val="21"/>
          <w:highlight w:val="none"/>
        </w:rPr>
        <w:t>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cs="宋体"/>
          <w:sz w:val="21"/>
          <w:szCs w:val="21"/>
          <w:highlight w:val="none"/>
          <w:u w:val="single"/>
          <w:lang w:bidi="ar-SA"/>
        </w:rPr>
        <w:t xml:space="preserve">            </w:t>
      </w:r>
      <w:r>
        <w:rPr>
          <w:rFonts w:hint="eastAsia" w:ascii="宋体" w:cs="宋体"/>
          <w:sz w:val="21"/>
          <w:szCs w:val="21"/>
          <w:highlight w:val="none"/>
          <w:lang w:bidi="ar-SA"/>
        </w:rPr>
        <w:t xml:space="preserve"> </w:t>
      </w:r>
      <w:r>
        <w:rPr>
          <w:rFonts w:hint="eastAsia" w:ascii="宋体" w:hAnsi="宋体"/>
          <w:bCs/>
          <w:szCs w:val="21"/>
          <w:highlight w:val="none"/>
        </w:rPr>
        <w:t>。</w:t>
      </w:r>
    </w:p>
    <w:p w14:paraId="5DD58A7E">
      <w:pPr>
        <w:pBdr>
          <w:bottom w:val="single" w:color="auto" w:sz="6" w:space="1"/>
        </w:pBdr>
        <w:tabs>
          <w:tab w:val="left" w:pos="6329"/>
        </w:tabs>
        <w:spacing w:line="360" w:lineRule="auto"/>
        <w:ind w:firstLine="422" w:firstLineChars="200"/>
        <w:rPr>
          <w:rFonts w:ascii="宋体" w:hAnsi="宋体" w:cs="宋体"/>
          <w:szCs w:val="21"/>
          <w:highlight w:val="none"/>
        </w:rPr>
      </w:pPr>
      <w:r>
        <w:rPr>
          <w:rFonts w:hint="eastAsia" w:ascii="宋体" w:hAnsi="宋体"/>
          <w:b/>
          <w:szCs w:val="21"/>
          <w:highlight w:val="none"/>
        </w:rPr>
        <w:t>现文：</w:t>
      </w:r>
      <w:r>
        <w:rPr>
          <w:rFonts w:hint="eastAsia" w:ascii="宋体" w:hAnsi="宋体" w:cs="宋体"/>
          <w:szCs w:val="21"/>
          <w:highlight w:val="none"/>
        </w:rPr>
        <w:t>1</w:t>
      </w:r>
      <w:r>
        <w:rPr>
          <w:rFonts w:ascii="宋体" w:hAnsi="宋体" w:cs="宋体"/>
          <w:szCs w:val="21"/>
          <w:highlight w:val="none"/>
        </w:rPr>
        <w:t xml:space="preserve">2.2 </w:t>
      </w:r>
      <w:r>
        <w:rPr>
          <w:rFonts w:hint="eastAsia" w:ascii="宋体" w:hAnsi="宋体" w:cs="宋体"/>
          <w:szCs w:val="21"/>
          <w:highlight w:val="none"/>
        </w:rPr>
        <w:t>投标文件全部采用电子文档，投标文件所附证书证件均为原件</w:t>
      </w:r>
      <w:r>
        <w:rPr>
          <w:rFonts w:hint="eastAsia" w:ascii="宋体" w:hAnsi="宋体" w:cs="宋体"/>
          <w:szCs w:val="21"/>
          <w:highlight w:val="none"/>
          <w:u w:val="single"/>
        </w:rPr>
        <w:t>清晰</w:t>
      </w:r>
      <w:r>
        <w:rPr>
          <w:rFonts w:hint="eastAsia" w:ascii="宋体" w:hAnsi="宋体" w:cs="宋体"/>
          <w:szCs w:val="21"/>
          <w:highlight w:val="none"/>
        </w:rPr>
        <w:t>扫描件，并采用单位数字证书，按招标文件要求在相应位置加盖电子印章。投标文件中需个人签字或盖章的，</w:t>
      </w:r>
      <w:r>
        <w:rPr>
          <w:rFonts w:hint="eastAsia" w:ascii="宋体" w:hAnsi="宋体"/>
          <w:szCs w:val="21"/>
          <w:highlight w:val="none"/>
        </w:rPr>
        <w:t>应加盖个人电子印章或在线下完成后扫描上传</w:t>
      </w:r>
      <w:r>
        <w:rPr>
          <w:rFonts w:hint="eastAsia" w:ascii="宋体" w:hAnsi="宋体" w:cs="宋体"/>
          <w:szCs w:val="21"/>
          <w:highlight w:val="none"/>
        </w:rPr>
        <w:t>。按照交易平台关于全流程电子化项目的相关指南进行操作。详见：</w:t>
      </w:r>
      <w:r>
        <w:rPr>
          <w:rFonts w:hint="eastAsia" w:ascii="宋体" w:hAnsi="宋体" w:cs="宋体"/>
          <w:szCs w:val="21"/>
          <w:highlight w:val="none"/>
          <w:u w:val="single"/>
        </w:rPr>
        <w:t>广州公共资源交易中心网站最新指引。</w:t>
      </w:r>
    </w:p>
    <w:p w14:paraId="3BB98401">
      <w:pPr>
        <w:spacing w:line="360" w:lineRule="auto"/>
        <w:ind w:firstLine="422" w:firstLineChars="200"/>
        <w:rPr>
          <w:rStyle w:val="66"/>
          <w:rFonts w:ascii="宋体" w:hAnsi="宋体"/>
          <w:b/>
          <w:szCs w:val="21"/>
          <w:highlight w:val="none"/>
        </w:rPr>
      </w:pPr>
      <w:r>
        <w:rPr>
          <w:rStyle w:val="66"/>
          <w:rFonts w:ascii="宋体" w:hAnsi="宋体"/>
          <w:b/>
          <w:szCs w:val="21"/>
          <w:highlight w:val="none"/>
        </w:rPr>
        <w:t xml:space="preserve">条款号：12.3          </w:t>
      </w:r>
      <w:r>
        <w:rPr>
          <w:rStyle w:val="66"/>
          <w:rFonts w:hint="eastAsia" w:ascii="宋体" w:hAnsi="宋体"/>
          <w:b/>
          <w:szCs w:val="21"/>
          <w:highlight w:val="none"/>
        </w:rPr>
        <w:t>修</w:t>
      </w:r>
      <w:r>
        <w:rPr>
          <w:rStyle w:val="66"/>
          <w:rFonts w:ascii="宋体" w:hAnsi="宋体"/>
          <w:b/>
          <w:szCs w:val="21"/>
          <w:highlight w:val="none"/>
        </w:rPr>
        <w:t>改类型：修改</w:t>
      </w:r>
    </w:p>
    <w:p w14:paraId="6E354FC5">
      <w:pPr>
        <w:pStyle w:val="24"/>
        <w:spacing w:after="0" w:line="360" w:lineRule="auto"/>
        <w:ind w:firstLine="422" w:firstLineChars="200"/>
        <w:rPr>
          <w:rStyle w:val="66"/>
          <w:rFonts w:ascii="宋体" w:hAnsi="宋体"/>
          <w:sz w:val="21"/>
          <w:szCs w:val="21"/>
          <w:highlight w:val="none"/>
        </w:rPr>
      </w:pPr>
      <w:r>
        <w:rPr>
          <w:rStyle w:val="66"/>
          <w:rFonts w:ascii="宋体" w:hAnsi="宋体"/>
          <w:b/>
          <w:sz w:val="21"/>
          <w:szCs w:val="21"/>
          <w:highlight w:val="none"/>
        </w:rPr>
        <w:t>原文：</w:t>
      </w:r>
      <w:r>
        <w:rPr>
          <w:rStyle w:val="66"/>
          <w:rFonts w:ascii="宋体" w:hAnsi="宋体"/>
          <w:sz w:val="21"/>
          <w:szCs w:val="21"/>
          <w:highlight w:val="none"/>
        </w:rPr>
        <w:t>12.3</w:t>
      </w:r>
      <w:r>
        <w:rPr>
          <w:rStyle w:val="66"/>
          <w:rFonts w:ascii="宋体" w:hAnsi="宋体"/>
          <w:bCs/>
          <w:sz w:val="21"/>
          <w:szCs w:val="21"/>
          <w:highlight w:val="none"/>
        </w:rPr>
        <w:t>投标文件应按</w:t>
      </w:r>
      <w:r>
        <w:rPr>
          <w:rStyle w:val="66"/>
          <w:rFonts w:ascii="宋体" w:hAnsi="宋体"/>
          <w:sz w:val="21"/>
          <w:szCs w:val="21"/>
          <w:highlight w:val="none"/>
        </w:rPr>
        <w:t>照交易平台关于全流程电子化项目的相关指南进行编制，详见：</w:t>
      </w:r>
      <w:r>
        <w:rPr>
          <w:rFonts w:hint="eastAsia" w:ascii="宋体" w:cs="宋体"/>
          <w:sz w:val="21"/>
          <w:szCs w:val="21"/>
          <w:highlight w:val="none"/>
          <w:u w:val="single"/>
          <w:lang w:bidi="ar-SA"/>
        </w:rPr>
        <w:t xml:space="preserve">            </w:t>
      </w:r>
      <w:r>
        <w:rPr>
          <w:rStyle w:val="66"/>
          <w:rFonts w:ascii="宋体" w:hAnsi="宋体"/>
          <w:sz w:val="21"/>
          <w:szCs w:val="21"/>
          <w:highlight w:val="none"/>
        </w:rPr>
        <w:t>。</w:t>
      </w:r>
    </w:p>
    <w:p w14:paraId="6DCA4ACA">
      <w:pPr>
        <w:pStyle w:val="24"/>
        <w:spacing w:after="0" w:line="360" w:lineRule="auto"/>
        <w:ind w:firstLine="420" w:firstLineChars="200"/>
        <w:rPr>
          <w:rFonts w:ascii="宋体" w:hAnsi="宋体"/>
          <w:color w:val="000000"/>
          <w:sz w:val="21"/>
          <w:szCs w:val="21"/>
          <w:highlight w:val="none"/>
        </w:rPr>
      </w:pPr>
      <w:r>
        <w:rPr>
          <w:rFonts w:hint="eastAsia" w:ascii="宋体" w:hAnsi="宋体"/>
          <w:bCs/>
          <w:color w:val="000000"/>
          <w:sz w:val="21"/>
          <w:szCs w:val="21"/>
          <w:highlight w:val="none"/>
        </w:rPr>
        <w:t>如不按上述要求编制引起系统无法检索、读取相关信息的，其后果由投标人承担。</w:t>
      </w:r>
    </w:p>
    <w:p w14:paraId="7591205D">
      <w:pPr>
        <w:spacing w:line="360" w:lineRule="auto"/>
        <w:ind w:firstLine="422" w:firstLineChars="200"/>
        <w:rPr>
          <w:rStyle w:val="66"/>
          <w:rFonts w:ascii="宋体" w:hAnsi="宋体"/>
          <w:b/>
          <w:szCs w:val="21"/>
          <w:highlight w:val="none"/>
        </w:rPr>
      </w:pPr>
    </w:p>
    <w:p w14:paraId="45786E8F">
      <w:pPr>
        <w:pStyle w:val="24"/>
        <w:spacing w:after="0" w:line="360" w:lineRule="auto"/>
        <w:ind w:firstLine="422" w:firstLineChars="200"/>
        <w:rPr>
          <w:rFonts w:cs="宋体"/>
          <w:sz w:val="21"/>
          <w:szCs w:val="21"/>
          <w:highlight w:val="none"/>
          <w:u w:val="single"/>
        </w:rPr>
      </w:pPr>
      <w:r>
        <w:rPr>
          <w:rStyle w:val="66"/>
          <w:rFonts w:ascii="宋体" w:hAnsi="宋体"/>
          <w:b/>
          <w:sz w:val="21"/>
          <w:szCs w:val="21"/>
          <w:highlight w:val="none"/>
        </w:rPr>
        <w:t>现文：</w:t>
      </w:r>
      <w:r>
        <w:rPr>
          <w:rStyle w:val="66"/>
          <w:rFonts w:ascii="宋体" w:hAnsi="宋体"/>
          <w:sz w:val="21"/>
          <w:szCs w:val="21"/>
          <w:highlight w:val="none"/>
        </w:rPr>
        <w:t xml:space="preserve">12.3 </w:t>
      </w:r>
      <w:r>
        <w:rPr>
          <w:rStyle w:val="66"/>
          <w:rFonts w:ascii="宋体" w:hAnsi="宋体"/>
          <w:bCs/>
          <w:sz w:val="21"/>
          <w:szCs w:val="21"/>
          <w:highlight w:val="none"/>
        </w:rPr>
        <w:t>投标文件应按</w:t>
      </w:r>
      <w:r>
        <w:rPr>
          <w:rStyle w:val="66"/>
          <w:rFonts w:ascii="宋体" w:hAnsi="宋体"/>
          <w:sz w:val="21"/>
          <w:szCs w:val="21"/>
          <w:highlight w:val="none"/>
        </w:rPr>
        <w:t>照交易平台关于全流程电子化项目的相关指南进</w:t>
      </w:r>
      <w:r>
        <w:rPr>
          <w:rFonts w:cs="宋体"/>
          <w:sz w:val="21"/>
          <w:szCs w:val="21"/>
          <w:highlight w:val="none"/>
        </w:rPr>
        <w:t>行编制，详见：</w:t>
      </w:r>
      <w:r>
        <w:rPr>
          <w:rFonts w:hint="eastAsia" w:cs="宋体"/>
          <w:sz w:val="21"/>
          <w:szCs w:val="21"/>
          <w:highlight w:val="none"/>
          <w:u w:val="single"/>
        </w:rPr>
        <w:t>广州公共资源交易中心网站最新指引</w:t>
      </w:r>
      <w:r>
        <w:rPr>
          <w:rFonts w:cs="宋体"/>
          <w:sz w:val="21"/>
          <w:szCs w:val="21"/>
          <w:highlight w:val="none"/>
          <w:u w:val="single"/>
        </w:rPr>
        <w:t>。</w:t>
      </w:r>
    </w:p>
    <w:p w14:paraId="795CCF8A">
      <w:pPr>
        <w:pBdr>
          <w:bottom w:val="single" w:color="000000" w:sz="6" w:space="1"/>
        </w:pBdr>
        <w:spacing w:line="360" w:lineRule="auto"/>
        <w:ind w:firstLine="420" w:firstLineChars="200"/>
        <w:rPr>
          <w:rFonts w:cs="宋体"/>
          <w:szCs w:val="21"/>
          <w:highlight w:val="none"/>
        </w:rPr>
      </w:pPr>
      <w:r>
        <w:rPr>
          <w:rFonts w:hint="eastAsia" w:ascii="宋体" w:hAnsi="宋体"/>
          <w:bCs/>
          <w:color w:val="000000"/>
          <w:sz w:val="21"/>
          <w:szCs w:val="21"/>
          <w:highlight w:val="none"/>
        </w:rPr>
        <w:t>如不按上述要求编制引起系统无法检索、读取相关信息的，其后果由投标人承担。</w:t>
      </w:r>
    </w:p>
    <w:p w14:paraId="597F5703">
      <w:pPr>
        <w:spacing w:line="360" w:lineRule="auto"/>
        <w:ind w:firstLine="422" w:firstLineChars="200"/>
        <w:rPr>
          <w:rStyle w:val="66"/>
          <w:rFonts w:ascii="宋体" w:hAnsi="宋体"/>
          <w:b/>
          <w:szCs w:val="21"/>
          <w:highlight w:val="none"/>
        </w:rPr>
      </w:pPr>
      <w:r>
        <w:rPr>
          <w:rStyle w:val="66"/>
          <w:rFonts w:ascii="宋体" w:hAnsi="宋体"/>
          <w:b/>
          <w:szCs w:val="21"/>
          <w:highlight w:val="none"/>
        </w:rPr>
        <w:t>条款号：13.1          修改类型：修改</w:t>
      </w:r>
    </w:p>
    <w:p w14:paraId="2D7767B9">
      <w:pPr>
        <w:spacing w:line="360" w:lineRule="auto"/>
        <w:ind w:firstLine="422" w:firstLineChars="200"/>
        <w:rPr>
          <w:rStyle w:val="66"/>
          <w:rFonts w:ascii="宋体" w:hAnsi="宋体"/>
          <w:b/>
          <w:szCs w:val="21"/>
          <w:highlight w:val="none"/>
        </w:rPr>
      </w:pPr>
      <w:r>
        <w:rPr>
          <w:rStyle w:val="66"/>
          <w:rFonts w:ascii="宋体" w:hAnsi="宋体"/>
          <w:b/>
          <w:szCs w:val="21"/>
          <w:highlight w:val="none"/>
        </w:rPr>
        <w:t>原文：</w:t>
      </w:r>
      <w:r>
        <w:rPr>
          <w:rStyle w:val="66"/>
          <w:rFonts w:ascii="宋体" w:hAnsi="宋体"/>
          <w:szCs w:val="21"/>
          <w:highlight w:val="none"/>
        </w:rPr>
        <w:t>13.1本工程的投标报价采用投标须知前附表第12项所规定的方式。投标报价（含单价及总价）精确到“分”。</w:t>
      </w:r>
    </w:p>
    <w:p w14:paraId="19021406">
      <w:pPr>
        <w:pBdr>
          <w:bottom w:val="single" w:color="000000" w:sz="6" w:space="1"/>
        </w:pBdr>
        <w:spacing w:line="360" w:lineRule="auto"/>
        <w:ind w:firstLine="422" w:firstLineChars="200"/>
        <w:rPr>
          <w:rStyle w:val="66"/>
          <w:rFonts w:ascii="宋体" w:hAnsi="宋体"/>
          <w:szCs w:val="21"/>
          <w:highlight w:val="none"/>
          <w:u w:val="single"/>
        </w:rPr>
      </w:pPr>
      <w:r>
        <w:rPr>
          <w:rStyle w:val="66"/>
          <w:rFonts w:ascii="宋体" w:hAnsi="宋体"/>
          <w:b/>
          <w:szCs w:val="21"/>
          <w:highlight w:val="none"/>
        </w:rPr>
        <w:t>现文：</w:t>
      </w:r>
      <w:r>
        <w:rPr>
          <w:rStyle w:val="66"/>
          <w:rFonts w:ascii="宋体" w:hAnsi="宋体"/>
          <w:szCs w:val="21"/>
          <w:highlight w:val="none"/>
        </w:rPr>
        <w:t>13.1本工程的投标报价采用投标须知前附表第12项所规定的方式。投标报价（含单价及总价）精确到“分”。</w:t>
      </w:r>
      <w:r>
        <w:rPr>
          <w:rStyle w:val="66"/>
          <w:rFonts w:ascii="宋体" w:hAnsi="宋体"/>
          <w:szCs w:val="21"/>
          <w:highlight w:val="none"/>
          <w:u w:val="single"/>
        </w:rPr>
        <w:t>投标文件中的大写金额和小写金额不一致的，以大写金额为准。</w:t>
      </w:r>
    </w:p>
    <w:p w14:paraId="7418AAC7">
      <w:pPr>
        <w:spacing w:line="360" w:lineRule="auto"/>
        <w:ind w:firstLine="422" w:firstLineChars="200"/>
        <w:rPr>
          <w:rStyle w:val="66"/>
          <w:rFonts w:ascii="宋体" w:hAnsi="宋体"/>
          <w:b/>
          <w:szCs w:val="21"/>
          <w:highlight w:val="none"/>
        </w:rPr>
      </w:pPr>
      <w:r>
        <w:rPr>
          <w:rStyle w:val="66"/>
          <w:rFonts w:ascii="宋体" w:hAnsi="宋体"/>
          <w:b/>
          <w:szCs w:val="21"/>
          <w:highlight w:val="none"/>
        </w:rPr>
        <w:t>条款号：13.3          修改类型：修改</w:t>
      </w:r>
    </w:p>
    <w:p w14:paraId="639CAE9D">
      <w:pPr>
        <w:spacing w:line="360" w:lineRule="auto"/>
        <w:ind w:firstLine="422" w:firstLineChars="200"/>
        <w:rPr>
          <w:rStyle w:val="66"/>
          <w:rFonts w:ascii="宋体" w:hAnsi="宋体"/>
          <w:b/>
          <w:szCs w:val="21"/>
          <w:highlight w:val="none"/>
        </w:rPr>
      </w:pPr>
      <w:r>
        <w:rPr>
          <w:rStyle w:val="66"/>
          <w:rFonts w:ascii="宋体" w:hAnsi="宋体"/>
          <w:b/>
          <w:szCs w:val="21"/>
          <w:highlight w:val="none"/>
        </w:rPr>
        <w:t>原文：</w:t>
      </w:r>
      <w:r>
        <w:rPr>
          <w:rStyle w:val="66"/>
          <w:rFonts w:ascii="宋体" w:hAnsi="宋体"/>
          <w:szCs w:val="21"/>
          <w:highlight w:val="none"/>
        </w:rPr>
        <w:t>13.3</w:t>
      </w:r>
      <w:r>
        <w:rPr>
          <w:rStyle w:val="66"/>
          <w:rFonts w:hint="eastAsia" w:ascii="宋体" w:hAnsi="宋体"/>
          <w:szCs w:val="21"/>
          <w:highlight w:val="none"/>
        </w:rPr>
        <w:t>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264A309E">
      <w:pPr>
        <w:pBdr>
          <w:bottom w:val="single" w:color="000000" w:sz="6" w:space="1"/>
        </w:pBdr>
        <w:spacing w:line="360" w:lineRule="auto"/>
        <w:ind w:firstLine="422" w:firstLineChars="200"/>
        <w:rPr>
          <w:rStyle w:val="66"/>
          <w:rFonts w:ascii="宋体" w:hAnsi="宋体"/>
          <w:szCs w:val="21"/>
          <w:highlight w:val="none"/>
        </w:rPr>
      </w:pPr>
      <w:r>
        <w:rPr>
          <w:rStyle w:val="66"/>
          <w:rFonts w:ascii="宋体" w:hAnsi="宋体"/>
          <w:b/>
          <w:szCs w:val="21"/>
          <w:highlight w:val="none"/>
        </w:rPr>
        <w:t>现文：</w:t>
      </w:r>
      <w:r>
        <w:rPr>
          <w:rStyle w:val="66"/>
          <w:rFonts w:ascii="宋体" w:hAnsi="宋体"/>
          <w:szCs w:val="21"/>
          <w:highlight w:val="none"/>
        </w:rPr>
        <w:t>13.3</w:t>
      </w:r>
      <w:r>
        <w:rPr>
          <w:rFonts w:hint="eastAsia" w:ascii="宋体" w:hAnsi="宋体" w:cs="宋体"/>
          <w:szCs w:val="21"/>
          <w:highlight w:val="none"/>
        </w:rPr>
        <w:t>投标人的投标报价，应是按照投标须知前附表第8项的工期要求，在投标须知前附表第3项的建设地点，完成投标须知前附表第7项的招标范围内已由招标</w:t>
      </w:r>
      <w:r>
        <w:rPr>
          <w:rStyle w:val="66"/>
          <w:rFonts w:hint="eastAsia"/>
          <w:highlight w:val="none"/>
        </w:rPr>
        <w:t>人</w:t>
      </w:r>
      <w:r>
        <w:rPr>
          <w:rStyle w:val="66"/>
          <w:rFonts w:hint="eastAsia"/>
          <w:highlight w:val="none"/>
          <w:u w:val="single"/>
        </w:rPr>
        <w:t>提供的招标图纸（包括有关于本项目招标的相关资料）及制定的工程量清单列明工作的全部费用</w:t>
      </w:r>
      <w:r>
        <w:rPr>
          <w:rStyle w:val="66"/>
          <w:rFonts w:hint="eastAsia"/>
          <w:highlight w:val="none"/>
        </w:rPr>
        <w:t>，包括但不限于完成工作的成本、利润、税金、技术措施费、大型机械进出场费、风险费以及政策性</w:t>
      </w:r>
      <w:r>
        <w:rPr>
          <w:rFonts w:hint="eastAsia" w:ascii="宋体" w:hAnsi="宋体" w:cs="宋体"/>
          <w:szCs w:val="21"/>
          <w:highlight w:val="none"/>
        </w:rPr>
        <w:t>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26F0120C">
      <w:pPr>
        <w:spacing w:line="360" w:lineRule="auto"/>
        <w:ind w:firstLine="422" w:firstLineChars="200"/>
        <w:rPr>
          <w:rStyle w:val="66"/>
          <w:rFonts w:ascii="宋体" w:hAnsi="宋体"/>
          <w:b/>
          <w:szCs w:val="21"/>
          <w:highlight w:val="none"/>
        </w:rPr>
      </w:pPr>
      <w:r>
        <w:rPr>
          <w:rStyle w:val="66"/>
          <w:rFonts w:ascii="宋体" w:hAnsi="宋体"/>
          <w:b/>
          <w:szCs w:val="21"/>
          <w:highlight w:val="none"/>
        </w:rPr>
        <w:t>条款号：13.4          修改类型：修改</w:t>
      </w:r>
    </w:p>
    <w:p w14:paraId="00573D63">
      <w:pPr>
        <w:spacing w:line="360" w:lineRule="auto"/>
        <w:ind w:firstLine="422" w:firstLineChars="200"/>
        <w:rPr>
          <w:rStyle w:val="66"/>
          <w:rFonts w:ascii="宋体" w:hAnsi="宋体"/>
          <w:b/>
          <w:szCs w:val="21"/>
          <w:highlight w:val="none"/>
        </w:rPr>
      </w:pPr>
      <w:r>
        <w:rPr>
          <w:rStyle w:val="66"/>
          <w:rFonts w:ascii="宋体" w:hAnsi="宋体"/>
          <w:b/>
          <w:szCs w:val="21"/>
          <w:highlight w:val="none"/>
        </w:rPr>
        <w:t>原文：</w:t>
      </w:r>
      <w:r>
        <w:rPr>
          <w:rStyle w:val="66"/>
          <w:rFonts w:ascii="宋体" w:hAnsi="宋体"/>
          <w:szCs w:val="21"/>
          <w:highlight w:val="none"/>
        </w:rPr>
        <w:t>13.4</w:t>
      </w:r>
      <w:r>
        <w:rPr>
          <w:rStyle w:val="66"/>
          <w:rFonts w:hint="eastAsia" w:ascii="宋体" w:hAnsi="宋体"/>
          <w:szCs w:val="21"/>
          <w:highlight w:val="none"/>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2AA622E5">
      <w:pPr>
        <w:pBdr>
          <w:bottom w:val="single" w:color="000000" w:sz="6" w:space="1"/>
        </w:pBdr>
        <w:spacing w:line="360" w:lineRule="auto"/>
        <w:ind w:firstLine="422" w:firstLineChars="200"/>
        <w:rPr>
          <w:rStyle w:val="66"/>
          <w:rFonts w:ascii="宋体" w:hAnsi="宋体"/>
          <w:szCs w:val="21"/>
          <w:highlight w:val="none"/>
          <w:u w:val="single"/>
        </w:rPr>
      </w:pPr>
      <w:r>
        <w:rPr>
          <w:rStyle w:val="66"/>
          <w:rFonts w:ascii="宋体" w:hAnsi="宋体"/>
          <w:b/>
          <w:szCs w:val="21"/>
          <w:highlight w:val="none"/>
        </w:rPr>
        <w:t>现文：</w:t>
      </w:r>
      <w:r>
        <w:rPr>
          <w:rStyle w:val="66"/>
          <w:rFonts w:ascii="宋体" w:hAnsi="宋体"/>
          <w:szCs w:val="21"/>
          <w:highlight w:val="none"/>
        </w:rPr>
        <w:t>13.4</w:t>
      </w:r>
      <w:r>
        <w:rPr>
          <w:rFonts w:hint="eastAsia" w:ascii="宋体" w:hAnsi="宋体" w:cs="宋体"/>
          <w:szCs w:val="21"/>
          <w:highlight w:val="none"/>
        </w:rPr>
        <w:t>投标人</w:t>
      </w:r>
      <w:r>
        <w:rPr>
          <w:rStyle w:val="66"/>
          <w:rFonts w:hint="eastAsia"/>
          <w:highlight w:val="none"/>
        </w:rPr>
        <w:t>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w:t>
      </w:r>
      <w:r>
        <w:rPr>
          <w:rStyle w:val="66"/>
          <w:rFonts w:hint="eastAsia"/>
          <w:highlight w:val="none"/>
          <w:u w:val="single"/>
        </w:rPr>
        <w:t>按合同条款相关约定调整。</w:t>
      </w:r>
    </w:p>
    <w:p w14:paraId="532B722E">
      <w:pPr>
        <w:spacing w:line="360" w:lineRule="auto"/>
        <w:ind w:firstLine="422" w:firstLineChars="200"/>
        <w:rPr>
          <w:rStyle w:val="66"/>
          <w:rFonts w:ascii="宋体" w:hAnsi="宋体"/>
          <w:b/>
          <w:szCs w:val="21"/>
          <w:highlight w:val="none"/>
        </w:rPr>
      </w:pPr>
      <w:r>
        <w:rPr>
          <w:rStyle w:val="66"/>
          <w:rFonts w:ascii="宋体" w:hAnsi="宋体"/>
          <w:b/>
          <w:szCs w:val="21"/>
          <w:highlight w:val="none"/>
        </w:rPr>
        <w:t>条款号：13.5          修改类型：修改</w:t>
      </w:r>
    </w:p>
    <w:p w14:paraId="6259877D">
      <w:pPr>
        <w:spacing w:line="360" w:lineRule="auto"/>
        <w:ind w:firstLine="422" w:firstLineChars="200"/>
        <w:rPr>
          <w:rStyle w:val="66"/>
          <w:rFonts w:ascii="宋体" w:hAnsi="宋体"/>
          <w:b/>
          <w:szCs w:val="21"/>
          <w:highlight w:val="none"/>
        </w:rPr>
      </w:pPr>
      <w:r>
        <w:rPr>
          <w:rStyle w:val="66"/>
          <w:rFonts w:ascii="宋体" w:hAnsi="宋体"/>
          <w:b/>
          <w:szCs w:val="21"/>
          <w:highlight w:val="none"/>
        </w:rPr>
        <w:t>原文：</w:t>
      </w:r>
      <w:r>
        <w:rPr>
          <w:rStyle w:val="66"/>
          <w:rFonts w:ascii="宋体" w:hAnsi="宋体"/>
          <w:bCs/>
          <w:szCs w:val="21"/>
          <w:highlight w:val="none"/>
        </w:rPr>
        <w:t>13.5工程项目实施期间和结算时，招标文件工程量清单中漏列而由监理单位和招标人现场签证确认的工程项目、原设计没有而由招标人批准设计变更产生的工程项目，视为新增项目，按以下顺序确定价格：</w:t>
      </w:r>
    </w:p>
    <w:p w14:paraId="6ACB7C56">
      <w:pPr>
        <w:spacing w:line="360" w:lineRule="auto"/>
        <w:ind w:firstLine="420" w:firstLineChars="200"/>
        <w:rPr>
          <w:rStyle w:val="66"/>
          <w:rFonts w:ascii="宋体" w:hAnsi="宋体"/>
          <w:b/>
          <w:szCs w:val="21"/>
          <w:highlight w:val="none"/>
        </w:rPr>
      </w:pPr>
      <w:r>
        <w:rPr>
          <w:rStyle w:val="66"/>
          <w:rFonts w:ascii="宋体" w:hAnsi="宋体"/>
          <w:bCs/>
          <w:szCs w:val="21"/>
          <w:highlight w:val="none"/>
        </w:rPr>
        <w:t>13.5.1中标的投标文件工程量清单中已有相同项目的适用综合单价，则沿用；</w:t>
      </w:r>
    </w:p>
    <w:p w14:paraId="13B0E7D3">
      <w:pPr>
        <w:spacing w:line="360" w:lineRule="auto"/>
        <w:ind w:firstLine="420" w:firstLineChars="200"/>
        <w:rPr>
          <w:rStyle w:val="66"/>
          <w:rFonts w:ascii="宋体" w:hAnsi="宋体"/>
          <w:b/>
          <w:szCs w:val="21"/>
          <w:highlight w:val="none"/>
        </w:rPr>
      </w:pPr>
      <w:r>
        <w:rPr>
          <w:rStyle w:val="66"/>
          <w:rFonts w:ascii="宋体" w:hAnsi="宋体"/>
          <w:bCs/>
          <w:szCs w:val="21"/>
          <w:highlight w:val="none"/>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r>
        <w:rPr>
          <w:rStyle w:val="66"/>
          <w:rFonts w:hint="eastAsia" w:ascii="宋体" w:hAnsi="宋体"/>
          <w:bCs/>
          <w:szCs w:val="21"/>
          <w:highlight w:val="none"/>
        </w:rPr>
        <w:t>；</w:t>
      </w:r>
    </w:p>
    <w:p w14:paraId="457FDF3D">
      <w:pPr>
        <w:spacing w:line="360" w:lineRule="auto"/>
        <w:ind w:firstLine="420" w:firstLineChars="200"/>
        <w:rPr>
          <w:rStyle w:val="66"/>
          <w:rFonts w:ascii="宋体" w:hAnsi="宋体"/>
          <w:bCs/>
          <w:szCs w:val="21"/>
          <w:highlight w:val="none"/>
        </w:rPr>
      </w:pPr>
      <w:r>
        <w:rPr>
          <w:rStyle w:val="66"/>
          <w:rFonts w:ascii="宋体" w:hAnsi="宋体"/>
          <w:bCs/>
          <w:szCs w:val="21"/>
          <w:highlight w:val="none"/>
        </w:rPr>
        <w:t>13.5.3 中标的投标文件工程量清单中没有相同项目或类似项目的，如可套取相关定额，则以相关定额为基数下浮计算单价,下浮率为中标价相对于最高投标限价的下浮率（下浮率=(最高投标限价-中标价)/ 最高投标限价）</w:t>
      </w:r>
      <w:r>
        <w:rPr>
          <w:rStyle w:val="66"/>
          <w:rFonts w:hint="eastAsia" w:ascii="宋体" w:hAnsi="宋体"/>
          <w:bCs/>
          <w:szCs w:val="21"/>
          <w:highlight w:val="none"/>
        </w:rPr>
        <w:t>；</w:t>
      </w:r>
    </w:p>
    <w:p w14:paraId="2C693425">
      <w:pPr>
        <w:spacing w:line="360" w:lineRule="auto"/>
        <w:ind w:firstLine="420" w:firstLineChars="200"/>
        <w:rPr>
          <w:rStyle w:val="66"/>
          <w:rFonts w:ascii="宋体" w:hAnsi="宋体"/>
          <w:b/>
          <w:szCs w:val="21"/>
          <w:highlight w:val="none"/>
        </w:rPr>
      </w:pPr>
      <w:r>
        <w:rPr>
          <w:rStyle w:val="66"/>
          <w:rFonts w:ascii="宋体" w:hAnsi="宋体"/>
          <w:bCs/>
          <w:szCs w:val="21"/>
          <w:highlight w:val="none"/>
        </w:rPr>
        <w:t>13.5.4 如相关定额没有相应子目的，其计价方式由招标人在本招标文件第三章中另行规定。未规定的，中标后双方协商约定。</w:t>
      </w:r>
    </w:p>
    <w:p w14:paraId="22DD3F28">
      <w:pPr>
        <w:pBdr>
          <w:bottom w:val="single" w:color="000000" w:sz="6" w:space="1"/>
        </w:pBdr>
        <w:spacing w:line="360" w:lineRule="auto"/>
        <w:ind w:firstLine="422" w:firstLineChars="200"/>
        <w:rPr>
          <w:rStyle w:val="66"/>
          <w:rFonts w:ascii="宋体" w:hAnsi="宋体"/>
          <w:bCs/>
          <w:szCs w:val="21"/>
          <w:highlight w:val="none"/>
          <w:u w:val="single"/>
        </w:rPr>
      </w:pPr>
      <w:r>
        <w:rPr>
          <w:rStyle w:val="66"/>
          <w:rFonts w:ascii="宋体" w:hAnsi="宋体"/>
          <w:b/>
          <w:szCs w:val="21"/>
          <w:highlight w:val="none"/>
        </w:rPr>
        <w:t>现文：</w:t>
      </w:r>
      <w:r>
        <w:rPr>
          <w:rStyle w:val="66"/>
          <w:rFonts w:hint="eastAsia" w:ascii="宋体" w:hAnsi="宋体"/>
          <w:bCs/>
          <w:szCs w:val="21"/>
          <w:highlight w:val="none"/>
          <w:u w:val="single"/>
        </w:rPr>
        <w:t>13.5 变更结算方式按招标文件及施工合同相关规定执行。</w:t>
      </w:r>
    </w:p>
    <w:p w14:paraId="67CDE6DF">
      <w:pPr>
        <w:spacing w:line="360" w:lineRule="auto"/>
        <w:ind w:firstLine="422" w:firstLineChars="200"/>
        <w:rPr>
          <w:rStyle w:val="66"/>
          <w:rFonts w:ascii="宋体" w:hAnsi="宋体"/>
          <w:b/>
          <w:szCs w:val="21"/>
          <w:highlight w:val="none"/>
        </w:rPr>
      </w:pPr>
      <w:r>
        <w:rPr>
          <w:rStyle w:val="66"/>
          <w:rFonts w:ascii="宋体" w:hAnsi="宋体"/>
          <w:b/>
          <w:szCs w:val="21"/>
          <w:highlight w:val="none"/>
        </w:rPr>
        <w:t>条款号：1</w:t>
      </w:r>
      <w:r>
        <w:rPr>
          <w:rStyle w:val="66"/>
          <w:rFonts w:hint="eastAsia" w:ascii="宋体" w:hAnsi="宋体"/>
          <w:b/>
          <w:szCs w:val="21"/>
          <w:highlight w:val="none"/>
        </w:rPr>
        <w:t>3</w:t>
      </w:r>
      <w:r>
        <w:rPr>
          <w:rStyle w:val="66"/>
          <w:rFonts w:ascii="宋体" w:hAnsi="宋体"/>
          <w:b/>
          <w:szCs w:val="21"/>
          <w:highlight w:val="none"/>
        </w:rPr>
        <w:t>.</w:t>
      </w:r>
      <w:r>
        <w:rPr>
          <w:rStyle w:val="66"/>
          <w:rFonts w:hint="eastAsia" w:ascii="宋体" w:hAnsi="宋体"/>
          <w:b/>
          <w:szCs w:val="21"/>
          <w:highlight w:val="none"/>
        </w:rPr>
        <w:t>10</w:t>
      </w:r>
      <w:r>
        <w:rPr>
          <w:rStyle w:val="66"/>
          <w:rFonts w:ascii="宋体" w:hAnsi="宋体"/>
          <w:b/>
          <w:szCs w:val="21"/>
          <w:highlight w:val="none"/>
        </w:rPr>
        <w:t xml:space="preserve">          修改类型：</w:t>
      </w:r>
      <w:r>
        <w:rPr>
          <w:rStyle w:val="66"/>
          <w:rFonts w:hint="eastAsia" w:ascii="宋体" w:hAnsi="宋体"/>
          <w:b/>
          <w:szCs w:val="21"/>
          <w:highlight w:val="none"/>
        </w:rPr>
        <w:t>增加</w:t>
      </w:r>
    </w:p>
    <w:p w14:paraId="21DB0DC7">
      <w:pPr>
        <w:pBdr>
          <w:bottom w:val="single" w:color="000000" w:sz="6" w:space="1"/>
        </w:pBdr>
        <w:spacing w:line="360" w:lineRule="auto"/>
        <w:ind w:firstLine="422" w:firstLineChars="200"/>
        <w:rPr>
          <w:rFonts w:ascii="宋体" w:hAnsi="宋体"/>
          <w:bCs/>
          <w:szCs w:val="21"/>
          <w:highlight w:val="none"/>
        </w:rPr>
      </w:pPr>
      <w:r>
        <w:rPr>
          <w:rStyle w:val="66"/>
          <w:rFonts w:ascii="宋体" w:hAnsi="宋体"/>
          <w:b/>
          <w:szCs w:val="21"/>
          <w:highlight w:val="none"/>
        </w:rPr>
        <w:t>现文：</w:t>
      </w:r>
      <w:r>
        <w:rPr>
          <w:rFonts w:hint="eastAsia" w:ascii="宋体" w:hAnsi="宋体"/>
          <w:bCs/>
          <w:szCs w:val="21"/>
          <w:highlight w:val="none"/>
        </w:rPr>
        <w:t>13.10</w:t>
      </w:r>
      <w:r>
        <w:rPr>
          <w:rFonts w:hint="eastAsia" w:ascii="宋体" w:hAnsi="宋体"/>
          <w:szCs w:val="21"/>
          <w:highlight w:val="none"/>
          <w:u w:val="single"/>
        </w:rPr>
        <w:t>本项目执行中华人民共和国国家标准《建设工程工程量清单计价规范》（GB50500-2013）、《广东省住房和城乡建设厅关于营业税改征增值税后调整广东省建设工程计价依据的通知》（粤建市函[2016]1113号）、《广州市建设工程造价管理站关于营业税改征增值税后广州市建设工程计价有关问题的通知》（穗建造价[2016]31号）</w:t>
      </w:r>
      <w:r>
        <w:rPr>
          <w:rFonts w:ascii="宋体" w:hAnsi="宋体"/>
          <w:szCs w:val="21"/>
          <w:highlight w:val="none"/>
          <w:u w:val="single"/>
        </w:rPr>
        <w:t>。</w:t>
      </w:r>
    </w:p>
    <w:p w14:paraId="65121B29">
      <w:pPr>
        <w:spacing w:line="360" w:lineRule="auto"/>
        <w:ind w:firstLine="422" w:firstLineChars="200"/>
        <w:rPr>
          <w:rStyle w:val="66"/>
          <w:rFonts w:ascii="宋体" w:hAnsi="宋体"/>
          <w:b/>
          <w:szCs w:val="21"/>
          <w:highlight w:val="none"/>
        </w:rPr>
      </w:pPr>
      <w:r>
        <w:rPr>
          <w:rStyle w:val="66"/>
          <w:rFonts w:ascii="宋体" w:hAnsi="宋体"/>
          <w:b/>
          <w:szCs w:val="21"/>
          <w:highlight w:val="none"/>
        </w:rPr>
        <w:t>条款号：17.1          修改类型：修改</w:t>
      </w:r>
    </w:p>
    <w:p w14:paraId="52EA4A30">
      <w:pPr>
        <w:spacing w:line="360" w:lineRule="auto"/>
        <w:ind w:firstLine="422" w:firstLineChars="200"/>
        <w:rPr>
          <w:rStyle w:val="66"/>
          <w:rFonts w:ascii="宋体" w:hAnsi="宋体"/>
          <w:b/>
          <w:szCs w:val="21"/>
          <w:highlight w:val="none"/>
        </w:rPr>
      </w:pPr>
      <w:r>
        <w:rPr>
          <w:rStyle w:val="66"/>
          <w:rFonts w:ascii="宋体" w:hAnsi="宋体"/>
          <w:b/>
          <w:szCs w:val="21"/>
          <w:highlight w:val="none"/>
        </w:rPr>
        <w:t>原文：</w:t>
      </w:r>
      <w:r>
        <w:rPr>
          <w:rFonts w:hint="eastAsia" w:ascii="宋体" w:hAnsi="宋体"/>
          <w:szCs w:val="21"/>
          <w:highlight w:val="none"/>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eastAsia="宋体" w:cs="宋体"/>
          <w:szCs w:val="21"/>
          <w:highlight w:val="none"/>
          <w:u w:val="single"/>
          <w:lang w:bidi="ar-SA"/>
        </w:rPr>
        <w:t xml:space="preserve">            </w:t>
      </w:r>
      <w:r>
        <w:rPr>
          <w:rFonts w:hint="eastAsia" w:ascii="宋体" w:hAnsi="宋体"/>
          <w:szCs w:val="21"/>
          <w:highlight w:val="none"/>
        </w:rPr>
        <w:t>。</w:t>
      </w:r>
    </w:p>
    <w:p w14:paraId="7FA602B5">
      <w:pPr>
        <w:pBdr>
          <w:bottom w:val="single" w:color="000000" w:sz="6" w:space="1"/>
        </w:pBdr>
        <w:spacing w:line="360" w:lineRule="auto"/>
        <w:ind w:firstLine="422" w:firstLineChars="200"/>
        <w:rPr>
          <w:rStyle w:val="66"/>
          <w:rFonts w:ascii="宋体" w:hAnsi="宋体"/>
          <w:szCs w:val="21"/>
          <w:highlight w:val="none"/>
          <w:u w:val="single"/>
        </w:rPr>
      </w:pPr>
      <w:r>
        <w:rPr>
          <w:rStyle w:val="66"/>
          <w:rFonts w:ascii="宋体" w:hAnsi="宋体"/>
          <w:b/>
          <w:szCs w:val="21"/>
          <w:highlight w:val="none"/>
        </w:rPr>
        <w:t>现文：</w:t>
      </w:r>
      <w:r>
        <w:rPr>
          <w:rStyle w:val="66"/>
          <w:rFonts w:ascii="宋体" w:hAnsi="宋体"/>
          <w:szCs w:val="21"/>
          <w:highlight w:val="none"/>
        </w:rPr>
        <w:t>17.1投标人应采用单位数字证书，按招标文件要求在相应位置加盖电子印章。投标文件中需个人签字或盖章的，</w:t>
      </w:r>
      <w:r>
        <w:rPr>
          <w:rStyle w:val="66"/>
          <w:rFonts w:hint="eastAsia" w:ascii="宋体" w:hAnsi="宋体"/>
          <w:szCs w:val="21"/>
          <w:highlight w:val="none"/>
        </w:rPr>
        <w:t>应加盖个人电子印章或在线下完成后扫描上传</w:t>
      </w:r>
      <w:r>
        <w:rPr>
          <w:rStyle w:val="66"/>
          <w:rFonts w:ascii="宋体" w:hAnsi="宋体"/>
          <w:szCs w:val="21"/>
          <w:highlight w:val="none"/>
        </w:rPr>
        <w:t>。按照交易平台关于全流程电子化项目的相关指南进行操作。详见：</w:t>
      </w:r>
      <w:r>
        <w:rPr>
          <w:rStyle w:val="66"/>
          <w:rFonts w:hint="eastAsia"/>
          <w:highlight w:val="none"/>
          <w:u w:val="single"/>
        </w:rPr>
        <w:t>广州公共资源交易中心网站最新指引</w:t>
      </w:r>
      <w:r>
        <w:rPr>
          <w:rStyle w:val="66"/>
          <w:rFonts w:ascii="宋体" w:hAnsi="宋体"/>
          <w:szCs w:val="21"/>
          <w:highlight w:val="none"/>
          <w:u w:val="single"/>
        </w:rPr>
        <w:t>。</w:t>
      </w:r>
    </w:p>
    <w:p w14:paraId="0ECCA876">
      <w:pPr>
        <w:spacing w:line="360" w:lineRule="auto"/>
        <w:ind w:firstLine="422" w:firstLineChars="200"/>
        <w:rPr>
          <w:rStyle w:val="66"/>
          <w:rFonts w:ascii="宋体" w:hAnsi="宋体"/>
          <w:b/>
          <w:szCs w:val="21"/>
          <w:highlight w:val="none"/>
        </w:rPr>
      </w:pPr>
      <w:r>
        <w:rPr>
          <w:rStyle w:val="66"/>
          <w:rFonts w:ascii="宋体" w:hAnsi="宋体"/>
          <w:b/>
          <w:szCs w:val="21"/>
          <w:highlight w:val="none"/>
        </w:rPr>
        <w:t>条款号：18.1          修改类型：修改</w:t>
      </w:r>
    </w:p>
    <w:p w14:paraId="1C84A992">
      <w:pPr>
        <w:spacing w:line="360" w:lineRule="auto"/>
        <w:ind w:firstLine="422" w:firstLineChars="200"/>
        <w:rPr>
          <w:rStyle w:val="66"/>
          <w:rFonts w:ascii="宋体" w:hAnsi="宋体"/>
          <w:b/>
          <w:szCs w:val="21"/>
          <w:highlight w:val="none"/>
        </w:rPr>
      </w:pPr>
      <w:r>
        <w:rPr>
          <w:rStyle w:val="66"/>
          <w:rFonts w:ascii="宋体" w:hAnsi="宋体"/>
          <w:b/>
          <w:szCs w:val="21"/>
          <w:highlight w:val="none"/>
        </w:rPr>
        <w:t>原文：</w:t>
      </w:r>
      <w:r>
        <w:rPr>
          <w:rStyle w:val="66"/>
          <w:rFonts w:ascii="宋体" w:hAnsi="宋体"/>
          <w:szCs w:val="21"/>
          <w:highlight w:val="none"/>
        </w:rPr>
        <w:t>18.1</w:t>
      </w:r>
      <w:r>
        <w:rPr>
          <w:rStyle w:val="66"/>
          <w:rFonts w:ascii="宋体" w:hAnsi="宋体"/>
          <w:bCs/>
          <w:szCs w:val="21"/>
          <w:highlight w:val="none"/>
        </w:rPr>
        <w:t>递交的电子投标文件（不含备用光盘）必须进行加密。按照交易平台关于</w:t>
      </w:r>
      <w:r>
        <w:rPr>
          <w:rStyle w:val="66"/>
          <w:rFonts w:ascii="宋体" w:hAnsi="宋体"/>
          <w:szCs w:val="21"/>
          <w:highlight w:val="none"/>
        </w:rPr>
        <w:t>全流程电子化项目的相关指南进行操作。详见：。</w:t>
      </w:r>
    </w:p>
    <w:p w14:paraId="66E11D5F">
      <w:pPr>
        <w:pBdr>
          <w:bottom w:val="single" w:color="000000" w:sz="6" w:space="1"/>
        </w:pBdr>
        <w:spacing w:line="360" w:lineRule="auto"/>
        <w:ind w:firstLine="422" w:firstLineChars="200"/>
        <w:rPr>
          <w:rStyle w:val="66"/>
          <w:rFonts w:ascii="宋体" w:hAnsi="宋体"/>
          <w:szCs w:val="21"/>
          <w:highlight w:val="none"/>
          <w:u w:val="single"/>
        </w:rPr>
      </w:pPr>
      <w:r>
        <w:rPr>
          <w:rStyle w:val="66"/>
          <w:rFonts w:ascii="宋体" w:hAnsi="宋体"/>
          <w:b/>
          <w:szCs w:val="21"/>
          <w:highlight w:val="none"/>
        </w:rPr>
        <w:t>现文：</w:t>
      </w:r>
      <w:r>
        <w:rPr>
          <w:rStyle w:val="66"/>
          <w:rFonts w:ascii="宋体" w:hAnsi="宋体"/>
          <w:szCs w:val="21"/>
          <w:highlight w:val="none"/>
        </w:rPr>
        <w:t>18.1</w:t>
      </w:r>
      <w:r>
        <w:rPr>
          <w:rStyle w:val="66"/>
          <w:rFonts w:ascii="宋体" w:hAnsi="宋体"/>
          <w:bCs/>
          <w:szCs w:val="21"/>
          <w:highlight w:val="none"/>
        </w:rPr>
        <w:t>递交的电子投标文件（不含备用光盘）必须进行加密。按照交易平台关于</w:t>
      </w:r>
      <w:r>
        <w:rPr>
          <w:rStyle w:val="66"/>
          <w:rFonts w:ascii="宋体" w:hAnsi="宋体"/>
          <w:szCs w:val="21"/>
          <w:highlight w:val="none"/>
        </w:rPr>
        <w:t>全流程电子化项目的相关指南进行操作。详见：</w:t>
      </w:r>
      <w:r>
        <w:rPr>
          <w:rStyle w:val="66"/>
          <w:rFonts w:hint="eastAsia"/>
          <w:highlight w:val="none"/>
          <w:u w:val="single"/>
        </w:rPr>
        <w:t>广州公共资源交易中心网站最新指引</w:t>
      </w:r>
      <w:r>
        <w:rPr>
          <w:rStyle w:val="66"/>
          <w:rFonts w:ascii="宋体" w:hAnsi="宋体"/>
          <w:szCs w:val="21"/>
          <w:highlight w:val="none"/>
          <w:u w:val="single"/>
        </w:rPr>
        <w:t>。</w:t>
      </w:r>
    </w:p>
    <w:p w14:paraId="28E1DE79">
      <w:pPr>
        <w:spacing w:line="360" w:lineRule="auto"/>
        <w:ind w:firstLine="422" w:firstLineChars="200"/>
        <w:rPr>
          <w:rStyle w:val="66"/>
          <w:rFonts w:ascii="宋体" w:hAnsi="宋体"/>
          <w:b/>
          <w:szCs w:val="21"/>
          <w:highlight w:val="none"/>
        </w:rPr>
      </w:pPr>
      <w:r>
        <w:rPr>
          <w:rStyle w:val="66"/>
          <w:rFonts w:ascii="宋体" w:hAnsi="宋体"/>
          <w:b/>
          <w:szCs w:val="21"/>
          <w:highlight w:val="none"/>
        </w:rPr>
        <w:t>条款号：18.2          修改类型：修改</w:t>
      </w:r>
    </w:p>
    <w:p w14:paraId="5A38C007">
      <w:pPr>
        <w:spacing w:line="360" w:lineRule="auto"/>
        <w:ind w:firstLine="422" w:firstLineChars="200"/>
        <w:rPr>
          <w:rStyle w:val="66"/>
          <w:rFonts w:ascii="宋体" w:hAnsi="宋体"/>
          <w:b/>
          <w:szCs w:val="21"/>
          <w:highlight w:val="none"/>
        </w:rPr>
      </w:pPr>
      <w:r>
        <w:rPr>
          <w:rStyle w:val="66"/>
          <w:rFonts w:ascii="宋体" w:hAnsi="宋体"/>
          <w:b/>
          <w:szCs w:val="21"/>
          <w:highlight w:val="none"/>
        </w:rPr>
        <w:t>原文：</w:t>
      </w:r>
      <w:r>
        <w:rPr>
          <w:rStyle w:val="66"/>
          <w:rFonts w:ascii="宋体" w:hAnsi="宋体"/>
          <w:szCs w:val="21"/>
          <w:highlight w:val="none"/>
        </w:rPr>
        <w:t>18.2</w:t>
      </w:r>
      <w:r>
        <w:rPr>
          <w:rStyle w:val="66"/>
          <w:rFonts w:ascii="宋体" w:hAnsi="宋体"/>
          <w:bCs/>
          <w:szCs w:val="21"/>
          <w:highlight w:val="none"/>
        </w:rPr>
        <w:t>未按要求加密的投标文件，</w:t>
      </w:r>
      <w:r>
        <w:rPr>
          <w:rStyle w:val="66"/>
          <w:rFonts w:ascii="宋体" w:hAnsi="宋体"/>
          <w:szCs w:val="21"/>
          <w:highlight w:val="none"/>
        </w:rPr>
        <w:t>交易平台</w:t>
      </w:r>
      <w:r>
        <w:rPr>
          <w:rStyle w:val="66"/>
          <w:rFonts w:ascii="宋体" w:hAnsi="宋体"/>
          <w:bCs/>
          <w:szCs w:val="21"/>
          <w:highlight w:val="none"/>
        </w:rPr>
        <w:t>将予以拒收。</w:t>
      </w:r>
    </w:p>
    <w:p w14:paraId="730A26F2">
      <w:pPr>
        <w:pBdr>
          <w:bottom w:val="single" w:color="000000" w:sz="6" w:space="1"/>
        </w:pBdr>
        <w:spacing w:line="360" w:lineRule="auto"/>
        <w:ind w:firstLine="422" w:firstLineChars="200"/>
        <w:rPr>
          <w:rStyle w:val="66"/>
          <w:rFonts w:ascii="宋体" w:hAnsi="宋体"/>
          <w:szCs w:val="21"/>
          <w:highlight w:val="none"/>
        </w:rPr>
      </w:pPr>
      <w:r>
        <w:rPr>
          <w:rStyle w:val="66"/>
          <w:rFonts w:ascii="宋体" w:hAnsi="宋体"/>
          <w:b/>
          <w:szCs w:val="21"/>
          <w:highlight w:val="none"/>
        </w:rPr>
        <w:t>现文：</w:t>
      </w:r>
      <w:r>
        <w:rPr>
          <w:rStyle w:val="66"/>
          <w:rFonts w:ascii="宋体" w:hAnsi="宋体"/>
          <w:szCs w:val="21"/>
          <w:highlight w:val="none"/>
        </w:rPr>
        <w:t>18.2</w:t>
      </w:r>
      <w:r>
        <w:rPr>
          <w:rStyle w:val="66"/>
          <w:rFonts w:ascii="宋体" w:hAnsi="宋体"/>
          <w:bCs/>
          <w:szCs w:val="21"/>
          <w:highlight w:val="none"/>
        </w:rPr>
        <w:t>未按要求加密的投标文件，</w:t>
      </w:r>
      <w:r>
        <w:rPr>
          <w:rStyle w:val="66"/>
          <w:rFonts w:ascii="宋体" w:hAnsi="宋体"/>
          <w:bCs/>
          <w:szCs w:val="21"/>
          <w:highlight w:val="none"/>
          <w:u w:val="single"/>
        </w:rPr>
        <w:t>广州公共资源交易中心</w:t>
      </w:r>
      <w:r>
        <w:rPr>
          <w:rStyle w:val="66"/>
          <w:rFonts w:ascii="宋体" w:hAnsi="宋体"/>
          <w:bCs/>
          <w:szCs w:val="21"/>
          <w:highlight w:val="none"/>
        </w:rPr>
        <w:t>交易平</w:t>
      </w:r>
      <w:r>
        <w:rPr>
          <w:rStyle w:val="66"/>
          <w:rFonts w:ascii="宋体" w:hAnsi="宋体"/>
          <w:szCs w:val="21"/>
          <w:highlight w:val="none"/>
        </w:rPr>
        <w:t>台</w:t>
      </w:r>
      <w:r>
        <w:rPr>
          <w:rStyle w:val="66"/>
          <w:rFonts w:ascii="宋体" w:hAnsi="宋体"/>
          <w:bCs/>
          <w:szCs w:val="21"/>
          <w:highlight w:val="none"/>
        </w:rPr>
        <w:t>将予以拒收。</w:t>
      </w:r>
    </w:p>
    <w:p w14:paraId="6BFEE734">
      <w:pPr>
        <w:spacing w:line="360" w:lineRule="auto"/>
        <w:ind w:firstLine="422" w:firstLineChars="200"/>
        <w:rPr>
          <w:rStyle w:val="66"/>
          <w:rFonts w:ascii="宋体" w:hAnsi="宋体"/>
          <w:b/>
          <w:szCs w:val="21"/>
          <w:highlight w:val="none"/>
        </w:rPr>
      </w:pPr>
      <w:r>
        <w:rPr>
          <w:rStyle w:val="66"/>
          <w:rFonts w:ascii="宋体" w:hAnsi="宋体"/>
          <w:b/>
          <w:szCs w:val="21"/>
          <w:highlight w:val="none"/>
        </w:rPr>
        <w:t>条款号：19.1          修改类型：修改</w:t>
      </w:r>
    </w:p>
    <w:p w14:paraId="0E536A09">
      <w:pPr>
        <w:spacing w:line="360" w:lineRule="auto"/>
        <w:ind w:firstLine="422" w:firstLineChars="200"/>
        <w:rPr>
          <w:rStyle w:val="66"/>
          <w:rFonts w:ascii="宋体" w:hAnsi="宋体"/>
          <w:b/>
          <w:szCs w:val="21"/>
          <w:highlight w:val="none"/>
        </w:rPr>
      </w:pPr>
      <w:r>
        <w:rPr>
          <w:rStyle w:val="66"/>
          <w:rFonts w:ascii="宋体" w:hAnsi="宋体"/>
          <w:b/>
          <w:szCs w:val="21"/>
          <w:highlight w:val="none"/>
        </w:rPr>
        <w:t>原文：</w:t>
      </w:r>
      <w:r>
        <w:rPr>
          <w:rStyle w:val="66"/>
          <w:rFonts w:ascii="宋体" w:hAnsi="宋体"/>
          <w:szCs w:val="21"/>
          <w:highlight w:val="none"/>
        </w:rPr>
        <w:t>19.1</w:t>
      </w:r>
      <w:r>
        <w:rPr>
          <w:rStyle w:val="66"/>
          <w:rFonts w:ascii="宋体" w:hAnsi="宋体"/>
          <w:bCs/>
          <w:szCs w:val="21"/>
          <w:highlight w:val="none"/>
        </w:rPr>
        <w:t>投标人通过</w:t>
      </w:r>
      <w:r>
        <w:rPr>
          <w:rFonts w:hint="eastAsia" w:ascii="宋体" w:eastAsia="宋体" w:cs="宋体"/>
          <w:szCs w:val="21"/>
          <w:highlight w:val="none"/>
          <w:u w:val="single"/>
          <w:lang w:bidi="ar-SA"/>
        </w:rPr>
        <w:t xml:space="preserve">           </w:t>
      </w:r>
      <w:r>
        <w:rPr>
          <w:rStyle w:val="66"/>
          <w:rFonts w:ascii="宋体" w:hAnsi="宋体"/>
          <w:szCs w:val="21"/>
          <w:highlight w:val="none"/>
        </w:rPr>
        <w:t>交易平台递交电子投标文件。</w:t>
      </w:r>
    </w:p>
    <w:p w14:paraId="2371DB7E">
      <w:pPr>
        <w:pBdr>
          <w:bottom w:val="single" w:color="000000" w:sz="6" w:space="1"/>
        </w:pBdr>
        <w:spacing w:line="360" w:lineRule="auto"/>
        <w:ind w:firstLine="422" w:firstLineChars="200"/>
        <w:rPr>
          <w:rStyle w:val="66"/>
          <w:rFonts w:ascii="宋体" w:hAnsi="宋体"/>
          <w:szCs w:val="21"/>
          <w:highlight w:val="none"/>
        </w:rPr>
      </w:pPr>
      <w:r>
        <w:rPr>
          <w:rStyle w:val="66"/>
          <w:rFonts w:ascii="宋体" w:hAnsi="宋体"/>
          <w:b/>
          <w:szCs w:val="21"/>
          <w:highlight w:val="none"/>
        </w:rPr>
        <w:t>现文：</w:t>
      </w:r>
      <w:r>
        <w:rPr>
          <w:rStyle w:val="66"/>
          <w:rFonts w:ascii="宋体" w:hAnsi="宋体"/>
          <w:szCs w:val="21"/>
          <w:highlight w:val="none"/>
        </w:rPr>
        <w:t>19.1</w:t>
      </w:r>
      <w:r>
        <w:rPr>
          <w:rStyle w:val="66"/>
          <w:rFonts w:ascii="宋体" w:hAnsi="宋体"/>
          <w:bCs/>
          <w:szCs w:val="21"/>
          <w:highlight w:val="none"/>
        </w:rPr>
        <w:t>投标人通过</w:t>
      </w:r>
      <w:r>
        <w:rPr>
          <w:rStyle w:val="66"/>
          <w:rFonts w:ascii="宋体" w:hAnsi="宋体"/>
          <w:bCs/>
          <w:szCs w:val="21"/>
          <w:highlight w:val="none"/>
          <w:u w:val="single"/>
        </w:rPr>
        <w:t>广州公共资源交易中心</w:t>
      </w:r>
      <w:r>
        <w:rPr>
          <w:rStyle w:val="66"/>
          <w:rFonts w:ascii="宋体" w:hAnsi="宋体"/>
          <w:bCs/>
          <w:szCs w:val="21"/>
          <w:highlight w:val="none"/>
        </w:rPr>
        <w:t>交易平</w:t>
      </w:r>
      <w:r>
        <w:rPr>
          <w:rStyle w:val="66"/>
          <w:rFonts w:ascii="宋体" w:hAnsi="宋体"/>
          <w:szCs w:val="21"/>
          <w:highlight w:val="none"/>
        </w:rPr>
        <w:t>台递交电子投标文件。</w:t>
      </w:r>
    </w:p>
    <w:p w14:paraId="72F0D03A">
      <w:pPr>
        <w:spacing w:line="360" w:lineRule="auto"/>
        <w:ind w:firstLine="422" w:firstLineChars="200"/>
        <w:rPr>
          <w:rStyle w:val="66"/>
          <w:rFonts w:ascii="宋体" w:hAnsi="宋体"/>
          <w:b/>
          <w:szCs w:val="21"/>
          <w:highlight w:val="none"/>
        </w:rPr>
      </w:pPr>
      <w:r>
        <w:rPr>
          <w:rStyle w:val="66"/>
          <w:rFonts w:ascii="宋体" w:hAnsi="宋体"/>
          <w:b/>
          <w:szCs w:val="21"/>
          <w:highlight w:val="none"/>
        </w:rPr>
        <w:t>条款号：19.2          修改类型：修改</w:t>
      </w:r>
    </w:p>
    <w:p w14:paraId="25602647">
      <w:pPr>
        <w:spacing w:line="360" w:lineRule="auto"/>
        <w:ind w:firstLine="422" w:firstLineChars="200"/>
        <w:rPr>
          <w:rStyle w:val="66"/>
          <w:rFonts w:ascii="宋体" w:hAnsi="宋体"/>
          <w:b/>
          <w:szCs w:val="21"/>
          <w:highlight w:val="none"/>
        </w:rPr>
      </w:pPr>
      <w:r>
        <w:rPr>
          <w:rStyle w:val="66"/>
          <w:rFonts w:ascii="宋体" w:hAnsi="宋体"/>
          <w:b/>
          <w:szCs w:val="21"/>
          <w:highlight w:val="none"/>
        </w:rPr>
        <w:t>原文：</w:t>
      </w:r>
      <w:r>
        <w:rPr>
          <w:rStyle w:val="66"/>
          <w:rFonts w:ascii="宋体" w:hAnsi="宋体"/>
          <w:szCs w:val="21"/>
          <w:highlight w:val="none"/>
        </w:rPr>
        <w:t>19.2</w:t>
      </w:r>
      <w:r>
        <w:rPr>
          <w:rStyle w:val="66"/>
          <w:rFonts w:ascii="宋体" w:hAnsi="宋体"/>
          <w:bCs/>
          <w:szCs w:val="21"/>
          <w:highlight w:val="none"/>
        </w:rPr>
        <w:t>投标人完成电子</w:t>
      </w:r>
      <w:r>
        <w:rPr>
          <w:rStyle w:val="66"/>
          <w:rFonts w:ascii="宋体" w:hAnsi="宋体"/>
          <w:szCs w:val="21"/>
          <w:highlight w:val="none"/>
        </w:rPr>
        <w:t>投标文件</w:t>
      </w:r>
      <w:r>
        <w:rPr>
          <w:rStyle w:val="66"/>
          <w:rFonts w:ascii="宋体" w:hAnsi="宋体"/>
          <w:bCs/>
          <w:szCs w:val="21"/>
          <w:highlight w:val="none"/>
        </w:rPr>
        <w:t>上传后，</w:t>
      </w:r>
      <w:r>
        <w:rPr>
          <w:rFonts w:hint="eastAsia" w:ascii="宋体" w:eastAsia="宋体" w:cs="宋体"/>
          <w:szCs w:val="21"/>
          <w:highlight w:val="none"/>
          <w:u w:val="single"/>
          <w:lang w:bidi="ar-SA"/>
        </w:rPr>
        <w:t xml:space="preserve">           </w:t>
      </w:r>
      <w:r>
        <w:rPr>
          <w:rStyle w:val="66"/>
          <w:rFonts w:ascii="宋体" w:hAnsi="宋体"/>
          <w:szCs w:val="21"/>
          <w:highlight w:val="none"/>
        </w:rPr>
        <w:t>交易平台即时向投标人发出递交回执通知。递交时间以递交回执通知载明的传输完成时间为准。</w:t>
      </w:r>
    </w:p>
    <w:p w14:paraId="1D41ABCF">
      <w:pPr>
        <w:pBdr>
          <w:bottom w:val="single" w:color="000000" w:sz="6" w:space="1"/>
        </w:pBdr>
        <w:spacing w:line="360" w:lineRule="auto"/>
        <w:ind w:firstLine="422" w:firstLineChars="200"/>
        <w:rPr>
          <w:rStyle w:val="66"/>
          <w:rFonts w:ascii="宋体" w:hAnsi="宋体"/>
          <w:szCs w:val="21"/>
          <w:highlight w:val="none"/>
        </w:rPr>
      </w:pPr>
      <w:r>
        <w:rPr>
          <w:rStyle w:val="66"/>
          <w:rFonts w:ascii="宋体" w:hAnsi="宋体"/>
          <w:b/>
          <w:szCs w:val="21"/>
          <w:highlight w:val="none"/>
        </w:rPr>
        <w:t>现文：</w:t>
      </w:r>
      <w:r>
        <w:rPr>
          <w:rStyle w:val="66"/>
          <w:rFonts w:ascii="宋体" w:hAnsi="宋体"/>
          <w:szCs w:val="21"/>
          <w:highlight w:val="none"/>
        </w:rPr>
        <w:t>19.2</w:t>
      </w:r>
      <w:r>
        <w:rPr>
          <w:rStyle w:val="66"/>
          <w:rFonts w:ascii="宋体" w:hAnsi="宋体"/>
          <w:bCs/>
          <w:szCs w:val="21"/>
          <w:highlight w:val="none"/>
        </w:rPr>
        <w:t>投标人完成电子</w:t>
      </w:r>
      <w:r>
        <w:rPr>
          <w:rStyle w:val="66"/>
          <w:rFonts w:ascii="宋体" w:hAnsi="宋体"/>
          <w:szCs w:val="21"/>
          <w:highlight w:val="none"/>
        </w:rPr>
        <w:t>投标文件</w:t>
      </w:r>
      <w:r>
        <w:rPr>
          <w:rStyle w:val="66"/>
          <w:rFonts w:ascii="宋体" w:hAnsi="宋体"/>
          <w:bCs/>
          <w:szCs w:val="21"/>
          <w:highlight w:val="none"/>
        </w:rPr>
        <w:t>上传后，</w:t>
      </w:r>
      <w:r>
        <w:rPr>
          <w:rStyle w:val="66"/>
          <w:rFonts w:ascii="宋体" w:hAnsi="宋体"/>
          <w:szCs w:val="21"/>
          <w:highlight w:val="none"/>
          <w:u w:val="single"/>
        </w:rPr>
        <w:t>广州公共资源交易中心</w:t>
      </w:r>
      <w:r>
        <w:rPr>
          <w:rStyle w:val="66"/>
          <w:rFonts w:ascii="宋体" w:hAnsi="宋体"/>
          <w:szCs w:val="21"/>
          <w:highlight w:val="none"/>
        </w:rPr>
        <w:t>交易平台即时向投标人发出递交回执通知。递交时间以递交回执通知载明的传输完成时间为准。</w:t>
      </w:r>
    </w:p>
    <w:p w14:paraId="61E2C262">
      <w:pPr>
        <w:spacing w:line="360" w:lineRule="auto"/>
        <w:ind w:firstLine="422" w:firstLineChars="200"/>
        <w:rPr>
          <w:rStyle w:val="66"/>
          <w:rFonts w:ascii="宋体" w:hAnsi="宋体"/>
          <w:b/>
          <w:szCs w:val="21"/>
          <w:highlight w:val="none"/>
        </w:rPr>
      </w:pPr>
      <w:r>
        <w:rPr>
          <w:rStyle w:val="66"/>
          <w:rFonts w:ascii="宋体" w:hAnsi="宋体"/>
          <w:b/>
          <w:szCs w:val="21"/>
          <w:highlight w:val="none"/>
        </w:rPr>
        <w:t>条款号：19.3          修改类型：修改</w:t>
      </w:r>
    </w:p>
    <w:p w14:paraId="4DD01493">
      <w:pPr>
        <w:spacing w:line="360" w:lineRule="auto"/>
        <w:ind w:firstLine="422" w:firstLineChars="200"/>
        <w:rPr>
          <w:rStyle w:val="66"/>
          <w:rFonts w:ascii="宋体" w:hAnsi="宋体"/>
          <w:b/>
          <w:szCs w:val="21"/>
          <w:highlight w:val="none"/>
        </w:rPr>
      </w:pPr>
      <w:r>
        <w:rPr>
          <w:rStyle w:val="66"/>
          <w:rFonts w:ascii="宋体" w:hAnsi="宋体"/>
          <w:b/>
          <w:szCs w:val="21"/>
          <w:highlight w:val="none"/>
        </w:rPr>
        <w:t>原文：</w:t>
      </w:r>
      <w:r>
        <w:rPr>
          <w:rStyle w:val="66"/>
          <w:rFonts w:ascii="宋体" w:hAnsi="宋体"/>
          <w:bCs/>
          <w:szCs w:val="21"/>
          <w:highlight w:val="none"/>
        </w:rPr>
        <w:t>逾期送达的电子投标文件，</w:t>
      </w:r>
      <w:r>
        <w:rPr>
          <w:rFonts w:hint="eastAsia" w:ascii="宋体" w:eastAsia="宋体" w:cs="宋体"/>
          <w:szCs w:val="21"/>
          <w:highlight w:val="none"/>
          <w:u w:val="single"/>
          <w:lang w:bidi="ar-SA"/>
        </w:rPr>
        <w:t xml:space="preserve">           </w:t>
      </w:r>
      <w:r>
        <w:rPr>
          <w:rStyle w:val="66"/>
          <w:rFonts w:ascii="宋体" w:hAnsi="宋体"/>
          <w:szCs w:val="21"/>
          <w:highlight w:val="none"/>
        </w:rPr>
        <w:t>交易平台将予以拒收。</w:t>
      </w:r>
    </w:p>
    <w:p w14:paraId="6AAF8B4A">
      <w:pPr>
        <w:pBdr>
          <w:bottom w:val="single" w:color="000000" w:sz="6" w:space="1"/>
        </w:pBdr>
        <w:spacing w:line="360" w:lineRule="auto"/>
        <w:ind w:firstLine="422" w:firstLineChars="200"/>
        <w:rPr>
          <w:rStyle w:val="66"/>
          <w:rFonts w:ascii="宋体" w:hAnsi="宋体"/>
          <w:szCs w:val="21"/>
          <w:highlight w:val="none"/>
        </w:rPr>
      </w:pPr>
      <w:r>
        <w:rPr>
          <w:rStyle w:val="66"/>
          <w:rFonts w:ascii="宋体" w:hAnsi="宋体"/>
          <w:b/>
          <w:szCs w:val="21"/>
          <w:highlight w:val="none"/>
        </w:rPr>
        <w:t>现文：</w:t>
      </w:r>
      <w:r>
        <w:rPr>
          <w:rStyle w:val="66"/>
          <w:rFonts w:ascii="宋体" w:hAnsi="宋体"/>
          <w:bCs/>
          <w:szCs w:val="21"/>
          <w:highlight w:val="none"/>
        </w:rPr>
        <w:t>逾期送达的电子投标文件，</w:t>
      </w:r>
      <w:r>
        <w:rPr>
          <w:rStyle w:val="66"/>
          <w:rFonts w:ascii="宋体" w:hAnsi="宋体"/>
          <w:szCs w:val="21"/>
          <w:highlight w:val="none"/>
          <w:u w:val="single"/>
        </w:rPr>
        <w:t>广州公共资源交易中心</w:t>
      </w:r>
      <w:r>
        <w:rPr>
          <w:rStyle w:val="66"/>
          <w:rFonts w:ascii="宋体" w:hAnsi="宋体"/>
          <w:szCs w:val="21"/>
          <w:highlight w:val="none"/>
        </w:rPr>
        <w:t>交易平台将予以拒收。</w:t>
      </w:r>
    </w:p>
    <w:p w14:paraId="4F440DCE">
      <w:pPr>
        <w:spacing w:line="360" w:lineRule="auto"/>
        <w:ind w:firstLine="422" w:firstLineChars="200"/>
        <w:rPr>
          <w:rStyle w:val="66"/>
          <w:rFonts w:ascii="宋体" w:hAnsi="宋体"/>
          <w:b/>
          <w:szCs w:val="21"/>
          <w:highlight w:val="none"/>
        </w:rPr>
      </w:pPr>
      <w:r>
        <w:rPr>
          <w:rStyle w:val="66"/>
          <w:rFonts w:ascii="宋体" w:hAnsi="宋体"/>
          <w:b/>
          <w:szCs w:val="21"/>
          <w:highlight w:val="none"/>
        </w:rPr>
        <w:t>条款号：19.5          修改类型：修改</w:t>
      </w:r>
    </w:p>
    <w:p w14:paraId="0BBD828A">
      <w:pPr>
        <w:spacing w:line="360" w:lineRule="auto"/>
        <w:ind w:firstLine="422" w:firstLineChars="200"/>
        <w:rPr>
          <w:rStyle w:val="66"/>
          <w:rFonts w:ascii="宋体" w:hAnsi="宋体"/>
          <w:b/>
          <w:szCs w:val="21"/>
          <w:highlight w:val="none"/>
        </w:rPr>
      </w:pPr>
      <w:r>
        <w:rPr>
          <w:rStyle w:val="66"/>
          <w:rFonts w:ascii="宋体" w:hAnsi="宋体"/>
          <w:b/>
          <w:szCs w:val="21"/>
          <w:highlight w:val="none"/>
        </w:rPr>
        <w:t>原文：</w:t>
      </w:r>
      <w:r>
        <w:rPr>
          <w:rStyle w:val="66"/>
          <w:rFonts w:ascii="宋体" w:hAnsi="宋体"/>
          <w:szCs w:val="21"/>
          <w:highlight w:val="none"/>
        </w:rPr>
        <w:t>19.5如技术标和经济标先后分别开启，</w:t>
      </w:r>
      <w:r>
        <w:rPr>
          <w:rFonts w:hint="eastAsia" w:ascii="宋体" w:eastAsia="宋体" w:cs="宋体"/>
          <w:szCs w:val="21"/>
          <w:highlight w:val="none"/>
          <w:u w:val="single"/>
          <w:lang w:bidi="ar-SA"/>
        </w:rPr>
        <w:t xml:space="preserve">        </w:t>
      </w:r>
      <w:r>
        <w:rPr>
          <w:rStyle w:val="66"/>
          <w:rFonts w:ascii="宋体" w:hAnsi="宋体"/>
          <w:szCs w:val="21"/>
          <w:highlight w:val="none"/>
        </w:rPr>
        <w:t>交易平台将按招标文件规定的时间分别开启技术标和经济标。</w:t>
      </w:r>
    </w:p>
    <w:p w14:paraId="48139B2C">
      <w:pPr>
        <w:pBdr>
          <w:bottom w:val="single" w:color="000000" w:sz="6" w:space="1"/>
        </w:pBdr>
        <w:spacing w:line="360" w:lineRule="auto"/>
        <w:ind w:firstLine="422" w:firstLineChars="200"/>
        <w:rPr>
          <w:rStyle w:val="66"/>
          <w:rFonts w:ascii="宋体" w:hAnsi="宋体"/>
          <w:szCs w:val="21"/>
          <w:highlight w:val="none"/>
        </w:rPr>
      </w:pPr>
      <w:r>
        <w:rPr>
          <w:rStyle w:val="66"/>
          <w:rFonts w:ascii="宋体" w:hAnsi="宋体"/>
          <w:b/>
          <w:szCs w:val="21"/>
          <w:highlight w:val="none"/>
        </w:rPr>
        <w:t>现文：</w:t>
      </w:r>
      <w:r>
        <w:rPr>
          <w:rStyle w:val="66"/>
          <w:rFonts w:ascii="宋体" w:hAnsi="宋体"/>
          <w:szCs w:val="21"/>
          <w:highlight w:val="none"/>
        </w:rPr>
        <w:t>19.5如技术标和经济标先后分别开启，</w:t>
      </w:r>
      <w:r>
        <w:rPr>
          <w:rStyle w:val="66"/>
          <w:rFonts w:ascii="宋体" w:hAnsi="宋体"/>
          <w:szCs w:val="21"/>
          <w:highlight w:val="none"/>
          <w:u w:val="single"/>
        </w:rPr>
        <w:t>广州公共资源交易中心</w:t>
      </w:r>
      <w:r>
        <w:rPr>
          <w:rStyle w:val="66"/>
          <w:rFonts w:ascii="宋体" w:hAnsi="宋体"/>
          <w:szCs w:val="21"/>
          <w:highlight w:val="none"/>
        </w:rPr>
        <w:t>交易平台将按招标文件规定的时间分别开启技术标和经济标。</w:t>
      </w:r>
    </w:p>
    <w:p w14:paraId="52F50E51">
      <w:pPr>
        <w:spacing w:line="360" w:lineRule="auto"/>
        <w:ind w:firstLine="422" w:firstLineChars="200"/>
        <w:rPr>
          <w:rStyle w:val="66"/>
          <w:rFonts w:ascii="宋体" w:hAnsi="宋体"/>
          <w:b/>
          <w:szCs w:val="21"/>
          <w:highlight w:val="none"/>
        </w:rPr>
      </w:pPr>
      <w:r>
        <w:rPr>
          <w:rStyle w:val="66"/>
          <w:rFonts w:ascii="宋体" w:hAnsi="宋体"/>
          <w:b/>
          <w:szCs w:val="21"/>
          <w:highlight w:val="none"/>
        </w:rPr>
        <w:t>条款号：19.6          修改类型：删除</w:t>
      </w:r>
    </w:p>
    <w:p w14:paraId="3CBD967C">
      <w:pPr>
        <w:pBdr>
          <w:bottom w:val="single" w:color="000000" w:sz="6" w:space="1"/>
        </w:pBdr>
        <w:spacing w:line="360" w:lineRule="auto"/>
        <w:ind w:firstLine="422" w:firstLineChars="200"/>
        <w:rPr>
          <w:rStyle w:val="66"/>
          <w:rFonts w:ascii="宋体" w:hAnsi="宋体"/>
          <w:szCs w:val="21"/>
          <w:highlight w:val="none"/>
        </w:rPr>
      </w:pPr>
      <w:r>
        <w:rPr>
          <w:rStyle w:val="66"/>
          <w:rFonts w:ascii="宋体" w:hAnsi="宋体"/>
          <w:b/>
          <w:szCs w:val="21"/>
          <w:highlight w:val="none"/>
        </w:rPr>
        <w:t>原文：</w:t>
      </w:r>
      <w:r>
        <w:rPr>
          <w:rStyle w:val="66"/>
          <w:rFonts w:ascii="宋体" w:hAnsi="宋体"/>
          <w:szCs w:val="21"/>
          <w:highlight w:val="none"/>
        </w:rPr>
        <w:t>19.6在规定的时间内，项目负责人须到自助签到。按照交易平台有关项目负责人自助签到流程进行操作。项目负责人凡未凭身份证按时到达指定地点签到的，该投标文件将不能参与资格审查和评标（选择性条款）。</w:t>
      </w:r>
    </w:p>
    <w:p w14:paraId="752A1594">
      <w:pPr>
        <w:spacing w:line="360" w:lineRule="auto"/>
        <w:ind w:firstLine="422" w:firstLineChars="200"/>
        <w:rPr>
          <w:rStyle w:val="66"/>
          <w:rFonts w:ascii="宋体" w:hAnsi="宋体"/>
          <w:b/>
          <w:szCs w:val="21"/>
          <w:highlight w:val="none"/>
        </w:rPr>
      </w:pPr>
      <w:r>
        <w:rPr>
          <w:rStyle w:val="66"/>
          <w:rFonts w:ascii="宋体" w:hAnsi="宋体"/>
          <w:b/>
          <w:szCs w:val="21"/>
          <w:highlight w:val="none"/>
        </w:rPr>
        <w:t>条款号：21.1          修改类型：修改</w:t>
      </w:r>
    </w:p>
    <w:p w14:paraId="4CBC7ECB">
      <w:pPr>
        <w:spacing w:line="360" w:lineRule="auto"/>
        <w:ind w:firstLine="422" w:firstLineChars="200"/>
        <w:rPr>
          <w:rStyle w:val="66"/>
          <w:rFonts w:ascii="宋体" w:hAnsi="宋体"/>
          <w:b/>
          <w:szCs w:val="21"/>
          <w:highlight w:val="none"/>
        </w:rPr>
      </w:pPr>
      <w:r>
        <w:rPr>
          <w:rStyle w:val="66"/>
          <w:rFonts w:ascii="宋体" w:hAnsi="宋体"/>
          <w:b/>
          <w:szCs w:val="21"/>
          <w:highlight w:val="none"/>
        </w:rPr>
        <w:t>原文：</w:t>
      </w:r>
      <w:r>
        <w:rPr>
          <w:rStyle w:val="66"/>
          <w:rFonts w:ascii="宋体" w:hAnsi="宋体"/>
          <w:szCs w:val="21"/>
          <w:highlight w:val="none"/>
        </w:rPr>
        <w:t>21.1本须知前附表第17项规定的投标截止时间</w:t>
      </w:r>
      <w:r>
        <w:rPr>
          <w:rStyle w:val="66"/>
          <w:rFonts w:ascii="宋体" w:hAnsi="宋体"/>
          <w:bCs/>
          <w:szCs w:val="21"/>
          <w:highlight w:val="none"/>
        </w:rPr>
        <w:t>后送达的电子投标文件，</w:t>
      </w:r>
      <w:r>
        <w:rPr>
          <w:rFonts w:hint="eastAsia" w:ascii="宋体" w:eastAsia="宋体" w:cs="宋体"/>
          <w:szCs w:val="21"/>
          <w:highlight w:val="none"/>
          <w:u w:val="single"/>
          <w:lang w:bidi="ar-SA"/>
        </w:rPr>
        <w:t xml:space="preserve">        </w:t>
      </w:r>
      <w:r>
        <w:rPr>
          <w:rStyle w:val="66"/>
          <w:rFonts w:ascii="宋体" w:hAnsi="宋体"/>
          <w:szCs w:val="21"/>
          <w:highlight w:val="none"/>
        </w:rPr>
        <w:t>交易平台将予以拒收。</w:t>
      </w:r>
    </w:p>
    <w:p w14:paraId="34C2EACA">
      <w:pPr>
        <w:pBdr>
          <w:bottom w:val="single" w:color="000000" w:sz="6" w:space="1"/>
        </w:pBdr>
        <w:spacing w:line="360" w:lineRule="auto"/>
        <w:ind w:firstLine="422" w:firstLineChars="200"/>
        <w:rPr>
          <w:rStyle w:val="66"/>
          <w:rFonts w:ascii="宋体" w:hAnsi="宋体"/>
          <w:bCs/>
          <w:szCs w:val="21"/>
          <w:highlight w:val="none"/>
        </w:rPr>
      </w:pPr>
      <w:r>
        <w:rPr>
          <w:rStyle w:val="66"/>
          <w:rFonts w:ascii="宋体" w:hAnsi="宋体"/>
          <w:b/>
          <w:szCs w:val="21"/>
          <w:highlight w:val="none"/>
        </w:rPr>
        <w:t>现文：</w:t>
      </w:r>
      <w:r>
        <w:rPr>
          <w:rStyle w:val="66"/>
          <w:rFonts w:ascii="宋体" w:hAnsi="宋体"/>
          <w:szCs w:val="21"/>
          <w:highlight w:val="none"/>
        </w:rPr>
        <w:t>21.1本须知前附表第17项规定的投标截止时间</w:t>
      </w:r>
      <w:r>
        <w:rPr>
          <w:rStyle w:val="66"/>
          <w:rFonts w:ascii="宋体" w:hAnsi="宋体"/>
          <w:bCs/>
          <w:szCs w:val="21"/>
          <w:highlight w:val="none"/>
        </w:rPr>
        <w:t>后送达的电子投标文件，</w:t>
      </w:r>
      <w:r>
        <w:rPr>
          <w:rStyle w:val="66"/>
          <w:rFonts w:ascii="宋体" w:hAnsi="宋体"/>
          <w:bCs/>
          <w:szCs w:val="21"/>
          <w:highlight w:val="none"/>
          <w:u w:val="single"/>
        </w:rPr>
        <w:t>广州公共资源交易中心</w:t>
      </w:r>
      <w:r>
        <w:rPr>
          <w:rStyle w:val="66"/>
          <w:rFonts w:ascii="宋体" w:hAnsi="宋体"/>
          <w:bCs/>
          <w:szCs w:val="21"/>
          <w:highlight w:val="none"/>
        </w:rPr>
        <w:t>交易平台将予以拒收。</w:t>
      </w:r>
    </w:p>
    <w:p w14:paraId="10280FF6">
      <w:pPr>
        <w:spacing w:line="360" w:lineRule="auto"/>
        <w:ind w:firstLine="422" w:firstLineChars="200"/>
        <w:rPr>
          <w:rStyle w:val="66"/>
          <w:rFonts w:ascii="宋体" w:hAnsi="宋体"/>
          <w:b/>
          <w:szCs w:val="21"/>
          <w:highlight w:val="none"/>
        </w:rPr>
      </w:pPr>
      <w:r>
        <w:rPr>
          <w:rStyle w:val="66"/>
          <w:rFonts w:ascii="宋体" w:hAnsi="宋体"/>
          <w:b/>
          <w:szCs w:val="21"/>
          <w:highlight w:val="none"/>
        </w:rPr>
        <w:t>条款号：27.1          修改类型：修改</w:t>
      </w:r>
    </w:p>
    <w:p w14:paraId="51F8E414">
      <w:pPr>
        <w:spacing w:line="360" w:lineRule="auto"/>
        <w:ind w:firstLine="422" w:firstLineChars="200"/>
        <w:rPr>
          <w:rStyle w:val="66"/>
          <w:rFonts w:ascii="宋体" w:hAnsi="宋体"/>
          <w:b/>
          <w:szCs w:val="21"/>
          <w:highlight w:val="none"/>
        </w:rPr>
      </w:pPr>
      <w:r>
        <w:rPr>
          <w:rStyle w:val="66"/>
          <w:rFonts w:ascii="宋体" w:hAnsi="宋体"/>
          <w:b/>
          <w:szCs w:val="21"/>
          <w:highlight w:val="none"/>
        </w:rPr>
        <w:t>原文：</w:t>
      </w:r>
      <w:r>
        <w:rPr>
          <w:rStyle w:val="66"/>
          <w:rFonts w:ascii="宋体" w:hAnsi="宋体"/>
          <w:szCs w:val="21"/>
          <w:highlight w:val="none"/>
        </w:rPr>
        <w:t>27.1招标人将在</w:t>
      </w:r>
      <w:r>
        <w:rPr>
          <w:rFonts w:hint="eastAsia" w:ascii="宋体" w:eastAsia="宋体" w:cs="宋体"/>
          <w:szCs w:val="21"/>
          <w:highlight w:val="none"/>
          <w:u w:val="single"/>
          <w:lang w:bidi="ar-SA"/>
        </w:rPr>
        <w:t xml:space="preserve">        </w:t>
      </w:r>
      <w:r>
        <w:rPr>
          <w:rStyle w:val="66"/>
          <w:rFonts w:ascii="宋体" w:hAnsi="宋体"/>
          <w:szCs w:val="21"/>
          <w:highlight w:val="none"/>
        </w:rPr>
        <w:t>交易平台、广东省招标投标监管网和中国招标投标公共服务平台公示中标候选人，公示期为三天。</w:t>
      </w:r>
    </w:p>
    <w:p w14:paraId="7FA59349">
      <w:pPr>
        <w:pBdr>
          <w:bottom w:val="single" w:color="000000" w:sz="6" w:space="1"/>
        </w:pBdr>
        <w:spacing w:line="360" w:lineRule="auto"/>
        <w:ind w:firstLine="422" w:firstLineChars="200"/>
        <w:rPr>
          <w:rStyle w:val="66"/>
          <w:rFonts w:ascii="宋体" w:hAnsi="宋体"/>
          <w:b/>
          <w:bCs/>
          <w:szCs w:val="21"/>
          <w:highlight w:val="none"/>
        </w:rPr>
      </w:pPr>
      <w:r>
        <w:rPr>
          <w:rStyle w:val="66"/>
          <w:rFonts w:ascii="宋体" w:hAnsi="宋体"/>
          <w:b/>
          <w:szCs w:val="21"/>
          <w:highlight w:val="none"/>
        </w:rPr>
        <w:t>现文：</w:t>
      </w:r>
      <w:r>
        <w:rPr>
          <w:rStyle w:val="66"/>
          <w:rFonts w:ascii="宋体" w:hAnsi="宋体"/>
          <w:szCs w:val="21"/>
          <w:highlight w:val="none"/>
        </w:rPr>
        <w:t>27.1</w:t>
      </w:r>
      <w:r>
        <w:rPr>
          <w:rStyle w:val="66"/>
          <w:rFonts w:hint="eastAsia" w:ascii="宋体" w:hAnsi="宋体"/>
          <w:szCs w:val="21"/>
          <w:highlight w:val="none"/>
        </w:rPr>
        <w:t>招标人将在</w:t>
      </w:r>
      <w:r>
        <w:rPr>
          <w:rStyle w:val="66"/>
          <w:rFonts w:ascii="宋体" w:hAnsi="宋体"/>
          <w:szCs w:val="21"/>
          <w:highlight w:val="none"/>
          <w:u w:val="single"/>
        </w:rPr>
        <w:t>广州公共资源交易中心</w:t>
      </w:r>
      <w:r>
        <w:rPr>
          <w:rStyle w:val="66"/>
          <w:rFonts w:hint="eastAsia" w:ascii="宋体" w:hAnsi="宋体"/>
          <w:szCs w:val="21"/>
          <w:highlight w:val="none"/>
        </w:rPr>
        <w:t>交易平台、广东省招标投标监管网和中国招标投标公共服务平台公示中标候选人，公示期为三天。</w:t>
      </w:r>
      <w:r>
        <w:rPr>
          <w:rStyle w:val="66"/>
          <w:rFonts w:hint="eastAsia" w:ascii="宋体" w:hAnsi="宋体"/>
          <w:b/>
          <w:bCs/>
          <w:szCs w:val="21"/>
          <w:highlight w:val="none"/>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7AE7703B">
      <w:pPr>
        <w:spacing w:line="360" w:lineRule="auto"/>
        <w:ind w:firstLine="422" w:firstLineChars="200"/>
        <w:rPr>
          <w:rStyle w:val="66"/>
          <w:rFonts w:ascii="宋体" w:hAnsi="宋体"/>
          <w:b/>
          <w:szCs w:val="21"/>
          <w:highlight w:val="none"/>
        </w:rPr>
      </w:pPr>
      <w:r>
        <w:rPr>
          <w:rStyle w:val="66"/>
          <w:rFonts w:ascii="宋体" w:hAnsi="宋体"/>
          <w:b/>
          <w:szCs w:val="21"/>
          <w:highlight w:val="none"/>
        </w:rPr>
        <w:t>条款号：27.4          修改类型：修改</w:t>
      </w:r>
    </w:p>
    <w:p w14:paraId="637F1110">
      <w:pPr>
        <w:spacing w:line="360" w:lineRule="auto"/>
        <w:ind w:firstLine="422" w:firstLineChars="200"/>
        <w:rPr>
          <w:rStyle w:val="66"/>
          <w:rFonts w:ascii="宋体" w:hAnsi="宋体"/>
          <w:b/>
          <w:szCs w:val="21"/>
          <w:highlight w:val="none"/>
        </w:rPr>
      </w:pPr>
      <w:r>
        <w:rPr>
          <w:rStyle w:val="66"/>
          <w:rFonts w:ascii="宋体" w:hAnsi="宋体"/>
          <w:b/>
          <w:szCs w:val="21"/>
          <w:highlight w:val="none"/>
        </w:rPr>
        <w:t>原文：</w:t>
      </w:r>
      <w:r>
        <w:rPr>
          <w:rStyle w:val="66"/>
          <w:rFonts w:ascii="宋体" w:hAnsi="宋体"/>
          <w:szCs w:val="21"/>
          <w:highlight w:val="none"/>
        </w:rPr>
        <w:t>27.4招在产生中标候选人后，招标人将中标候选人的投标文件商务部分文件的所有内容（包括报价清单、人员、业绩、奖项等资料）在</w:t>
      </w:r>
      <w:r>
        <w:rPr>
          <w:rFonts w:hint="eastAsia" w:ascii="宋体" w:eastAsia="宋体" w:cs="宋体"/>
          <w:szCs w:val="21"/>
          <w:highlight w:val="none"/>
          <w:u w:val="single"/>
          <w:lang w:bidi="ar-SA"/>
        </w:rPr>
        <w:t xml:space="preserve">        </w:t>
      </w:r>
      <w:r>
        <w:rPr>
          <w:rStyle w:val="66"/>
          <w:rFonts w:ascii="宋体" w:hAnsi="宋体"/>
          <w:szCs w:val="21"/>
          <w:highlight w:val="none"/>
        </w:rPr>
        <w:t>交易平台和广东省招标投标监管网公开。</w:t>
      </w:r>
    </w:p>
    <w:p w14:paraId="18D270D3">
      <w:pPr>
        <w:pBdr>
          <w:bottom w:val="single" w:color="000000" w:sz="6" w:space="1"/>
        </w:pBdr>
        <w:spacing w:line="360" w:lineRule="auto"/>
        <w:ind w:firstLine="422" w:firstLineChars="200"/>
        <w:rPr>
          <w:rStyle w:val="66"/>
          <w:rFonts w:ascii="宋体" w:hAnsi="宋体"/>
          <w:szCs w:val="21"/>
          <w:highlight w:val="none"/>
        </w:rPr>
      </w:pPr>
      <w:r>
        <w:rPr>
          <w:rStyle w:val="66"/>
          <w:rFonts w:ascii="宋体" w:hAnsi="宋体"/>
          <w:b/>
          <w:szCs w:val="21"/>
          <w:highlight w:val="none"/>
        </w:rPr>
        <w:t>现文：</w:t>
      </w:r>
      <w:r>
        <w:rPr>
          <w:rStyle w:val="66"/>
          <w:rFonts w:ascii="宋体" w:hAnsi="宋体"/>
          <w:szCs w:val="21"/>
          <w:highlight w:val="none"/>
        </w:rPr>
        <w:t>27.4</w:t>
      </w:r>
      <w:r>
        <w:rPr>
          <w:rStyle w:val="66"/>
          <w:rFonts w:hint="eastAsia" w:ascii="宋体" w:hAnsi="宋体"/>
          <w:szCs w:val="21"/>
          <w:highlight w:val="none"/>
        </w:rPr>
        <w:t>在产生中标候选人后，招标人将中标候选人的投标文件商务部分文件的</w:t>
      </w:r>
      <w:r>
        <w:rPr>
          <w:rStyle w:val="66"/>
          <w:rFonts w:hint="eastAsia" w:ascii="宋体" w:hAnsi="宋体"/>
          <w:szCs w:val="21"/>
          <w:highlight w:val="none"/>
          <w:u w:val="single"/>
        </w:rPr>
        <w:t>人员、业绩、奖项等资料</w:t>
      </w:r>
      <w:r>
        <w:rPr>
          <w:rStyle w:val="66"/>
          <w:rFonts w:hint="eastAsia" w:ascii="宋体" w:hAnsi="宋体"/>
          <w:szCs w:val="21"/>
          <w:highlight w:val="none"/>
        </w:rPr>
        <w:t>在</w:t>
      </w:r>
      <w:r>
        <w:rPr>
          <w:rFonts w:ascii="宋体" w:hAnsi="宋体"/>
          <w:szCs w:val="21"/>
          <w:highlight w:val="none"/>
          <w:u w:val="single"/>
        </w:rPr>
        <w:t>广州公共资源交易中心</w:t>
      </w:r>
      <w:r>
        <w:rPr>
          <w:rStyle w:val="66"/>
          <w:rFonts w:hint="eastAsia" w:ascii="宋体" w:hAnsi="宋体"/>
          <w:szCs w:val="21"/>
          <w:highlight w:val="none"/>
        </w:rPr>
        <w:t>交易平台和广东省招标投标监管网公开。</w:t>
      </w:r>
    </w:p>
    <w:p w14:paraId="013562E7">
      <w:pPr>
        <w:spacing w:line="360" w:lineRule="auto"/>
        <w:ind w:firstLine="422" w:firstLineChars="200"/>
        <w:rPr>
          <w:rStyle w:val="66"/>
          <w:rFonts w:ascii="宋体" w:hAnsi="宋体"/>
          <w:b/>
          <w:szCs w:val="21"/>
          <w:highlight w:val="none"/>
        </w:rPr>
      </w:pPr>
      <w:r>
        <w:rPr>
          <w:rStyle w:val="66"/>
          <w:rFonts w:ascii="宋体" w:hAnsi="宋体"/>
          <w:b/>
          <w:szCs w:val="21"/>
          <w:highlight w:val="none"/>
        </w:rPr>
        <w:t>条款号：2</w:t>
      </w:r>
      <w:r>
        <w:rPr>
          <w:rStyle w:val="66"/>
          <w:rFonts w:hint="eastAsia" w:ascii="宋体" w:hAnsi="宋体"/>
          <w:b/>
          <w:szCs w:val="21"/>
          <w:highlight w:val="none"/>
        </w:rPr>
        <w:t>9</w:t>
      </w:r>
      <w:r>
        <w:rPr>
          <w:rStyle w:val="66"/>
          <w:rFonts w:ascii="宋体" w:hAnsi="宋体"/>
          <w:b/>
          <w:szCs w:val="21"/>
          <w:highlight w:val="none"/>
        </w:rPr>
        <w:t>.</w:t>
      </w:r>
      <w:r>
        <w:rPr>
          <w:rStyle w:val="66"/>
          <w:rFonts w:hint="eastAsia" w:ascii="宋体" w:hAnsi="宋体"/>
          <w:b/>
          <w:szCs w:val="21"/>
          <w:highlight w:val="none"/>
        </w:rPr>
        <w:t>1</w:t>
      </w:r>
      <w:r>
        <w:rPr>
          <w:rStyle w:val="66"/>
          <w:rFonts w:ascii="宋体" w:hAnsi="宋体"/>
          <w:b/>
          <w:szCs w:val="21"/>
          <w:highlight w:val="none"/>
        </w:rPr>
        <w:t xml:space="preserve">          修改类型：修改</w:t>
      </w:r>
    </w:p>
    <w:p w14:paraId="312B67E3">
      <w:pPr>
        <w:spacing w:line="360" w:lineRule="auto"/>
        <w:ind w:firstLine="422" w:firstLineChars="200"/>
        <w:rPr>
          <w:rStyle w:val="66"/>
          <w:rFonts w:ascii="宋体" w:hAnsi="宋体"/>
          <w:b/>
          <w:szCs w:val="21"/>
          <w:highlight w:val="none"/>
        </w:rPr>
      </w:pPr>
      <w:r>
        <w:rPr>
          <w:rStyle w:val="66"/>
          <w:rFonts w:ascii="宋体" w:hAnsi="宋体"/>
          <w:b/>
          <w:szCs w:val="21"/>
          <w:highlight w:val="none"/>
        </w:rPr>
        <w:t>原文：</w:t>
      </w:r>
      <w:r>
        <w:rPr>
          <w:rStyle w:val="66"/>
          <w:rFonts w:ascii="宋体" w:hAnsi="宋体"/>
          <w:szCs w:val="21"/>
          <w:highlight w:val="none"/>
        </w:rPr>
        <w:t>2</w:t>
      </w:r>
      <w:r>
        <w:rPr>
          <w:rStyle w:val="66"/>
          <w:rFonts w:hint="eastAsia" w:ascii="宋体" w:hAnsi="宋体"/>
          <w:szCs w:val="21"/>
          <w:highlight w:val="none"/>
        </w:rPr>
        <w:t>9</w:t>
      </w:r>
      <w:r>
        <w:rPr>
          <w:rStyle w:val="66"/>
          <w:rFonts w:ascii="宋体" w:hAnsi="宋体"/>
          <w:szCs w:val="21"/>
          <w:highlight w:val="none"/>
        </w:rPr>
        <w:t>.</w:t>
      </w:r>
      <w:r>
        <w:rPr>
          <w:rStyle w:val="66"/>
          <w:rFonts w:hint="eastAsia" w:ascii="宋体" w:hAnsi="宋体"/>
          <w:szCs w:val="21"/>
          <w:highlight w:val="none"/>
        </w:rPr>
        <w:t>1</w:t>
      </w:r>
      <w:r>
        <w:rPr>
          <w:rFonts w:hint="eastAsia" w:ascii="宋体" w:hAnsi="宋体"/>
          <w:szCs w:val="21"/>
          <w:highlight w:val="none"/>
        </w:rPr>
        <w:t>在收到中标通知书后的15日内，中标人应按本须知前附表第20项的规定向招标人提交履约担保。</w:t>
      </w:r>
    </w:p>
    <w:p w14:paraId="2762A78E">
      <w:pPr>
        <w:pBdr>
          <w:bottom w:val="single" w:color="000000" w:sz="6" w:space="1"/>
        </w:pBdr>
        <w:spacing w:line="360" w:lineRule="auto"/>
        <w:ind w:firstLine="422" w:firstLineChars="200"/>
        <w:rPr>
          <w:rStyle w:val="66"/>
          <w:rFonts w:ascii="宋体" w:hAnsi="宋体"/>
          <w:szCs w:val="21"/>
          <w:highlight w:val="none"/>
        </w:rPr>
      </w:pPr>
      <w:r>
        <w:rPr>
          <w:rStyle w:val="66"/>
          <w:rFonts w:ascii="宋体" w:hAnsi="宋体"/>
          <w:b/>
          <w:szCs w:val="21"/>
          <w:highlight w:val="none"/>
        </w:rPr>
        <w:t>现文：</w:t>
      </w:r>
      <w:r>
        <w:rPr>
          <w:rStyle w:val="66"/>
          <w:rFonts w:hint="eastAsia" w:ascii="宋体" w:hAnsi="宋体"/>
          <w:szCs w:val="21"/>
          <w:highlight w:val="none"/>
        </w:rPr>
        <w:t>29</w:t>
      </w:r>
      <w:r>
        <w:rPr>
          <w:rStyle w:val="66"/>
          <w:rFonts w:ascii="宋体" w:hAnsi="宋体"/>
          <w:szCs w:val="21"/>
          <w:highlight w:val="none"/>
        </w:rPr>
        <w:t>.</w:t>
      </w:r>
      <w:r>
        <w:rPr>
          <w:rStyle w:val="66"/>
          <w:rFonts w:hint="eastAsia" w:ascii="宋体" w:hAnsi="宋体"/>
          <w:szCs w:val="21"/>
          <w:highlight w:val="none"/>
        </w:rPr>
        <w:t>1</w:t>
      </w:r>
      <w:r>
        <w:rPr>
          <w:rFonts w:hint="eastAsia" w:ascii="宋体" w:hAnsi="宋体" w:cs="宋体"/>
          <w:szCs w:val="21"/>
          <w:highlight w:val="none"/>
        </w:rPr>
        <w:t>在</w:t>
      </w:r>
      <w:r>
        <w:rPr>
          <w:rFonts w:hint="eastAsia" w:ascii="宋体" w:hAnsi="宋体" w:cs="宋体"/>
          <w:szCs w:val="21"/>
          <w:highlight w:val="none"/>
          <w:u w:val="single"/>
        </w:rPr>
        <w:t>签订合同</w:t>
      </w:r>
      <w:r>
        <w:rPr>
          <w:rFonts w:hint="eastAsia" w:ascii="宋体" w:hAnsi="宋体" w:cs="宋体"/>
          <w:szCs w:val="21"/>
          <w:highlight w:val="none"/>
        </w:rPr>
        <w:t>后</w:t>
      </w:r>
      <w:r>
        <w:rPr>
          <w:rFonts w:hint="eastAsia" w:ascii="宋体" w:hAnsi="宋体" w:cs="宋体"/>
          <w:szCs w:val="21"/>
          <w:highlight w:val="none"/>
          <w:u w:val="single"/>
        </w:rPr>
        <w:t>按合同约定时间</w:t>
      </w:r>
      <w:r>
        <w:rPr>
          <w:rFonts w:hint="eastAsia" w:ascii="宋体" w:hAnsi="宋体" w:cs="宋体"/>
          <w:szCs w:val="21"/>
          <w:highlight w:val="none"/>
        </w:rPr>
        <w:t>，</w:t>
      </w:r>
      <w:r>
        <w:rPr>
          <w:rFonts w:hint="eastAsia" w:ascii="宋体" w:hAnsi="宋体"/>
          <w:szCs w:val="21"/>
          <w:highlight w:val="none"/>
        </w:rPr>
        <w:t>中标人应按本须知前附表第20项的规定向招标人提交履约担保。</w:t>
      </w:r>
    </w:p>
    <w:p w14:paraId="34D99D93">
      <w:pPr>
        <w:spacing w:line="360" w:lineRule="auto"/>
        <w:ind w:firstLine="422" w:firstLineChars="200"/>
        <w:rPr>
          <w:rStyle w:val="66"/>
          <w:rFonts w:ascii="宋体" w:hAnsi="宋体"/>
          <w:b/>
          <w:szCs w:val="21"/>
          <w:highlight w:val="none"/>
        </w:rPr>
      </w:pPr>
      <w:r>
        <w:rPr>
          <w:rStyle w:val="66"/>
          <w:rFonts w:ascii="宋体" w:hAnsi="宋体"/>
          <w:b/>
          <w:szCs w:val="21"/>
          <w:highlight w:val="none"/>
        </w:rPr>
        <w:t>条款号：2</w:t>
      </w:r>
      <w:r>
        <w:rPr>
          <w:rStyle w:val="66"/>
          <w:rFonts w:hint="eastAsia" w:ascii="宋体" w:hAnsi="宋体"/>
          <w:b/>
          <w:szCs w:val="21"/>
          <w:highlight w:val="none"/>
        </w:rPr>
        <w:t>9</w:t>
      </w:r>
      <w:r>
        <w:rPr>
          <w:rStyle w:val="66"/>
          <w:rFonts w:ascii="宋体" w:hAnsi="宋体"/>
          <w:b/>
          <w:szCs w:val="21"/>
          <w:highlight w:val="none"/>
        </w:rPr>
        <w:t>.</w:t>
      </w:r>
      <w:r>
        <w:rPr>
          <w:rStyle w:val="66"/>
          <w:rFonts w:hint="eastAsia" w:ascii="宋体" w:hAnsi="宋体"/>
          <w:b/>
          <w:szCs w:val="21"/>
          <w:highlight w:val="none"/>
        </w:rPr>
        <w:t>2</w:t>
      </w:r>
      <w:r>
        <w:rPr>
          <w:rStyle w:val="66"/>
          <w:rFonts w:ascii="宋体" w:hAnsi="宋体"/>
          <w:b/>
          <w:szCs w:val="21"/>
          <w:highlight w:val="none"/>
        </w:rPr>
        <w:t xml:space="preserve">          修改类型：修改</w:t>
      </w:r>
    </w:p>
    <w:p w14:paraId="0A025BF8">
      <w:pPr>
        <w:spacing w:line="360" w:lineRule="auto"/>
        <w:ind w:firstLine="422" w:firstLineChars="200"/>
        <w:rPr>
          <w:rStyle w:val="66"/>
          <w:rFonts w:ascii="宋体" w:hAnsi="宋体"/>
          <w:b/>
          <w:szCs w:val="21"/>
          <w:highlight w:val="none"/>
        </w:rPr>
      </w:pPr>
      <w:r>
        <w:rPr>
          <w:rStyle w:val="66"/>
          <w:rFonts w:ascii="宋体" w:hAnsi="宋体"/>
          <w:b/>
          <w:szCs w:val="21"/>
          <w:highlight w:val="none"/>
        </w:rPr>
        <w:t>原文：</w:t>
      </w:r>
      <w:r>
        <w:rPr>
          <w:rStyle w:val="66"/>
          <w:rFonts w:ascii="宋体" w:hAnsi="宋体"/>
          <w:szCs w:val="21"/>
          <w:highlight w:val="none"/>
        </w:rPr>
        <w:t>2</w:t>
      </w:r>
      <w:r>
        <w:rPr>
          <w:rStyle w:val="66"/>
          <w:rFonts w:hint="eastAsia" w:ascii="宋体" w:hAnsi="宋体"/>
          <w:szCs w:val="21"/>
          <w:highlight w:val="none"/>
        </w:rPr>
        <w:t>9</w:t>
      </w:r>
      <w:r>
        <w:rPr>
          <w:rStyle w:val="66"/>
          <w:rFonts w:ascii="宋体" w:hAnsi="宋体"/>
          <w:szCs w:val="21"/>
          <w:highlight w:val="none"/>
        </w:rPr>
        <w:t>.</w:t>
      </w:r>
      <w:r>
        <w:rPr>
          <w:rStyle w:val="66"/>
          <w:rFonts w:hint="eastAsia" w:ascii="宋体" w:hAnsi="宋体"/>
          <w:szCs w:val="21"/>
          <w:highlight w:val="none"/>
        </w:rPr>
        <w:t>2</w:t>
      </w:r>
      <w:r>
        <w:rPr>
          <w:rFonts w:hint="eastAsia" w:ascii="宋体" w:hAnsi="宋体"/>
          <w:szCs w:val="21"/>
          <w:highlight w:val="none"/>
        </w:rPr>
        <w:t>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2BD91489">
      <w:pPr>
        <w:pBdr>
          <w:bottom w:val="single" w:color="000000" w:sz="6" w:space="1"/>
        </w:pBdr>
        <w:spacing w:line="360" w:lineRule="auto"/>
        <w:ind w:firstLine="422" w:firstLineChars="200"/>
        <w:rPr>
          <w:rStyle w:val="66"/>
          <w:rFonts w:ascii="宋体" w:hAnsi="宋体"/>
          <w:szCs w:val="21"/>
          <w:highlight w:val="none"/>
        </w:rPr>
      </w:pPr>
      <w:r>
        <w:rPr>
          <w:rStyle w:val="66"/>
          <w:rFonts w:ascii="宋体" w:hAnsi="宋体"/>
          <w:b/>
          <w:szCs w:val="21"/>
          <w:highlight w:val="none"/>
        </w:rPr>
        <w:t>现文：</w:t>
      </w:r>
      <w:r>
        <w:rPr>
          <w:rStyle w:val="66"/>
          <w:rFonts w:hint="eastAsia" w:ascii="宋体" w:hAnsi="宋体"/>
          <w:szCs w:val="21"/>
          <w:highlight w:val="none"/>
        </w:rPr>
        <w:t>29</w:t>
      </w:r>
      <w:r>
        <w:rPr>
          <w:rStyle w:val="66"/>
          <w:rFonts w:ascii="宋体" w:hAnsi="宋体"/>
          <w:szCs w:val="21"/>
          <w:highlight w:val="none"/>
        </w:rPr>
        <w:t>.</w:t>
      </w:r>
      <w:r>
        <w:rPr>
          <w:rStyle w:val="66"/>
          <w:rFonts w:hint="eastAsia" w:ascii="宋体" w:hAnsi="宋体"/>
          <w:szCs w:val="21"/>
          <w:highlight w:val="none"/>
        </w:rPr>
        <w:t>2</w:t>
      </w:r>
      <w:r>
        <w:rPr>
          <w:rFonts w:hint="eastAsia" w:ascii="宋体" w:hAnsi="宋体" w:cs="宋体"/>
          <w:szCs w:val="21"/>
          <w:highlight w:val="none"/>
          <w:u w:val="single"/>
        </w:rPr>
        <w:t>在签订合同后，根据合同约定时间</w:t>
      </w:r>
      <w:r>
        <w:rPr>
          <w:rFonts w:hint="eastAsia" w:ascii="宋体" w:hAnsi="宋体" w:cs="宋体"/>
          <w:szCs w:val="21"/>
          <w:highlight w:val="none"/>
        </w:rPr>
        <w:t>，</w:t>
      </w:r>
      <w:r>
        <w:rPr>
          <w:rFonts w:hint="eastAsia" w:ascii="宋体" w:hAnsi="宋体"/>
          <w:szCs w:val="21"/>
          <w:highlight w:val="none"/>
        </w:rPr>
        <w:t>中标人未按上款的规定提交履约担保，招标人将解除中标通知书</w:t>
      </w:r>
      <w:r>
        <w:rPr>
          <w:rFonts w:hint="eastAsia" w:ascii="宋体" w:hAnsi="宋体"/>
          <w:szCs w:val="21"/>
          <w:highlight w:val="none"/>
          <w:lang w:eastAsia="zh-CN"/>
        </w:rPr>
        <w:t>，</w:t>
      </w:r>
      <w:r>
        <w:rPr>
          <w:rFonts w:hint="eastAsia" w:ascii="宋体" w:hAnsi="宋体"/>
          <w:szCs w:val="21"/>
          <w:highlight w:val="none"/>
        </w:rPr>
        <w:t>原中标人的投标保证金不予退还，且依法承担相应法律责任。原中标人给招标人造成的损失超过投标保证金数额的，还应当对超过部分予以赔偿。原中标人有异议的，可以向人民法院起诉。</w:t>
      </w:r>
    </w:p>
    <w:p w14:paraId="04AD0827">
      <w:pPr>
        <w:spacing w:line="360" w:lineRule="auto"/>
        <w:ind w:firstLine="422" w:firstLineChars="200"/>
        <w:rPr>
          <w:rStyle w:val="66"/>
          <w:rFonts w:ascii="宋体" w:hAnsi="宋体"/>
          <w:b/>
          <w:szCs w:val="21"/>
          <w:highlight w:val="none"/>
        </w:rPr>
      </w:pPr>
      <w:r>
        <w:rPr>
          <w:rStyle w:val="66"/>
          <w:rFonts w:ascii="宋体" w:hAnsi="宋体"/>
          <w:b/>
          <w:szCs w:val="21"/>
          <w:highlight w:val="none"/>
        </w:rPr>
        <w:t>条款号：31.1          修改类型：增加</w:t>
      </w:r>
    </w:p>
    <w:p w14:paraId="0F0E59F4">
      <w:pPr>
        <w:pBdr>
          <w:bottom w:val="single" w:color="000000" w:sz="6" w:space="1"/>
        </w:pBdr>
        <w:spacing w:line="360" w:lineRule="auto"/>
        <w:ind w:firstLine="422" w:firstLineChars="200"/>
        <w:rPr>
          <w:rStyle w:val="66"/>
          <w:rFonts w:ascii="宋体" w:hAnsi="宋体"/>
          <w:szCs w:val="21"/>
          <w:highlight w:val="none"/>
          <w:u w:val="single"/>
        </w:rPr>
      </w:pPr>
      <w:r>
        <w:rPr>
          <w:rStyle w:val="66"/>
          <w:rFonts w:ascii="宋体" w:hAnsi="宋体"/>
          <w:b/>
          <w:szCs w:val="21"/>
          <w:highlight w:val="none"/>
        </w:rPr>
        <w:t>现文：</w:t>
      </w:r>
      <w:r>
        <w:rPr>
          <w:rStyle w:val="66"/>
          <w:rFonts w:hint="eastAsia" w:ascii="宋体" w:hAnsi="宋体"/>
          <w:szCs w:val="21"/>
          <w:highlight w:val="none"/>
          <w:u w:val="single"/>
        </w:rPr>
        <w:t>中标人向</w:t>
      </w:r>
      <w:r>
        <w:rPr>
          <w:rStyle w:val="66"/>
          <w:rFonts w:ascii="宋体" w:hAnsi="宋体"/>
          <w:szCs w:val="21"/>
          <w:highlight w:val="none"/>
          <w:u w:val="single"/>
        </w:rPr>
        <w:t>广州公共资源交易中心交纳交易服务费</w:t>
      </w:r>
      <w:r>
        <w:rPr>
          <w:rStyle w:val="66"/>
          <w:rFonts w:hint="eastAsia" w:ascii="宋体" w:hAnsi="宋体"/>
          <w:szCs w:val="21"/>
          <w:highlight w:val="none"/>
          <w:u w:val="single"/>
        </w:rPr>
        <w:t>。</w:t>
      </w:r>
    </w:p>
    <w:p w14:paraId="63C3E9B8">
      <w:pPr>
        <w:spacing w:line="360" w:lineRule="auto"/>
        <w:ind w:firstLine="422" w:firstLineChars="200"/>
        <w:rPr>
          <w:rStyle w:val="66"/>
          <w:rFonts w:ascii="宋体" w:hAnsi="宋体"/>
          <w:b/>
          <w:szCs w:val="21"/>
          <w:highlight w:val="none"/>
        </w:rPr>
      </w:pPr>
      <w:r>
        <w:rPr>
          <w:rStyle w:val="66"/>
          <w:rFonts w:ascii="宋体" w:hAnsi="宋体"/>
          <w:b/>
          <w:szCs w:val="21"/>
          <w:highlight w:val="none"/>
        </w:rPr>
        <w:t>条款号：</w:t>
      </w:r>
      <w:r>
        <w:rPr>
          <w:rStyle w:val="66"/>
          <w:rFonts w:hint="eastAsia" w:ascii="宋体" w:hAnsi="宋体"/>
          <w:b/>
          <w:szCs w:val="21"/>
          <w:highlight w:val="none"/>
        </w:rPr>
        <w:t>32.3</w:t>
      </w:r>
      <w:r>
        <w:rPr>
          <w:rStyle w:val="66"/>
          <w:rFonts w:ascii="宋体" w:hAnsi="宋体"/>
          <w:b/>
          <w:szCs w:val="21"/>
          <w:highlight w:val="none"/>
        </w:rPr>
        <w:t xml:space="preserve">          修改类型：修改</w:t>
      </w:r>
    </w:p>
    <w:p w14:paraId="5785B37B">
      <w:pPr>
        <w:pBdr>
          <w:bottom w:val="single" w:color="000000" w:sz="6" w:space="1"/>
        </w:pBdr>
        <w:spacing w:line="360" w:lineRule="auto"/>
        <w:ind w:firstLine="422" w:firstLineChars="200"/>
        <w:rPr>
          <w:rStyle w:val="66"/>
          <w:rFonts w:ascii="宋体" w:hAnsi="宋体"/>
          <w:b/>
          <w:szCs w:val="21"/>
          <w:highlight w:val="none"/>
        </w:rPr>
      </w:pPr>
      <w:r>
        <w:rPr>
          <w:rStyle w:val="66"/>
          <w:rFonts w:ascii="宋体" w:hAnsi="宋体"/>
          <w:b/>
          <w:szCs w:val="21"/>
          <w:highlight w:val="none"/>
        </w:rPr>
        <w:t>原文：</w:t>
      </w:r>
      <w:r>
        <w:rPr>
          <w:rStyle w:val="66"/>
          <w:rFonts w:hint="eastAsia" w:ascii="宋体" w:hAnsi="宋体"/>
          <w:bCs/>
          <w:szCs w:val="21"/>
          <w:highlight w:val="none"/>
        </w:rPr>
        <w:t>32.3 投标人如在本项目中存在串通投标、弄虚作假、行贿情形的，中标无效，行政监督部门将对其违法行为进行政处罚并通报。该投标人将被招标人列入黑名单并限制其参与招标人后续项目的投标</w:t>
      </w:r>
      <w:r>
        <w:rPr>
          <w:rStyle w:val="66"/>
          <w:rFonts w:hint="eastAsia" w:ascii="宋体" w:hAnsi="宋体"/>
          <w:b/>
          <w:szCs w:val="21"/>
          <w:highlight w:val="none"/>
        </w:rPr>
        <w:t>。</w:t>
      </w:r>
    </w:p>
    <w:p w14:paraId="36C96A5F">
      <w:pPr>
        <w:pBdr>
          <w:bottom w:val="single" w:color="000000" w:sz="6" w:space="1"/>
        </w:pBdr>
        <w:spacing w:line="360" w:lineRule="auto"/>
        <w:ind w:firstLine="422" w:firstLineChars="200"/>
        <w:rPr>
          <w:rFonts w:ascii="仿宋" w:hAnsi="仿宋" w:eastAsia="仿宋" w:cs="宋体"/>
          <w:b w:val="0"/>
          <w:bCs/>
          <w:kern w:val="0"/>
          <w:sz w:val="22"/>
          <w:highlight w:val="none"/>
          <w:u w:val="none"/>
        </w:rPr>
      </w:pPr>
      <w:r>
        <w:rPr>
          <w:rStyle w:val="66"/>
          <w:rFonts w:ascii="宋体" w:hAnsi="宋体"/>
          <w:b/>
          <w:szCs w:val="21"/>
          <w:highlight w:val="none"/>
        </w:rPr>
        <w:t>现文：</w:t>
      </w:r>
      <w:r>
        <w:rPr>
          <w:rStyle w:val="66"/>
          <w:rFonts w:hint="eastAsia" w:ascii="宋体" w:hAnsi="宋体"/>
          <w:bCs/>
          <w:szCs w:val="21"/>
          <w:highlight w:val="none"/>
        </w:rPr>
        <w:t>32.3 投标人如在本项目中存在串通投标、弄虚作假</w:t>
      </w:r>
      <w:r>
        <w:rPr>
          <w:rStyle w:val="66"/>
          <w:rFonts w:hint="eastAsia" w:ascii="宋体" w:hAnsi="宋体"/>
          <w:b w:val="0"/>
          <w:bCs/>
          <w:szCs w:val="21"/>
          <w:highlight w:val="none"/>
          <w:u w:val="single"/>
        </w:rPr>
        <w:t>骗取中标</w:t>
      </w:r>
      <w:r>
        <w:rPr>
          <w:rStyle w:val="66"/>
          <w:rFonts w:hint="eastAsia" w:ascii="宋体" w:hAnsi="宋体"/>
          <w:bCs/>
          <w:szCs w:val="21"/>
          <w:highlight w:val="none"/>
        </w:rPr>
        <w:t>、行贿情形的，中标无效，行政监督部门将对其违法行为进行政处罚。</w:t>
      </w:r>
      <w:r>
        <w:rPr>
          <w:rStyle w:val="66"/>
          <w:rFonts w:hint="eastAsia" w:ascii="宋体" w:hAnsi="宋体"/>
          <w:b w:val="0"/>
          <w:bCs/>
          <w:szCs w:val="21"/>
          <w:highlight w:val="none"/>
          <w:u w:val="none"/>
        </w:rPr>
        <w:t>该投标人将被招标人列入黑名单并限制其参与招标人后续项目的投标。</w:t>
      </w:r>
    </w:p>
    <w:p w14:paraId="28C3C2B1">
      <w:pPr>
        <w:spacing w:line="360" w:lineRule="auto"/>
        <w:ind w:firstLine="422" w:firstLineChars="200"/>
        <w:rPr>
          <w:rStyle w:val="66"/>
          <w:rFonts w:ascii="宋体" w:hAnsi="宋体"/>
          <w:b/>
          <w:szCs w:val="21"/>
          <w:highlight w:val="none"/>
        </w:rPr>
      </w:pPr>
      <w:r>
        <w:rPr>
          <w:rStyle w:val="66"/>
          <w:rFonts w:ascii="宋体" w:hAnsi="宋体"/>
          <w:b/>
          <w:szCs w:val="21"/>
          <w:highlight w:val="none"/>
        </w:rPr>
        <w:t>条款号：</w:t>
      </w:r>
      <w:r>
        <w:rPr>
          <w:rStyle w:val="66"/>
          <w:rFonts w:hint="eastAsia" w:ascii="宋体" w:hAnsi="宋体"/>
          <w:b/>
          <w:szCs w:val="21"/>
          <w:highlight w:val="none"/>
        </w:rPr>
        <w:t>33</w:t>
      </w:r>
      <w:r>
        <w:rPr>
          <w:rStyle w:val="66"/>
          <w:rFonts w:ascii="宋体" w:hAnsi="宋体"/>
          <w:b/>
          <w:szCs w:val="21"/>
          <w:highlight w:val="none"/>
        </w:rPr>
        <w:t xml:space="preserve">          修改类型：删除</w:t>
      </w:r>
    </w:p>
    <w:p w14:paraId="2F15DCA9">
      <w:pPr>
        <w:spacing w:line="360" w:lineRule="auto"/>
        <w:ind w:firstLine="422" w:firstLineChars="200"/>
        <w:rPr>
          <w:rStyle w:val="66"/>
          <w:rFonts w:ascii="宋体" w:hAnsi="宋体"/>
          <w:szCs w:val="21"/>
          <w:highlight w:val="none"/>
        </w:rPr>
      </w:pPr>
      <w:r>
        <w:rPr>
          <w:rStyle w:val="66"/>
          <w:rFonts w:ascii="宋体" w:hAnsi="宋体"/>
          <w:b/>
          <w:szCs w:val="21"/>
          <w:highlight w:val="none"/>
        </w:rPr>
        <w:t>原文：</w:t>
      </w:r>
      <w:r>
        <w:rPr>
          <w:rStyle w:val="66"/>
          <w:rFonts w:hint="eastAsia" w:ascii="宋体" w:hAnsi="宋体"/>
          <w:szCs w:val="21"/>
          <w:highlight w:val="none"/>
        </w:rPr>
        <w:t>33 投标人信誉的要求</w:t>
      </w:r>
    </w:p>
    <w:p w14:paraId="12994F6E">
      <w:pPr>
        <w:spacing w:line="360" w:lineRule="auto"/>
        <w:ind w:firstLine="420" w:firstLineChars="200"/>
        <w:rPr>
          <w:rStyle w:val="66"/>
          <w:rFonts w:ascii="宋体" w:hAnsi="宋体"/>
          <w:szCs w:val="21"/>
          <w:highlight w:val="none"/>
        </w:rPr>
      </w:pPr>
      <w:r>
        <w:rPr>
          <w:rStyle w:val="66"/>
          <w:rFonts w:hint="eastAsia" w:ascii="宋体" w:hAnsi="宋体"/>
          <w:szCs w:val="21"/>
          <w:highlight w:val="none"/>
        </w:rPr>
        <w:t>存在下列情形之一的，招标人可以限制其投标（需在招标文件中明确评定方法）</w:t>
      </w:r>
    </w:p>
    <w:p w14:paraId="40384F68">
      <w:pPr>
        <w:spacing w:line="360" w:lineRule="auto"/>
        <w:ind w:firstLine="420" w:firstLineChars="200"/>
        <w:rPr>
          <w:rStyle w:val="66"/>
          <w:rFonts w:ascii="宋体" w:hAnsi="宋体"/>
          <w:szCs w:val="21"/>
          <w:highlight w:val="none"/>
        </w:rPr>
      </w:pPr>
      <w:r>
        <w:rPr>
          <w:rStyle w:val="66"/>
          <w:rFonts w:hint="eastAsia" w:ascii="宋体" w:hAnsi="宋体"/>
          <w:szCs w:val="21"/>
          <w:highlight w:val="none"/>
        </w:rPr>
        <w:t>（1）被住房城乡建设行政主管部门在全国建筑市场监管一体化工作平台列入建筑市场主体“黑名单”；</w:t>
      </w:r>
    </w:p>
    <w:p w14:paraId="787FE083">
      <w:pPr>
        <w:pBdr>
          <w:bottom w:val="single" w:color="000000" w:sz="6" w:space="1"/>
        </w:pBdr>
        <w:spacing w:line="360" w:lineRule="auto"/>
        <w:ind w:firstLine="420" w:firstLineChars="200"/>
        <w:rPr>
          <w:rStyle w:val="66"/>
          <w:rFonts w:ascii="宋体" w:hAnsi="宋体"/>
          <w:szCs w:val="21"/>
          <w:highlight w:val="none"/>
        </w:rPr>
      </w:pPr>
      <w:r>
        <w:rPr>
          <w:rStyle w:val="66"/>
          <w:rFonts w:hint="eastAsia" w:ascii="宋体" w:hAnsi="宋体"/>
          <w:szCs w:val="21"/>
          <w:highlight w:val="none"/>
        </w:rPr>
        <w:t>（2）被发改委、人力资源社会保障、质检总局等有关部门、单位在“信用中国”网站中列入联合惩戒失信黑名单。</w:t>
      </w:r>
    </w:p>
    <w:p w14:paraId="38CB1B31">
      <w:pPr>
        <w:spacing w:line="360" w:lineRule="auto"/>
        <w:ind w:firstLine="211" w:firstLineChars="100"/>
        <w:rPr>
          <w:rStyle w:val="66"/>
          <w:rFonts w:ascii="宋体" w:hAnsi="宋体"/>
          <w:b/>
          <w:szCs w:val="21"/>
          <w:highlight w:val="none"/>
        </w:rPr>
      </w:pPr>
      <w:r>
        <w:rPr>
          <w:rStyle w:val="66"/>
          <w:rFonts w:ascii="宋体" w:hAnsi="宋体"/>
          <w:b/>
          <w:szCs w:val="21"/>
          <w:highlight w:val="none"/>
        </w:rPr>
        <w:t>注：以上修改，仅限于本范本中有可供选择条款的情形。</w:t>
      </w:r>
    </w:p>
    <w:p w14:paraId="7367A141">
      <w:pPr>
        <w:spacing w:line="360" w:lineRule="auto"/>
        <w:rPr>
          <w:rStyle w:val="66"/>
          <w:rFonts w:ascii="宋体" w:hAnsi="宋体"/>
          <w:szCs w:val="21"/>
          <w:highlight w:val="none"/>
        </w:rPr>
      </w:pPr>
      <w:r>
        <w:rPr>
          <w:rStyle w:val="66"/>
          <w:rFonts w:ascii="宋体" w:hAnsi="宋体"/>
          <w:b/>
          <w:szCs w:val="21"/>
          <w:highlight w:val="none"/>
        </w:rPr>
        <w:t>（以下无正文）</w:t>
      </w:r>
    </w:p>
    <w:p w14:paraId="5B425937">
      <w:pPr>
        <w:pStyle w:val="123"/>
        <w:spacing w:line="276" w:lineRule="auto"/>
        <w:outlineLvl w:val="1"/>
        <w:rPr>
          <w:rStyle w:val="66"/>
          <w:rFonts w:ascii="宋体" w:hAnsi="宋体"/>
          <w:b/>
          <w:color w:val="auto"/>
          <w:highlight w:val="none"/>
        </w:rPr>
      </w:pPr>
      <w:r>
        <w:rPr>
          <w:rStyle w:val="66"/>
          <w:rFonts w:ascii="宋体" w:hAnsi="宋体"/>
          <w:b/>
          <w:color w:val="auto"/>
          <w:highlight w:val="none"/>
        </w:rPr>
        <w:br w:type="page"/>
      </w:r>
      <w:bookmarkStart w:id="5" w:name="_Toc105014623"/>
      <w:r>
        <w:rPr>
          <w:rStyle w:val="66"/>
          <w:rFonts w:ascii="宋体" w:hAnsi="宋体"/>
          <w:b/>
          <w:color w:val="auto"/>
          <w:highlight w:val="none"/>
        </w:rPr>
        <w:t>三、投标须知通用条款</w:t>
      </w:r>
      <w:bookmarkEnd w:id="5"/>
    </w:p>
    <w:p w14:paraId="2AC1622E">
      <w:pPr>
        <w:pStyle w:val="5"/>
        <w:spacing w:before="156" w:beforeAutospacing="0" w:after="156" w:afterAutospacing="0" w:line="276" w:lineRule="auto"/>
        <w:rPr>
          <w:b/>
          <w:bCs/>
          <w:sz w:val="21"/>
          <w:szCs w:val="21"/>
          <w:highlight w:val="none"/>
        </w:rPr>
      </w:pPr>
      <w:bookmarkStart w:id="6" w:name="_Toc105014624"/>
      <w:r>
        <w:rPr>
          <w:rFonts w:hint="eastAsia"/>
          <w:b/>
          <w:bCs/>
          <w:sz w:val="21"/>
          <w:szCs w:val="21"/>
          <w:highlight w:val="none"/>
        </w:rPr>
        <w:t>（一）总则</w:t>
      </w:r>
      <w:bookmarkEnd w:id="6"/>
    </w:p>
    <w:p w14:paraId="23989CBB">
      <w:pPr>
        <w:pStyle w:val="24"/>
        <w:spacing w:after="0" w:line="276" w:lineRule="auto"/>
        <w:ind w:firstLine="422" w:firstLineChars="200"/>
        <w:rPr>
          <w:rFonts w:ascii="宋体" w:hAnsi="宋体"/>
          <w:b/>
          <w:bCs/>
          <w:sz w:val="21"/>
          <w:szCs w:val="21"/>
          <w:highlight w:val="none"/>
        </w:rPr>
      </w:pPr>
      <w:r>
        <w:rPr>
          <w:rFonts w:ascii="宋体" w:hAnsi="宋体"/>
          <w:b/>
          <w:bCs/>
          <w:sz w:val="21"/>
          <w:szCs w:val="21"/>
          <w:highlight w:val="none"/>
        </w:rPr>
        <w:t xml:space="preserve">1. </w:t>
      </w:r>
      <w:r>
        <w:rPr>
          <w:rFonts w:hint="eastAsia" w:ascii="宋体" w:hAnsi="宋体"/>
          <w:b/>
          <w:bCs/>
          <w:sz w:val="21"/>
          <w:szCs w:val="21"/>
          <w:highlight w:val="none"/>
        </w:rPr>
        <w:t>定义</w:t>
      </w:r>
    </w:p>
    <w:p w14:paraId="70E69D7F">
      <w:pPr>
        <w:pStyle w:val="24"/>
        <w:spacing w:after="0" w:line="276" w:lineRule="auto"/>
        <w:ind w:firstLine="420" w:firstLineChars="200"/>
        <w:rPr>
          <w:rFonts w:ascii="宋体" w:hAnsi="宋体"/>
          <w:b/>
          <w:bCs/>
          <w:sz w:val="21"/>
          <w:szCs w:val="21"/>
          <w:highlight w:val="none"/>
        </w:rPr>
      </w:pPr>
      <w:r>
        <w:rPr>
          <w:rFonts w:hint="eastAsia" w:ascii="宋体" w:hAnsi="宋体"/>
          <w:sz w:val="21"/>
          <w:szCs w:val="21"/>
          <w:highlight w:val="none"/>
        </w:rPr>
        <w:t>本招标文件使用的下列词语具有如下规定的意义：</w:t>
      </w:r>
    </w:p>
    <w:p w14:paraId="6BC3EE9A">
      <w:pPr>
        <w:pStyle w:val="24"/>
        <w:spacing w:after="0" w:line="276" w:lineRule="auto"/>
        <w:ind w:firstLine="420" w:firstLineChars="200"/>
        <w:rPr>
          <w:rFonts w:ascii="宋体" w:hAnsi="宋体"/>
          <w:b/>
          <w:bCs/>
          <w:sz w:val="21"/>
          <w:szCs w:val="21"/>
          <w:highlight w:val="none"/>
          <w:u w:val="single"/>
        </w:rPr>
      </w:pPr>
      <w:r>
        <w:rPr>
          <w:rFonts w:hint="eastAsia" w:ascii="宋体" w:hAnsi="宋体"/>
          <w:sz w:val="21"/>
          <w:szCs w:val="21"/>
          <w:highlight w:val="none"/>
        </w:rPr>
        <w:t>（1）“招标人”（即发包人）、“项目建设管理单位”（或称“项目代建单位”）、“招标代理”、“设计单位”、“监理单位”均已在投标须知前附表中列明。</w:t>
      </w:r>
    </w:p>
    <w:p w14:paraId="1D0A6FA6">
      <w:pPr>
        <w:pStyle w:val="24"/>
        <w:spacing w:after="0" w:line="276" w:lineRule="auto"/>
        <w:ind w:firstLine="420" w:firstLineChars="200"/>
        <w:rPr>
          <w:rFonts w:ascii="宋体" w:hAnsi="宋体"/>
          <w:sz w:val="21"/>
          <w:szCs w:val="21"/>
          <w:highlight w:val="none"/>
          <w:u w:val="single"/>
        </w:rPr>
      </w:pPr>
      <w:r>
        <w:rPr>
          <w:rFonts w:hint="eastAsia" w:ascii="宋体" w:hAnsi="宋体"/>
          <w:sz w:val="21"/>
          <w:szCs w:val="21"/>
          <w:highlight w:val="none"/>
        </w:rPr>
        <w:t xml:space="preserve">（2）“投标人”指向招标人提交投标文件的当事人。   </w:t>
      </w:r>
    </w:p>
    <w:p w14:paraId="6BA9A147">
      <w:pPr>
        <w:pStyle w:val="24"/>
        <w:spacing w:after="0" w:line="276" w:lineRule="auto"/>
        <w:ind w:firstLine="420" w:firstLineChars="200"/>
        <w:rPr>
          <w:rFonts w:ascii="宋体" w:hAnsi="宋体"/>
          <w:sz w:val="21"/>
          <w:szCs w:val="21"/>
          <w:highlight w:val="none"/>
        </w:rPr>
      </w:pPr>
      <w:r>
        <w:rPr>
          <w:rFonts w:hint="eastAsia" w:ascii="宋体" w:hAnsi="宋体"/>
          <w:sz w:val="21"/>
          <w:szCs w:val="21"/>
          <w:highlight w:val="none"/>
        </w:rPr>
        <w:t>（3）“承包人”指其投标被招标人接受并与其签订承包合同的当事人。</w:t>
      </w:r>
    </w:p>
    <w:p w14:paraId="1726B2BC">
      <w:pPr>
        <w:pStyle w:val="24"/>
        <w:spacing w:after="0" w:line="276" w:lineRule="auto"/>
        <w:ind w:firstLine="420" w:firstLineChars="200"/>
        <w:rPr>
          <w:rFonts w:ascii="宋体" w:hAnsi="宋体"/>
          <w:sz w:val="21"/>
          <w:szCs w:val="21"/>
          <w:highlight w:val="none"/>
          <w:u w:val="single"/>
        </w:rPr>
      </w:pPr>
      <w:r>
        <w:rPr>
          <w:rFonts w:hint="eastAsia" w:ascii="宋体" w:hAnsi="宋体"/>
          <w:sz w:val="21"/>
          <w:szCs w:val="21"/>
          <w:highlight w:val="none"/>
        </w:rPr>
        <w:t>（4）“招标文件”指由招标代理发出的本文件（包括全部章节、附件）及招标答疑会会议纪要和</w:t>
      </w:r>
      <w:r>
        <w:rPr>
          <w:rFonts w:hint="eastAsia" w:ascii="宋体" w:hAnsi="宋体"/>
          <w:bCs/>
          <w:sz w:val="21"/>
          <w:szCs w:val="21"/>
          <w:highlight w:val="none"/>
        </w:rPr>
        <w:t>招标文件的澄清与修改</w:t>
      </w:r>
      <w:r>
        <w:rPr>
          <w:rFonts w:hint="eastAsia" w:ascii="宋体" w:hAnsi="宋体"/>
          <w:sz w:val="21"/>
          <w:szCs w:val="21"/>
          <w:highlight w:val="none"/>
        </w:rPr>
        <w:t>文件。</w:t>
      </w:r>
    </w:p>
    <w:p w14:paraId="15292AFF">
      <w:pPr>
        <w:pStyle w:val="24"/>
        <w:spacing w:after="0" w:line="276" w:lineRule="auto"/>
        <w:ind w:firstLine="420" w:firstLineChars="200"/>
        <w:rPr>
          <w:rFonts w:ascii="宋体" w:hAnsi="宋体"/>
          <w:sz w:val="21"/>
          <w:szCs w:val="21"/>
          <w:highlight w:val="none"/>
        </w:rPr>
      </w:pPr>
      <w:r>
        <w:rPr>
          <w:rFonts w:hint="eastAsia" w:ascii="宋体" w:hAnsi="宋体"/>
          <w:sz w:val="21"/>
          <w:szCs w:val="21"/>
          <w:highlight w:val="none"/>
        </w:rPr>
        <w:t>（5）“投标文件”指投标人根据本项目招标文件向招标人提交的全部文件。</w:t>
      </w:r>
    </w:p>
    <w:p w14:paraId="733D0D32">
      <w:pPr>
        <w:pStyle w:val="24"/>
        <w:spacing w:after="0" w:line="276" w:lineRule="auto"/>
        <w:ind w:firstLine="420" w:firstLineChars="200"/>
        <w:rPr>
          <w:rFonts w:ascii="宋体" w:hAnsi="宋体"/>
          <w:sz w:val="21"/>
          <w:szCs w:val="21"/>
          <w:highlight w:val="none"/>
        </w:rPr>
      </w:pPr>
      <w:r>
        <w:rPr>
          <w:rFonts w:hint="eastAsia" w:ascii="宋体" w:hAnsi="宋体"/>
          <w:sz w:val="21"/>
          <w:szCs w:val="21"/>
          <w:highlight w:val="none"/>
        </w:rPr>
        <w:t>（6）“书面形式”指打字或印刷的文件和数据电文（包括电报、电传、传真、电子数据交换和电子邮件）。</w:t>
      </w:r>
    </w:p>
    <w:p w14:paraId="3F13863D">
      <w:pPr>
        <w:spacing w:line="276" w:lineRule="auto"/>
        <w:ind w:firstLine="422" w:firstLineChars="200"/>
        <w:rPr>
          <w:rFonts w:ascii="宋体" w:hAnsi="宋体"/>
          <w:b/>
          <w:szCs w:val="21"/>
          <w:highlight w:val="none"/>
        </w:rPr>
      </w:pPr>
      <w:r>
        <w:rPr>
          <w:rFonts w:ascii="宋体" w:hAnsi="宋体"/>
          <w:b/>
          <w:szCs w:val="21"/>
          <w:highlight w:val="none"/>
        </w:rPr>
        <w:t xml:space="preserve">2. </w:t>
      </w:r>
      <w:r>
        <w:rPr>
          <w:rFonts w:hint="eastAsia" w:ascii="宋体" w:hAnsi="宋体"/>
          <w:b/>
          <w:szCs w:val="21"/>
          <w:highlight w:val="none"/>
        </w:rPr>
        <w:t>招标说明</w:t>
      </w:r>
    </w:p>
    <w:p w14:paraId="1E2AB4D8">
      <w:pPr>
        <w:spacing w:line="276" w:lineRule="auto"/>
        <w:ind w:firstLine="420" w:firstLineChars="200"/>
        <w:rPr>
          <w:rFonts w:ascii="宋体" w:hAnsi="宋体"/>
          <w:bCs/>
          <w:szCs w:val="21"/>
          <w:highlight w:val="none"/>
        </w:rPr>
      </w:pPr>
      <w:r>
        <w:rPr>
          <w:rFonts w:hint="eastAsia" w:ascii="宋体" w:hAnsi="宋体"/>
          <w:bCs/>
          <w:szCs w:val="21"/>
          <w:highlight w:val="none"/>
        </w:rPr>
        <w:t>2.1本招标工程项目按照《中华人民共和国招标投标法》等有关法律、行政法规、规章和规范性文件，通过招标方式选定承包人。</w:t>
      </w:r>
    </w:p>
    <w:p w14:paraId="23F84C6B">
      <w:pPr>
        <w:spacing w:line="276" w:lineRule="auto"/>
        <w:ind w:firstLine="420" w:firstLineChars="200"/>
        <w:rPr>
          <w:rFonts w:ascii="宋体" w:hAnsi="宋体"/>
          <w:bCs/>
          <w:szCs w:val="21"/>
          <w:highlight w:val="none"/>
        </w:rPr>
      </w:pPr>
      <w:r>
        <w:rPr>
          <w:rFonts w:hint="eastAsia" w:ascii="宋体" w:hAnsi="宋体"/>
          <w:bCs/>
          <w:szCs w:val="21"/>
          <w:highlight w:val="none"/>
        </w:rPr>
        <w:t>2.2工程名称、建设地点、建设规模、承包方式、质量标准、招标范围、工期要求等均在投标须知前附表中列明。</w:t>
      </w:r>
    </w:p>
    <w:p w14:paraId="2B932FDE">
      <w:pPr>
        <w:spacing w:line="276" w:lineRule="auto"/>
        <w:ind w:firstLine="420" w:firstLineChars="200"/>
        <w:rPr>
          <w:rFonts w:ascii="宋体" w:hAnsi="宋体"/>
          <w:bCs/>
          <w:szCs w:val="21"/>
          <w:highlight w:val="none"/>
        </w:rPr>
      </w:pPr>
      <w:r>
        <w:rPr>
          <w:rFonts w:hint="eastAsia" w:ascii="宋体" w:hAnsi="宋体"/>
          <w:bCs/>
          <w:szCs w:val="21"/>
          <w:highlight w:val="none"/>
        </w:rPr>
        <w:t>2.3设计说明：详见招标图纸。</w:t>
      </w:r>
    </w:p>
    <w:p w14:paraId="3D5B45DC">
      <w:pPr>
        <w:spacing w:line="276" w:lineRule="auto"/>
        <w:ind w:firstLine="420" w:firstLineChars="200"/>
        <w:rPr>
          <w:rFonts w:ascii="宋体" w:hAnsi="宋体"/>
          <w:bCs/>
          <w:szCs w:val="21"/>
          <w:highlight w:val="none"/>
        </w:rPr>
      </w:pPr>
      <w:r>
        <w:rPr>
          <w:rFonts w:hint="eastAsia" w:ascii="宋体" w:hAnsi="宋体"/>
          <w:bCs/>
          <w:szCs w:val="21"/>
          <w:highlight w:val="none"/>
        </w:rPr>
        <w:t>2.4工程施工特点：详见招标图纸。</w:t>
      </w:r>
    </w:p>
    <w:p w14:paraId="5153D041">
      <w:pPr>
        <w:spacing w:line="276" w:lineRule="auto"/>
        <w:ind w:firstLine="422" w:firstLineChars="200"/>
        <w:rPr>
          <w:rFonts w:ascii="宋体" w:hAnsi="宋体"/>
          <w:b/>
          <w:szCs w:val="21"/>
          <w:highlight w:val="none"/>
        </w:rPr>
      </w:pPr>
      <w:r>
        <w:rPr>
          <w:rFonts w:ascii="宋体" w:hAnsi="宋体"/>
          <w:b/>
          <w:szCs w:val="21"/>
          <w:highlight w:val="none"/>
        </w:rPr>
        <w:t xml:space="preserve">3. </w:t>
      </w:r>
      <w:r>
        <w:rPr>
          <w:rFonts w:hint="eastAsia" w:ascii="宋体" w:hAnsi="宋体"/>
          <w:b/>
          <w:szCs w:val="21"/>
          <w:highlight w:val="none"/>
        </w:rPr>
        <w:t>资金来源</w:t>
      </w:r>
    </w:p>
    <w:p w14:paraId="1790B0F6">
      <w:pPr>
        <w:spacing w:line="276" w:lineRule="auto"/>
        <w:ind w:firstLine="420" w:firstLineChars="200"/>
        <w:rPr>
          <w:rFonts w:ascii="宋体" w:hAnsi="宋体"/>
          <w:bCs/>
          <w:szCs w:val="21"/>
          <w:highlight w:val="none"/>
        </w:rPr>
      </w:pPr>
      <w:r>
        <w:rPr>
          <w:rFonts w:hint="eastAsia" w:ascii="宋体" w:hAnsi="宋体"/>
          <w:bCs/>
          <w:szCs w:val="21"/>
          <w:highlight w:val="none"/>
        </w:rPr>
        <w:t>3.1本招标工程项目资金来源见投标须知前附表第9项。</w:t>
      </w:r>
    </w:p>
    <w:p w14:paraId="56171D1E">
      <w:pPr>
        <w:spacing w:line="276" w:lineRule="auto"/>
        <w:ind w:firstLine="422" w:firstLineChars="200"/>
        <w:rPr>
          <w:rFonts w:ascii="宋体" w:hAnsi="宋体"/>
          <w:b/>
          <w:szCs w:val="21"/>
          <w:highlight w:val="none"/>
        </w:rPr>
      </w:pPr>
      <w:r>
        <w:rPr>
          <w:rFonts w:ascii="宋体" w:hAnsi="宋体"/>
          <w:b/>
          <w:szCs w:val="21"/>
          <w:highlight w:val="none"/>
        </w:rPr>
        <w:t xml:space="preserve">4. </w:t>
      </w:r>
      <w:r>
        <w:rPr>
          <w:rFonts w:hint="eastAsia" w:ascii="宋体" w:hAnsi="宋体"/>
          <w:b/>
          <w:szCs w:val="21"/>
          <w:highlight w:val="none"/>
        </w:rPr>
        <w:t>合格投标人的条件</w:t>
      </w:r>
    </w:p>
    <w:p w14:paraId="7B2F5F8A">
      <w:pPr>
        <w:spacing w:line="276" w:lineRule="auto"/>
        <w:ind w:firstLine="420" w:firstLineChars="200"/>
        <w:rPr>
          <w:rFonts w:ascii="宋体" w:hAnsi="宋体"/>
          <w:bCs/>
          <w:szCs w:val="21"/>
          <w:highlight w:val="none"/>
        </w:rPr>
      </w:pPr>
      <w:r>
        <w:rPr>
          <w:rFonts w:hint="eastAsia" w:ascii="宋体" w:hAnsi="宋体"/>
          <w:bCs/>
          <w:szCs w:val="21"/>
          <w:highlight w:val="none"/>
        </w:rPr>
        <w:t>4.1详见本项目招标公告</w:t>
      </w:r>
    </w:p>
    <w:p w14:paraId="1DFC83A3">
      <w:pPr>
        <w:spacing w:line="276" w:lineRule="auto"/>
        <w:ind w:firstLine="422" w:firstLineChars="200"/>
        <w:rPr>
          <w:rFonts w:ascii="宋体" w:hAnsi="宋体"/>
          <w:b/>
          <w:szCs w:val="21"/>
          <w:highlight w:val="none"/>
        </w:rPr>
      </w:pPr>
      <w:r>
        <w:rPr>
          <w:rFonts w:hint="eastAsia" w:ascii="宋体" w:hAnsi="宋体"/>
          <w:b/>
          <w:szCs w:val="21"/>
          <w:highlight w:val="none"/>
        </w:rPr>
        <w:t>5．踏勘现场</w:t>
      </w:r>
    </w:p>
    <w:p w14:paraId="39F94CB3">
      <w:pPr>
        <w:spacing w:line="276" w:lineRule="auto"/>
        <w:ind w:firstLine="420" w:firstLineChars="200"/>
        <w:rPr>
          <w:rFonts w:ascii="宋体" w:hAnsi="宋体"/>
          <w:bCs/>
          <w:szCs w:val="21"/>
          <w:highlight w:val="none"/>
          <w:u w:val="single"/>
        </w:rPr>
      </w:pPr>
      <w:r>
        <w:rPr>
          <w:rFonts w:hint="eastAsia" w:ascii="宋体" w:hAnsi="宋体"/>
          <w:bCs/>
          <w:szCs w:val="21"/>
          <w:highlight w:val="none"/>
        </w:rPr>
        <w:t>5.1 投标人应按本投标须知前附表第15项所述时间和要求对工程现场及周围环境进行踏勘，</w:t>
      </w:r>
      <w:r>
        <w:rPr>
          <w:rFonts w:hint="eastAsia" w:ascii="宋体" w:hAnsi="宋体"/>
          <w:szCs w:val="21"/>
          <w:highlight w:val="none"/>
        </w:rPr>
        <w:t>投标人应充分重视和仔细地进行这种考察，</w:t>
      </w:r>
      <w:r>
        <w:rPr>
          <w:rFonts w:hint="eastAsia" w:ascii="宋体" w:hAnsi="宋体"/>
          <w:bCs/>
          <w:szCs w:val="21"/>
          <w:highlight w:val="none"/>
        </w:rPr>
        <w:t>以便投标人获取</w:t>
      </w:r>
      <w:r>
        <w:rPr>
          <w:rFonts w:hint="eastAsia" w:ascii="宋体" w:hAnsi="宋体"/>
          <w:szCs w:val="21"/>
          <w:highlight w:val="none"/>
        </w:rPr>
        <w:t>那些须投标人自己负责的</w:t>
      </w:r>
      <w:r>
        <w:rPr>
          <w:rFonts w:hint="eastAsia" w:ascii="宋体" w:hAnsi="宋体"/>
          <w:bCs/>
          <w:szCs w:val="21"/>
          <w:highlight w:val="none"/>
        </w:rPr>
        <w:t>有关编制投标文件和签署合同所涉及现场所有的资料。</w:t>
      </w:r>
      <w:r>
        <w:rPr>
          <w:rFonts w:hint="eastAsia" w:ascii="宋体" w:hAnsi="宋体"/>
          <w:szCs w:val="21"/>
          <w:highlight w:val="none"/>
        </w:rPr>
        <w:t>一旦中标，这种考察即被认为其结果已在中标文件中得到充分反映。考察现场的费用由投标人自己承担。</w:t>
      </w:r>
    </w:p>
    <w:p w14:paraId="576F7137">
      <w:pPr>
        <w:spacing w:line="276" w:lineRule="auto"/>
        <w:ind w:firstLine="420" w:firstLineChars="200"/>
        <w:rPr>
          <w:rFonts w:ascii="宋体" w:hAnsi="宋体"/>
          <w:bCs/>
          <w:szCs w:val="21"/>
          <w:highlight w:val="none"/>
        </w:rPr>
      </w:pPr>
      <w:r>
        <w:rPr>
          <w:rFonts w:hint="eastAsia" w:ascii="宋体" w:hAnsi="宋体"/>
          <w:bCs/>
          <w:szCs w:val="21"/>
          <w:highlight w:val="none"/>
        </w:rPr>
        <w:t>5.2 招标人向投标人提供的有关现场的数据和资料，是招标人现有的能被投标人利用的资料，招标人对投标人做出的任何推论、理解和结论均不负责任。</w:t>
      </w:r>
    </w:p>
    <w:p w14:paraId="1FF19F6B">
      <w:pPr>
        <w:spacing w:line="276" w:lineRule="auto"/>
        <w:ind w:firstLine="420" w:firstLineChars="200"/>
        <w:rPr>
          <w:rFonts w:ascii="宋体" w:hAnsi="宋体"/>
          <w:bCs/>
          <w:szCs w:val="21"/>
          <w:highlight w:val="none"/>
        </w:rPr>
      </w:pPr>
      <w:r>
        <w:rPr>
          <w:rFonts w:hint="eastAsia" w:ascii="宋体" w:hAnsi="宋体"/>
          <w:bCs/>
          <w:szCs w:val="21"/>
          <w:highlight w:val="none"/>
        </w:rPr>
        <w:t>5.3 经招标人允许，投标人可为踏勘目的进入招标人的项目现场。</w:t>
      </w:r>
      <w:r>
        <w:rPr>
          <w:rFonts w:hint="eastAsia" w:ascii="宋体" w:hAnsi="宋体"/>
          <w:szCs w:val="21"/>
          <w:highlight w:val="none"/>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bCs/>
          <w:szCs w:val="21"/>
          <w:highlight w:val="none"/>
        </w:rPr>
        <w:t>投标人不得因此使招标人承担有关的责任和蒙受损失。</w:t>
      </w:r>
    </w:p>
    <w:p w14:paraId="66E67F62">
      <w:pPr>
        <w:spacing w:line="276" w:lineRule="auto"/>
        <w:ind w:firstLine="422" w:firstLineChars="200"/>
        <w:rPr>
          <w:rFonts w:ascii="宋体" w:hAnsi="宋体"/>
          <w:b/>
          <w:szCs w:val="21"/>
          <w:highlight w:val="none"/>
        </w:rPr>
      </w:pPr>
      <w:r>
        <w:rPr>
          <w:rFonts w:hint="eastAsia" w:ascii="宋体" w:hAnsi="宋体"/>
          <w:b/>
          <w:szCs w:val="21"/>
          <w:highlight w:val="none"/>
        </w:rPr>
        <w:t>6．投标费用</w:t>
      </w:r>
    </w:p>
    <w:p w14:paraId="18B63DB2">
      <w:pPr>
        <w:spacing w:line="276" w:lineRule="auto"/>
        <w:ind w:firstLine="420" w:firstLineChars="200"/>
        <w:rPr>
          <w:rFonts w:ascii="宋体" w:hAnsi="宋体"/>
          <w:bCs/>
          <w:szCs w:val="21"/>
          <w:highlight w:val="none"/>
        </w:rPr>
      </w:pPr>
      <w:r>
        <w:rPr>
          <w:rFonts w:hint="eastAsia" w:ascii="宋体" w:hAnsi="宋体"/>
          <w:bCs/>
          <w:szCs w:val="21"/>
          <w:highlight w:val="none"/>
        </w:rPr>
        <w:t>6.1</w:t>
      </w:r>
      <w:r>
        <w:rPr>
          <w:rFonts w:hint="eastAsia" w:ascii="宋体" w:hAnsi="宋体"/>
          <w:szCs w:val="21"/>
          <w:highlight w:val="none"/>
        </w:rPr>
        <w:t>不论投标结果如何，投标人应承担</w:t>
      </w:r>
      <w:r>
        <w:rPr>
          <w:rFonts w:hint="eastAsia" w:ascii="宋体" w:hAnsi="宋体"/>
          <w:bCs/>
          <w:szCs w:val="21"/>
          <w:highlight w:val="none"/>
        </w:rPr>
        <w:t>自身</w:t>
      </w:r>
      <w:r>
        <w:rPr>
          <w:rFonts w:hint="eastAsia" w:ascii="宋体" w:hAnsi="宋体"/>
          <w:szCs w:val="21"/>
          <w:highlight w:val="none"/>
        </w:rPr>
        <w:t>因投标文件编制、递交及其他</w:t>
      </w:r>
      <w:r>
        <w:rPr>
          <w:rFonts w:hint="eastAsia" w:ascii="宋体" w:hAnsi="宋体"/>
          <w:bCs/>
          <w:szCs w:val="21"/>
          <w:highlight w:val="none"/>
        </w:rPr>
        <w:t>参加本招标活动</w:t>
      </w:r>
      <w:r>
        <w:rPr>
          <w:rFonts w:hint="eastAsia" w:ascii="宋体" w:hAnsi="宋体"/>
          <w:szCs w:val="21"/>
          <w:highlight w:val="none"/>
        </w:rPr>
        <w:t>所涉及的一切费用，招标人对上述费用不负任何责任。</w:t>
      </w:r>
    </w:p>
    <w:p w14:paraId="1D7A09F6">
      <w:pPr>
        <w:pStyle w:val="5"/>
        <w:spacing w:before="156" w:beforeAutospacing="0" w:after="156" w:afterAutospacing="0" w:line="276" w:lineRule="auto"/>
        <w:rPr>
          <w:b/>
          <w:bCs/>
          <w:sz w:val="21"/>
          <w:szCs w:val="21"/>
          <w:highlight w:val="none"/>
        </w:rPr>
      </w:pPr>
      <w:bookmarkStart w:id="7" w:name="_Toc105014625"/>
      <w:r>
        <w:rPr>
          <w:rFonts w:hint="eastAsia"/>
          <w:b/>
          <w:bCs/>
          <w:sz w:val="21"/>
          <w:szCs w:val="21"/>
          <w:highlight w:val="none"/>
        </w:rPr>
        <w:t>（二）招标文件</w:t>
      </w:r>
      <w:bookmarkEnd w:id="7"/>
    </w:p>
    <w:p w14:paraId="0762AA36">
      <w:pPr>
        <w:spacing w:line="276" w:lineRule="auto"/>
        <w:ind w:firstLine="422" w:firstLineChars="200"/>
        <w:rPr>
          <w:rFonts w:ascii="宋体" w:hAnsi="宋体"/>
          <w:b/>
          <w:szCs w:val="21"/>
          <w:highlight w:val="none"/>
        </w:rPr>
      </w:pPr>
      <w:r>
        <w:rPr>
          <w:rFonts w:hint="eastAsia" w:ascii="宋体" w:hAnsi="宋体"/>
          <w:b/>
          <w:szCs w:val="21"/>
          <w:highlight w:val="none"/>
        </w:rPr>
        <w:t>7.招标文件的组成</w:t>
      </w:r>
    </w:p>
    <w:p w14:paraId="53220254">
      <w:pPr>
        <w:spacing w:line="276" w:lineRule="auto"/>
        <w:ind w:firstLine="420" w:firstLineChars="200"/>
        <w:rPr>
          <w:rFonts w:ascii="宋体" w:hAnsi="宋体"/>
          <w:szCs w:val="21"/>
          <w:highlight w:val="none"/>
        </w:rPr>
      </w:pPr>
      <w:r>
        <w:rPr>
          <w:rFonts w:hint="eastAsia" w:ascii="宋体" w:hAnsi="宋体"/>
          <w:bCs/>
          <w:szCs w:val="21"/>
          <w:highlight w:val="none"/>
        </w:rPr>
        <w:t>7.1</w:t>
      </w:r>
      <w:r>
        <w:rPr>
          <w:rFonts w:hint="eastAsia" w:ascii="宋体" w:hAnsi="宋体"/>
          <w:szCs w:val="21"/>
          <w:highlight w:val="none"/>
        </w:rPr>
        <w:t>本招标文件包括下列文件，以及所有按本须知第8条发出的招标答疑会会议纪要和按本须知第9条发出的澄清或修改：</w:t>
      </w:r>
    </w:p>
    <w:p w14:paraId="402B6578">
      <w:pPr>
        <w:pStyle w:val="24"/>
        <w:spacing w:after="0" w:line="276" w:lineRule="auto"/>
        <w:ind w:left="-2" w:firstLine="420" w:firstLineChars="200"/>
        <w:rPr>
          <w:rFonts w:ascii="宋体" w:hAnsi="宋体"/>
          <w:sz w:val="21"/>
          <w:szCs w:val="21"/>
          <w:highlight w:val="none"/>
        </w:rPr>
      </w:pPr>
      <w:r>
        <w:rPr>
          <w:rFonts w:hint="eastAsia" w:ascii="宋体" w:hAnsi="宋体"/>
          <w:bCs/>
          <w:sz w:val="21"/>
          <w:szCs w:val="21"/>
          <w:highlight w:val="none"/>
        </w:rPr>
        <w:t xml:space="preserve">第一章  </w:t>
      </w:r>
      <w:r>
        <w:rPr>
          <w:rFonts w:hint="eastAsia" w:ascii="宋体" w:hAnsi="宋体"/>
          <w:sz w:val="21"/>
          <w:szCs w:val="21"/>
          <w:highlight w:val="none"/>
        </w:rPr>
        <w:t>投标须知</w:t>
      </w:r>
    </w:p>
    <w:p w14:paraId="0B4FE9C3">
      <w:pPr>
        <w:pStyle w:val="24"/>
        <w:spacing w:after="0" w:line="276" w:lineRule="auto"/>
        <w:ind w:left="-2" w:firstLine="420" w:firstLineChars="200"/>
        <w:rPr>
          <w:rFonts w:ascii="宋体" w:hAnsi="宋体"/>
          <w:sz w:val="21"/>
          <w:szCs w:val="21"/>
          <w:highlight w:val="none"/>
        </w:rPr>
      </w:pPr>
      <w:r>
        <w:rPr>
          <w:rFonts w:hint="eastAsia" w:ascii="宋体" w:hAnsi="宋体"/>
          <w:bCs/>
          <w:sz w:val="21"/>
          <w:szCs w:val="21"/>
          <w:highlight w:val="none"/>
        </w:rPr>
        <w:t xml:space="preserve">第二章  </w:t>
      </w:r>
      <w:r>
        <w:rPr>
          <w:rFonts w:hint="eastAsia" w:ascii="宋体" w:hAnsi="宋体"/>
          <w:sz w:val="21"/>
          <w:szCs w:val="21"/>
          <w:highlight w:val="none"/>
        </w:rPr>
        <w:t>开标、评标及定标办法</w:t>
      </w:r>
    </w:p>
    <w:p w14:paraId="227C393F">
      <w:pPr>
        <w:pStyle w:val="24"/>
        <w:spacing w:after="0" w:line="276" w:lineRule="auto"/>
        <w:ind w:firstLine="420" w:firstLineChars="200"/>
        <w:rPr>
          <w:rFonts w:ascii="宋体" w:hAnsi="宋体"/>
          <w:sz w:val="21"/>
          <w:szCs w:val="21"/>
          <w:highlight w:val="none"/>
        </w:rPr>
      </w:pPr>
      <w:r>
        <w:rPr>
          <w:rFonts w:hint="eastAsia" w:ascii="宋体" w:hAnsi="宋体"/>
          <w:sz w:val="21"/>
          <w:szCs w:val="21"/>
          <w:highlight w:val="none"/>
        </w:rPr>
        <w:t>第三章  合同条款</w:t>
      </w:r>
    </w:p>
    <w:p w14:paraId="72E3ABE9">
      <w:pPr>
        <w:pStyle w:val="24"/>
        <w:spacing w:after="0" w:line="276" w:lineRule="auto"/>
        <w:ind w:firstLine="420" w:firstLineChars="200"/>
        <w:rPr>
          <w:rFonts w:ascii="宋体" w:hAnsi="宋体"/>
          <w:sz w:val="21"/>
          <w:szCs w:val="21"/>
          <w:highlight w:val="none"/>
        </w:rPr>
      </w:pPr>
      <w:r>
        <w:rPr>
          <w:rFonts w:hint="eastAsia" w:ascii="宋体" w:hAnsi="宋体"/>
          <w:bCs/>
          <w:sz w:val="21"/>
          <w:szCs w:val="21"/>
          <w:highlight w:val="none"/>
        </w:rPr>
        <w:t xml:space="preserve">第四章  </w:t>
      </w:r>
      <w:r>
        <w:rPr>
          <w:rFonts w:hint="eastAsia" w:ascii="宋体" w:hAnsi="宋体"/>
          <w:sz w:val="21"/>
          <w:szCs w:val="21"/>
          <w:highlight w:val="none"/>
        </w:rPr>
        <w:t>投标文件格式</w:t>
      </w:r>
    </w:p>
    <w:p w14:paraId="10B9A006">
      <w:pPr>
        <w:pStyle w:val="24"/>
        <w:spacing w:after="0" w:line="276" w:lineRule="auto"/>
        <w:ind w:left="-2" w:firstLine="420" w:firstLineChars="200"/>
        <w:rPr>
          <w:rFonts w:ascii="宋体" w:hAnsi="宋体"/>
          <w:sz w:val="21"/>
          <w:szCs w:val="21"/>
          <w:highlight w:val="none"/>
        </w:rPr>
      </w:pPr>
      <w:r>
        <w:rPr>
          <w:rFonts w:hint="eastAsia" w:ascii="宋体" w:hAnsi="宋体"/>
          <w:bCs/>
          <w:sz w:val="21"/>
          <w:szCs w:val="21"/>
          <w:highlight w:val="none"/>
        </w:rPr>
        <w:t xml:space="preserve">第五章  </w:t>
      </w:r>
      <w:r>
        <w:rPr>
          <w:rFonts w:hint="eastAsia" w:ascii="宋体" w:hAnsi="宋体"/>
          <w:sz w:val="21"/>
          <w:szCs w:val="21"/>
          <w:highlight w:val="none"/>
        </w:rPr>
        <w:t>技术条件（工程建设标准）（另册）</w:t>
      </w:r>
    </w:p>
    <w:p w14:paraId="2953E20B">
      <w:pPr>
        <w:pStyle w:val="24"/>
        <w:spacing w:after="0" w:line="276" w:lineRule="auto"/>
        <w:ind w:left="-2" w:firstLine="420" w:firstLineChars="200"/>
        <w:rPr>
          <w:rFonts w:ascii="宋体" w:hAnsi="宋体"/>
          <w:sz w:val="21"/>
          <w:szCs w:val="21"/>
          <w:highlight w:val="none"/>
        </w:rPr>
      </w:pPr>
      <w:r>
        <w:rPr>
          <w:rFonts w:hint="eastAsia" w:ascii="宋体" w:hAnsi="宋体"/>
          <w:bCs/>
          <w:sz w:val="21"/>
          <w:szCs w:val="21"/>
          <w:highlight w:val="none"/>
        </w:rPr>
        <w:t xml:space="preserve">第六章  </w:t>
      </w:r>
      <w:r>
        <w:rPr>
          <w:rFonts w:hint="eastAsia" w:ascii="宋体" w:hAnsi="宋体"/>
          <w:sz w:val="21"/>
          <w:szCs w:val="21"/>
          <w:highlight w:val="none"/>
        </w:rPr>
        <w:t>图纸及勘察资料（另册）</w:t>
      </w:r>
    </w:p>
    <w:p w14:paraId="24C617C6">
      <w:pPr>
        <w:pStyle w:val="24"/>
        <w:spacing w:after="0" w:line="276" w:lineRule="auto"/>
        <w:ind w:left="-2" w:firstLine="420" w:firstLineChars="200"/>
        <w:rPr>
          <w:rFonts w:ascii="宋体" w:hAnsi="宋体"/>
          <w:sz w:val="21"/>
          <w:szCs w:val="21"/>
          <w:highlight w:val="none"/>
        </w:rPr>
      </w:pPr>
      <w:r>
        <w:rPr>
          <w:rFonts w:hint="eastAsia" w:ascii="宋体" w:hAnsi="宋体"/>
          <w:bCs/>
          <w:sz w:val="21"/>
          <w:szCs w:val="21"/>
          <w:highlight w:val="none"/>
        </w:rPr>
        <w:t>第七章  招标</w:t>
      </w:r>
      <w:r>
        <w:rPr>
          <w:rFonts w:hint="eastAsia" w:ascii="宋体" w:hAnsi="宋体"/>
          <w:sz w:val="21"/>
          <w:szCs w:val="21"/>
          <w:highlight w:val="none"/>
        </w:rPr>
        <w:t>工程量清单（另册）</w:t>
      </w:r>
    </w:p>
    <w:p w14:paraId="4F3A9E2B">
      <w:pPr>
        <w:pStyle w:val="24"/>
        <w:spacing w:after="0" w:line="276" w:lineRule="auto"/>
        <w:ind w:left="-2" w:firstLine="420" w:firstLineChars="200"/>
        <w:rPr>
          <w:rFonts w:ascii="宋体" w:hAnsi="宋体"/>
          <w:sz w:val="21"/>
          <w:szCs w:val="21"/>
          <w:highlight w:val="none"/>
        </w:rPr>
      </w:pPr>
      <w:r>
        <w:rPr>
          <w:rFonts w:hint="eastAsia" w:ascii="宋体" w:hAnsi="宋体"/>
          <w:sz w:val="21"/>
          <w:szCs w:val="21"/>
          <w:highlight w:val="none"/>
        </w:rPr>
        <w:t>第八章  最高投标限价</w:t>
      </w:r>
    </w:p>
    <w:p w14:paraId="027E91B9">
      <w:pPr>
        <w:pStyle w:val="24"/>
        <w:spacing w:after="0" w:line="276" w:lineRule="auto"/>
        <w:ind w:firstLine="420" w:firstLineChars="200"/>
        <w:rPr>
          <w:rFonts w:ascii="宋体" w:hAnsi="宋体"/>
          <w:sz w:val="21"/>
          <w:szCs w:val="21"/>
          <w:highlight w:val="none"/>
        </w:rPr>
      </w:pPr>
      <w:r>
        <w:rPr>
          <w:rFonts w:hint="eastAsia" w:ascii="宋体" w:hAnsi="宋体"/>
          <w:sz w:val="21"/>
          <w:szCs w:val="21"/>
          <w:highlight w:val="none"/>
        </w:rPr>
        <w:t>7.2 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14:paraId="05F28697">
      <w:pPr>
        <w:pStyle w:val="24"/>
        <w:spacing w:after="0" w:line="276" w:lineRule="auto"/>
        <w:ind w:firstLine="420" w:firstLineChars="200"/>
        <w:rPr>
          <w:rFonts w:ascii="宋体" w:hAnsi="宋体"/>
          <w:sz w:val="21"/>
          <w:szCs w:val="21"/>
          <w:highlight w:val="none"/>
        </w:rPr>
      </w:pPr>
      <w:r>
        <w:rPr>
          <w:rFonts w:hint="eastAsia" w:ascii="宋体" w:hAnsi="宋体"/>
          <w:sz w:val="21"/>
          <w:szCs w:val="21"/>
          <w:highlight w:val="none"/>
        </w:rPr>
        <w:t>7.3 投标人一旦中标，招标文件的内容对招标人和中标人双方均有约束力。</w:t>
      </w:r>
    </w:p>
    <w:p w14:paraId="68A8E4BA">
      <w:pPr>
        <w:pStyle w:val="24"/>
        <w:spacing w:after="0" w:line="276" w:lineRule="auto"/>
        <w:ind w:firstLine="422" w:firstLineChars="200"/>
        <w:rPr>
          <w:rFonts w:ascii="宋体" w:hAnsi="宋体"/>
          <w:b/>
          <w:bCs/>
          <w:sz w:val="21"/>
          <w:szCs w:val="21"/>
          <w:highlight w:val="none"/>
        </w:rPr>
      </w:pPr>
      <w:r>
        <w:rPr>
          <w:rFonts w:hint="eastAsia" w:ascii="宋体" w:hAnsi="宋体"/>
          <w:b/>
          <w:bCs/>
          <w:sz w:val="21"/>
          <w:szCs w:val="21"/>
          <w:highlight w:val="none"/>
        </w:rPr>
        <w:t>8．招标答疑</w:t>
      </w:r>
    </w:p>
    <w:p w14:paraId="728C3437">
      <w:pPr>
        <w:pStyle w:val="24"/>
        <w:spacing w:after="0" w:line="276" w:lineRule="auto"/>
        <w:ind w:firstLine="420" w:firstLineChars="200"/>
        <w:rPr>
          <w:rFonts w:ascii="宋体" w:hAnsi="宋体"/>
          <w:sz w:val="21"/>
          <w:szCs w:val="21"/>
          <w:highlight w:val="none"/>
        </w:rPr>
      </w:pPr>
      <w:r>
        <w:rPr>
          <w:rFonts w:hint="eastAsia" w:ascii="宋体" w:hAnsi="宋体"/>
          <w:sz w:val="21"/>
          <w:szCs w:val="21"/>
          <w:highlight w:val="none"/>
        </w:rPr>
        <w:t>8.1 投标人若对招标文件（包括招标图纸）中有疑问，可以书面形式通过</w:t>
      </w:r>
      <w:r>
        <w:rPr>
          <w:rFonts w:hint="eastAsia" w:ascii="宋体" w:cs="宋体"/>
          <w:sz w:val="24"/>
          <w:szCs w:val="24"/>
          <w:highlight w:val="none"/>
          <w:u w:val="single"/>
          <w:lang w:bidi="ar-SA"/>
        </w:rPr>
        <w:t xml:space="preserve">        </w:t>
      </w:r>
      <w:r>
        <w:rPr>
          <w:rFonts w:hint="eastAsia" w:ascii="宋体" w:hAnsi="宋体"/>
          <w:sz w:val="21"/>
          <w:szCs w:val="21"/>
          <w:highlight w:val="none"/>
        </w:rPr>
        <w:t>交易平台提交给招标人或招标代理人，提交形式见本须知前附表第16项。</w:t>
      </w:r>
    </w:p>
    <w:p w14:paraId="71187936">
      <w:pPr>
        <w:pStyle w:val="24"/>
        <w:spacing w:after="0" w:line="276" w:lineRule="auto"/>
        <w:ind w:firstLine="420" w:firstLineChars="200"/>
        <w:rPr>
          <w:rFonts w:ascii="宋体" w:hAnsi="宋体"/>
          <w:sz w:val="21"/>
          <w:szCs w:val="21"/>
          <w:highlight w:val="none"/>
        </w:rPr>
      </w:pPr>
      <w:r>
        <w:rPr>
          <w:rFonts w:hint="eastAsia" w:ascii="宋体" w:hAnsi="宋体"/>
          <w:sz w:val="21"/>
          <w:szCs w:val="21"/>
          <w:highlight w:val="none"/>
        </w:rPr>
        <w:t>8.2招标答疑会会议纪要将在提交投标文件截止时间15日前在</w:t>
      </w:r>
      <w:r>
        <w:rPr>
          <w:rFonts w:hint="eastAsia" w:ascii="宋体" w:cs="宋体"/>
          <w:sz w:val="24"/>
          <w:szCs w:val="24"/>
          <w:highlight w:val="none"/>
          <w:u w:val="single"/>
          <w:lang w:bidi="ar-SA"/>
        </w:rPr>
        <w:t xml:space="preserve">        </w:t>
      </w:r>
      <w:r>
        <w:rPr>
          <w:rFonts w:hint="eastAsia" w:ascii="宋体" w:hAnsi="宋体"/>
          <w:sz w:val="21"/>
          <w:szCs w:val="21"/>
          <w:highlight w:val="none"/>
        </w:rPr>
        <w:t>交易平台 “项目答疑纪要”专区公开发布。答疑纪要一经在</w:t>
      </w:r>
      <w:r>
        <w:rPr>
          <w:rFonts w:hint="eastAsia" w:ascii="宋体" w:cs="宋体"/>
          <w:sz w:val="24"/>
          <w:szCs w:val="24"/>
          <w:highlight w:val="none"/>
          <w:u w:val="single"/>
          <w:lang w:bidi="ar-SA"/>
        </w:rPr>
        <w:t xml:space="preserve">        </w:t>
      </w:r>
      <w:r>
        <w:rPr>
          <w:rFonts w:hint="eastAsia" w:ascii="宋体" w:hAnsi="宋体"/>
          <w:sz w:val="21"/>
          <w:szCs w:val="21"/>
          <w:highlight w:val="none"/>
        </w:rPr>
        <w:t>交易平台发布，视作已发放给所有投标人。</w:t>
      </w:r>
    </w:p>
    <w:p w14:paraId="47E74ED2">
      <w:pPr>
        <w:pStyle w:val="24"/>
        <w:spacing w:after="0" w:line="276" w:lineRule="auto"/>
        <w:ind w:firstLine="420" w:firstLineChars="200"/>
        <w:rPr>
          <w:rFonts w:ascii="宋体" w:hAnsi="宋体"/>
          <w:sz w:val="21"/>
          <w:szCs w:val="21"/>
          <w:highlight w:val="none"/>
        </w:rPr>
      </w:pPr>
      <w:r>
        <w:rPr>
          <w:rFonts w:hint="eastAsia" w:ascii="宋体" w:hAnsi="宋体"/>
          <w:sz w:val="21"/>
          <w:szCs w:val="21"/>
          <w:highlight w:val="none"/>
        </w:rPr>
        <w:t>8.3答疑会会议纪要为招标文件的一部分。</w:t>
      </w:r>
    </w:p>
    <w:p w14:paraId="65AD47D5">
      <w:pPr>
        <w:pStyle w:val="24"/>
        <w:spacing w:after="0" w:line="276" w:lineRule="auto"/>
        <w:ind w:firstLine="420" w:firstLineChars="200"/>
        <w:rPr>
          <w:rFonts w:ascii="宋体" w:hAnsi="宋体"/>
          <w:sz w:val="21"/>
          <w:szCs w:val="21"/>
          <w:highlight w:val="none"/>
        </w:rPr>
      </w:pPr>
      <w:r>
        <w:rPr>
          <w:rFonts w:hint="eastAsia" w:ascii="宋体" w:hAnsi="宋体"/>
          <w:sz w:val="21"/>
          <w:szCs w:val="21"/>
          <w:highlight w:val="none"/>
        </w:rPr>
        <w:t>8.4若招标答疑会会议纪要与招标文件有矛盾，以答疑会议纪要最后发出的书面形式的文件为准。</w:t>
      </w:r>
    </w:p>
    <w:p w14:paraId="1CC9426C">
      <w:pPr>
        <w:pStyle w:val="24"/>
        <w:spacing w:after="0" w:line="276" w:lineRule="auto"/>
        <w:ind w:firstLine="422" w:firstLineChars="200"/>
        <w:rPr>
          <w:rFonts w:ascii="宋体" w:hAnsi="宋体"/>
          <w:b/>
          <w:bCs/>
          <w:sz w:val="21"/>
          <w:szCs w:val="21"/>
          <w:highlight w:val="none"/>
        </w:rPr>
      </w:pPr>
      <w:r>
        <w:rPr>
          <w:rFonts w:hint="eastAsia" w:ascii="宋体" w:hAnsi="宋体"/>
          <w:b/>
          <w:bCs/>
          <w:sz w:val="21"/>
          <w:szCs w:val="21"/>
          <w:highlight w:val="none"/>
        </w:rPr>
        <w:t>9.招标文件的澄清与修改</w:t>
      </w:r>
    </w:p>
    <w:p w14:paraId="23B99F28">
      <w:pPr>
        <w:pStyle w:val="24"/>
        <w:spacing w:after="0" w:line="276" w:lineRule="auto"/>
        <w:ind w:firstLine="420" w:firstLineChars="200"/>
        <w:rPr>
          <w:rFonts w:ascii="宋体" w:hAnsi="宋体"/>
          <w:sz w:val="21"/>
          <w:szCs w:val="21"/>
          <w:highlight w:val="none"/>
        </w:rPr>
      </w:pPr>
      <w:r>
        <w:rPr>
          <w:rFonts w:hint="eastAsia" w:ascii="宋体" w:hAnsi="宋体"/>
          <w:sz w:val="21"/>
          <w:szCs w:val="21"/>
          <w:highlight w:val="none"/>
        </w:rPr>
        <w:t>9.1招标文件发出后,在提交投标文件截止时间15日前，招标人可对招标文件进行必要的澄清或修改。</w:t>
      </w:r>
    </w:p>
    <w:p w14:paraId="71642A39">
      <w:pPr>
        <w:pStyle w:val="24"/>
        <w:spacing w:after="0" w:line="276" w:lineRule="auto"/>
        <w:ind w:firstLine="420" w:firstLineChars="200"/>
        <w:rPr>
          <w:rFonts w:ascii="宋体" w:hAnsi="宋体"/>
          <w:sz w:val="21"/>
          <w:szCs w:val="21"/>
          <w:highlight w:val="none"/>
        </w:rPr>
      </w:pPr>
      <w:r>
        <w:rPr>
          <w:rFonts w:hint="eastAsia" w:ascii="宋体" w:hAnsi="宋体"/>
          <w:sz w:val="21"/>
          <w:szCs w:val="21"/>
          <w:highlight w:val="none"/>
        </w:rPr>
        <w:t>9.2招标文件的澄清或修改将在</w:t>
      </w:r>
      <w:r>
        <w:rPr>
          <w:rFonts w:hint="eastAsia" w:ascii="宋体" w:cs="宋体"/>
          <w:sz w:val="24"/>
          <w:szCs w:val="24"/>
          <w:highlight w:val="none"/>
          <w:u w:val="single"/>
          <w:lang w:bidi="ar-SA"/>
        </w:rPr>
        <w:t xml:space="preserve">        </w:t>
      </w:r>
      <w:r>
        <w:rPr>
          <w:rFonts w:hint="eastAsia" w:ascii="宋体" w:hAnsi="宋体"/>
          <w:sz w:val="21"/>
          <w:szCs w:val="21"/>
          <w:highlight w:val="none"/>
        </w:rPr>
        <w:t>交易平台“项目答疑纪要”专区公开发布。答疑纪要一经在</w:t>
      </w:r>
      <w:r>
        <w:rPr>
          <w:rFonts w:hint="eastAsia" w:ascii="宋体" w:cs="宋体"/>
          <w:sz w:val="24"/>
          <w:szCs w:val="24"/>
          <w:highlight w:val="none"/>
          <w:u w:val="single"/>
          <w:lang w:bidi="ar-SA"/>
        </w:rPr>
        <w:t xml:space="preserve">        </w:t>
      </w:r>
      <w:r>
        <w:rPr>
          <w:rFonts w:hint="eastAsia" w:ascii="宋体" w:hAnsi="宋体"/>
          <w:sz w:val="21"/>
          <w:szCs w:val="21"/>
          <w:highlight w:val="none"/>
        </w:rPr>
        <w:t>交易平台发布，视作已发放给所有投标人，以</w:t>
      </w:r>
      <w:r>
        <w:rPr>
          <w:rFonts w:hint="eastAsia" w:ascii="宋体" w:cs="宋体"/>
          <w:sz w:val="24"/>
          <w:szCs w:val="24"/>
          <w:highlight w:val="none"/>
          <w:u w:val="single"/>
          <w:lang w:bidi="ar-SA"/>
        </w:rPr>
        <w:t xml:space="preserve">        </w:t>
      </w:r>
      <w:r>
        <w:rPr>
          <w:rFonts w:hint="eastAsia" w:ascii="宋体" w:hAnsi="宋体"/>
          <w:sz w:val="21"/>
          <w:szCs w:val="21"/>
          <w:highlight w:val="none"/>
        </w:rPr>
        <w:t>交易平台上网发布时间作为送达时间。</w:t>
      </w:r>
    </w:p>
    <w:p w14:paraId="4ADB2342">
      <w:pPr>
        <w:pStyle w:val="24"/>
        <w:spacing w:after="0" w:line="276" w:lineRule="auto"/>
        <w:ind w:firstLine="420" w:firstLineChars="200"/>
        <w:rPr>
          <w:rFonts w:ascii="宋体" w:hAnsi="宋体"/>
          <w:sz w:val="21"/>
          <w:szCs w:val="21"/>
          <w:highlight w:val="none"/>
        </w:rPr>
      </w:pPr>
      <w:r>
        <w:rPr>
          <w:rFonts w:hint="eastAsia" w:ascii="宋体" w:hAnsi="宋体"/>
          <w:sz w:val="21"/>
          <w:szCs w:val="21"/>
          <w:highlight w:val="none"/>
        </w:rPr>
        <w:t>9.3招标文件的修改内容为招标文件的组成部分。</w:t>
      </w:r>
    </w:p>
    <w:p w14:paraId="51782490">
      <w:pPr>
        <w:pStyle w:val="24"/>
        <w:spacing w:after="0" w:line="276" w:lineRule="auto"/>
        <w:ind w:firstLine="420" w:firstLineChars="200"/>
        <w:rPr>
          <w:rFonts w:ascii="宋体" w:hAnsi="宋体"/>
          <w:sz w:val="21"/>
          <w:szCs w:val="21"/>
          <w:highlight w:val="none"/>
        </w:rPr>
      </w:pPr>
      <w:r>
        <w:rPr>
          <w:rFonts w:hint="eastAsia" w:ascii="宋体" w:hAnsi="宋体"/>
          <w:sz w:val="21"/>
          <w:szCs w:val="21"/>
          <w:highlight w:val="none"/>
        </w:rPr>
        <w:t>9.4招标文件的澄清或修改均以书面形式明确的内容为准。当招标文件的澄清、修改、补充等在同一内容的表述不一致时，以最后发出的书面形式的文件为准。</w:t>
      </w:r>
    </w:p>
    <w:p w14:paraId="549DB902">
      <w:pPr>
        <w:pStyle w:val="24"/>
        <w:spacing w:after="0" w:line="276" w:lineRule="auto"/>
        <w:ind w:firstLine="420" w:firstLineChars="200"/>
        <w:rPr>
          <w:rFonts w:ascii="宋体" w:hAnsi="宋体"/>
          <w:sz w:val="21"/>
          <w:szCs w:val="21"/>
          <w:highlight w:val="none"/>
        </w:rPr>
      </w:pPr>
      <w:r>
        <w:rPr>
          <w:rFonts w:hint="eastAsia" w:ascii="宋体" w:hAnsi="宋体"/>
          <w:sz w:val="21"/>
          <w:szCs w:val="21"/>
          <w:highlight w:val="none"/>
        </w:rPr>
        <w:t>9.5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653A2D6C">
      <w:pPr>
        <w:pStyle w:val="5"/>
        <w:spacing w:before="156" w:beforeAutospacing="0" w:after="156" w:afterAutospacing="0" w:line="276" w:lineRule="auto"/>
        <w:rPr>
          <w:b/>
          <w:bCs/>
          <w:sz w:val="21"/>
          <w:szCs w:val="21"/>
          <w:highlight w:val="none"/>
        </w:rPr>
      </w:pPr>
      <w:bookmarkStart w:id="8" w:name="_Toc105014626"/>
      <w:r>
        <w:rPr>
          <w:rFonts w:hint="eastAsia"/>
          <w:b/>
          <w:bCs/>
          <w:sz w:val="21"/>
          <w:szCs w:val="21"/>
          <w:highlight w:val="none"/>
        </w:rPr>
        <w:t>（三）投标文件的编制</w:t>
      </w:r>
      <w:bookmarkEnd w:id="8"/>
    </w:p>
    <w:p w14:paraId="5AEEA797">
      <w:pPr>
        <w:pStyle w:val="24"/>
        <w:spacing w:after="0" w:line="276" w:lineRule="auto"/>
        <w:ind w:firstLine="422" w:firstLineChars="200"/>
        <w:rPr>
          <w:rFonts w:ascii="宋体" w:hAnsi="宋体"/>
          <w:b/>
          <w:bCs/>
          <w:sz w:val="21"/>
          <w:szCs w:val="21"/>
          <w:highlight w:val="none"/>
        </w:rPr>
      </w:pPr>
      <w:r>
        <w:rPr>
          <w:rFonts w:hint="eastAsia" w:ascii="宋体" w:hAnsi="宋体"/>
          <w:b/>
          <w:bCs/>
          <w:sz w:val="21"/>
          <w:szCs w:val="21"/>
          <w:highlight w:val="none"/>
        </w:rPr>
        <w:t>10．投标文件的语言及度量衡单位</w:t>
      </w:r>
    </w:p>
    <w:p w14:paraId="2AAED7F2">
      <w:pPr>
        <w:pStyle w:val="24"/>
        <w:spacing w:after="0" w:line="276" w:lineRule="auto"/>
        <w:ind w:firstLine="420" w:firstLineChars="200"/>
        <w:rPr>
          <w:rFonts w:ascii="宋体" w:hAnsi="宋体"/>
          <w:sz w:val="21"/>
          <w:szCs w:val="21"/>
          <w:highlight w:val="none"/>
        </w:rPr>
      </w:pPr>
      <w:r>
        <w:rPr>
          <w:rFonts w:hint="eastAsia" w:ascii="宋体" w:hAnsi="宋体"/>
          <w:sz w:val="21"/>
          <w:szCs w:val="21"/>
          <w:highlight w:val="none"/>
        </w:rPr>
        <w:t>10.1 投标文件和与投标有关的所有文件均应使用中文。</w:t>
      </w:r>
    </w:p>
    <w:p w14:paraId="6A966E27">
      <w:pPr>
        <w:pStyle w:val="24"/>
        <w:spacing w:after="0" w:line="276" w:lineRule="auto"/>
        <w:ind w:firstLine="420" w:firstLineChars="200"/>
        <w:rPr>
          <w:rFonts w:ascii="宋体" w:hAnsi="宋体"/>
          <w:sz w:val="21"/>
          <w:szCs w:val="21"/>
          <w:highlight w:val="none"/>
        </w:rPr>
      </w:pPr>
      <w:r>
        <w:rPr>
          <w:rFonts w:hint="eastAsia" w:ascii="宋体" w:hAnsi="宋体"/>
          <w:sz w:val="21"/>
          <w:szCs w:val="21"/>
          <w:highlight w:val="none"/>
        </w:rPr>
        <w:t>10.2 除工程规范另有规定外，投标文件使用的度量衡单位，均采用中华人民共和国法定计量单位。</w:t>
      </w:r>
    </w:p>
    <w:p w14:paraId="623EA7E1">
      <w:pPr>
        <w:pStyle w:val="24"/>
        <w:spacing w:after="0" w:line="276" w:lineRule="auto"/>
        <w:ind w:firstLine="422" w:firstLineChars="200"/>
        <w:rPr>
          <w:rFonts w:ascii="宋体" w:hAnsi="宋体"/>
          <w:b/>
          <w:bCs/>
          <w:sz w:val="21"/>
          <w:szCs w:val="21"/>
          <w:highlight w:val="none"/>
        </w:rPr>
      </w:pPr>
      <w:r>
        <w:rPr>
          <w:rFonts w:hint="eastAsia" w:ascii="宋体" w:hAnsi="宋体"/>
          <w:b/>
          <w:bCs/>
          <w:sz w:val="21"/>
          <w:szCs w:val="21"/>
          <w:highlight w:val="none"/>
        </w:rPr>
        <w:t>11．投标文件的组成</w:t>
      </w:r>
    </w:p>
    <w:p w14:paraId="0B605C74">
      <w:pPr>
        <w:pStyle w:val="24"/>
        <w:spacing w:after="0" w:line="276" w:lineRule="auto"/>
        <w:ind w:firstLine="420" w:firstLineChars="200"/>
        <w:rPr>
          <w:rFonts w:ascii="宋体" w:hAnsi="宋体"/>
          <w:sz w:val="21"/>
          <w:szCs w:val="21"/>
          <w:highlight w:val="none"/>
        </w:rPr>
      </w:pPr>
      <w:r>
        <w:rPr>
          <w:rFonts w:hint="eastAsia" w:ascii="宋体" w:hAnsi="宋体"/>
          <w:sz w:val="21"/>
          <w:szCs w:val="21"/>
          <w:highlight w:val="none"/>
        </w:rPr>
        <w:t>11.1 投标文件由技术部分（含资格审查文件）和经济部分二部分投标文件组成。</w:t>
      </w:r>
    </w:p>
    <w:p w14:paraId="5902065C">
      <w:pPr>
        <w:spacing w:line="276" w:lineRule="auto"/>
        <w:ind w:firstLine="420" w:firstLineChars="200"/>
        <w:rPr>
          <w:rFonts w:ascii="宋体" w:hAnsi="宋体"/>
          <w:bCs/>
          <w:szCs w:val="21"/>
          <w:highlight w:val="none"/>
        </w:rPr>
      </w:pPr>
      <w:r>
        <w:rPr>
          <w:rFonts w:hint="eastAsia" w:ascii="宋体" w:hAnsi="宋体"/>
          <w:bCs/>
          <w:szCs w:val="21"/>
          <w:highlight w:val="none"/>
        </w:rPr>
        <w:t>11.2投标文件技术标部分主要包括下列内容：</w:t>
      </w:r>
    </w:p>
    <w:p w14:paraId="3707962A">
      <w:pPr>
        <w:spacing w:line="276" w:lineRule="auto"/>
        <w:ind w:firstLine="420" w:firstLineChars="200"/>
        <w:rPr>
          <w:rFonts w:ascii="宋体" w:hAnsi="宋体"/>
          <w:bCs/>
          <w:szCs w:val="21"/>
          <w:highlight w:val="none"/>
        </w:rPr>
      </w:pPr>
      <w:r>
        <w:rPr>
          <w:rFonts w:hint="eastAsia" w:ascii="宋体" w:hAnsi="宋体"/>
          <w:bCs/>
          <w:szCs w:val="21"/>
          <w:highlight w:val="none"/>
        </w:rPr>
        <w:t>11.2.1 技术投标文件</w:t>
      </w:r>
      <w:r>
        <w:rPr>
          <w:rFonts w:hint="eastAsia" w:ascii="宋体" w:hAnsi="宋体"/>
          <w:szCs w:val="21"/>
          <w:highlight w:val="none"/>
        </w:rPr>
        <w:t>(按招标文件的要求填写)</w:t>
      </w:r>
      <w:r>
        <w:rPr>
          <w:rFonts w:hint="eastAsia" w:ascii="宋体" w:hAnsi="宋体"/>
          <w:bCs/>
          <w:szCs w:val="21"/>
          <w:highlight w:val="none"/>
        </w:rPr>
        <w:t>；</w:t>
      </w:r>
    </w:p>
    <w:p w14:paraId="49BDC41F">
      <w:pPr>
        <w:spacing w:line="276" w:lineRule="auto"/>
        <w:ind w:firstLine="420" w:firstLineChars="200"/>
        <w:rPr>
          <w:rFonts w:ascii="宋体" w:hAnsi="宋体"/>
          <w:bCs/>
          <w:szCs w:val="21"/>
          <w:highlight w:val="none"/>
        </w:rPr>
      </w:pPr>
      <w:r>
        <w:rPr>
          <w:rFonts w:hint="eastAsia" w:ascii="宋体" w:hAnsi="宋体"/>
          <w:bCs/>
          <w:szCs w:val="21"/>
          <w:highlight w:val="none"/>
        </w:rPr>
        <w:t>11.2.2 资格审查文件：</w:t>
      </w:r>
    </w:p>
    <w:p w14:paraId="5DE3CE80">
      <w:pPr>
        <w:spacing w:line="276" w:lineRule="auto"/>
        <w:ind w:firstLine="420" w:firstLineChars="200"/>
        <w:rPr>
          <w:rFonts w:ascii="宋体" w:hAnsi="宋体"/>
          <w:bCs/>
          <w:szCs w:val="21"/>
          <w:highlight w:val="none"/>
        </w:rPr>
      </w:pPr>
      <w:r>
        <w:rPr>
          <w:rFonts w:hint="eastAsia" w:ascii="宋体" w:hAnsi="宋体"/>
          <w:bCs/>
          <w:szCs w:val="21"/>
          <w:highlight w:val="none"/>
        </w:rPr>
        <w:t xml:space="preserve">（1）投标人声明； </w:t>
      </w:r>
    </w:p>
    <w:p w14:paraId="47B7728B">
      <w:pPr>
        <w:spacing w:line="276" w:lineRule="auto"/>
        <w:ind w:firstLine="420" w:firstLineChars="200"/>
        <w:rPr>
          <w:rFonts w:ascii="宋体" w:hAnsi="宋体"/>
          <w:bCs/>
          <w:szCs w:val="21"/>
          <w:highlight w:val="none"/>
        </w:rPr>
      </w:pPr>
      <w:r>
        <w:rPr>
          <w:rFonts w:hint="eastAsia" w:ascii="宋体" w:hAnsi="宋体"/>
          <w:bCs/>
          <w:szCs w:val="21"/>
          <w:highlight w:val="none"/>
        </w:rPr>
        <w:t>（2）法定代表人证明书、法定代表人签字或盖章的本投标文件授权委托证明书；</w:t>
      </w:r>
    </w:p>
    <w:p w14:paraId="4E123DAA">
      <w:pPr>
        <w:spacing w:line="276" w:lineRule="auto"/>
        <w:ind w:firstLine="420" w:firstLineChars="200"/>
        <w:rPr>
          <w:rFonts w:ascii="宋体" w:hAnsi="宋体"/>
          <w:bCs/>
          <w:szCs w:val="21"/>
          <w:highlight w:val="none"/>
        </w:rPr>
      </w:pPr>
      <w:r>
        <w:rPr>
          <w:rFonts w:hint="eastAsia" w:ascii="宋体" w:hAnsi="宋体"/>
          <w:bCs/>
          <w:szCs w:val="21"/>
          <w:highlight w:val="none"/>
        </w:rPr>
        <w:t>（3）企业营业执照（取自平台内上传件）；</w:t>
      </w:r>
    </w:p>
    <w:p w14:paraId="61852605">
      <w:pPr>
        <w:spacing w:line="276" w:lineRule="auto"/>
        <w:ind w:firstLine="420" w:firstLineChars="200"/>
        <w:rPr>
          <w:rFonts w:ascii="宋体" w:hAnsi="宋体"/>
          <w:bCs/>
          <w:szCs w:val="21"/>
          <w:highlight w:val="none"/>
        </w:rPr>
      </w:pPr>
      <w:r>
        <w:rPr>
          <w:rFonts w:hint="eastAsia" w:ascii="宋体" w:hAnsi="宋体"/>
          <w:bCs/>
          <w:szCs w:val="21"/>
          <w:highlight w:val="none"/>
        </w:rPr>
        <w:t>（4）企业资质证书（取自平台内上传件）；</w:t>
      </w:r>
    </w:p>
    <w:p w14:paraId="256DE071">
      <w:pPr>
        <w:spacing w:line="276" w:lineRule="auto"/>
        <w:ind w:firstLine="420" w:firstLineChars="200"/>
        <w:rPr>
          <w:rFonts w:ascii="宋体" w:hAnsi="宋体"/>
          <w:bCs/>
          <w:szCs w:val="21"/>
          <w:highlight w:val="none"/>
        </w:rPr>
      </w:pPr>
      <w:r>
        <w:rPr>
          <w:rFonts w:hint="eastAsia" w:ascii="宋体" w:hAnsi="宋体"/>
          <w:bCs/>
          <w:szCs w:val="21"/>
          <w:highlight w:val="none"/>
        </w:rPr>
        <w:t>（5）建筑施工企业安全生产许可证（取自平台内上传件）；</w:t>
      </w:r>
    </w:p>
    <w:p w14:paraId="7A63B4D2">
      <w:pPr>
        <w:spacing w:line="276" w:lineRule="auto"/>
        <w:ind w:firstLine="420" w:firstLineChars="200"/>
        <w:rPr>
          <w:rFonts w:ascii="宋体" w:hAnsi="宋体"/>
          <w:bCs/>
          <w:szCs w:val="21"/>
          <w:highlight w:val="none"/>
        </w:rPr>
      </w:pPr>
      <w:r>
        <w:rPr>
          <w:rFonts w:hint="eastAsia" w:ascii="宋体" w:hAnsi="宋体"/>
          <w:bCs/>
          <w:szCs w:val="21"/>
          <w:highlight w:val="none"/>
        </w:rPr>
        <w:t>（6）项目负责人（按网上投标登记时选择拟投标的项目负责人）；</w:t>
      </w:r>
    </w:p>
    <w:p w14:paraId="147CBCE7">
      <w:pPr>
        <w:spacing w:line="276" w:lineRule="auto"/>
        <w:ind w:firstLine="420" w:firstLineChars="200"/>
        <w:rPr>
          <w:rFonts w:ascii="宋体" w:hAnsi="宋体"/>
          <w:bCs/>
          <w:szCs w:val="21"/>
          <w:highlight w:val="none"/>
        </w:rPr>
      </w:pPr>
      <w:r>
        <w:rPr>
          <w:rFonts w:hint="eastAsia" w:ascii="宋体" w:hAnsi="宋体"/>
          <w:bCs/>
          <w:szCs w:val="21"/>
          <w:highlight w:val="none"/>
        </w:rPr>
        <w:t>（7）专职安全员（按网上投标登记时选择拟投标的专职安全员）；</w:t>
      </w:r>
    </w:p>
    <w:p w14:paraId="2BE54A00">
      <w:pPr>
        <w:spacing w:line="276" w:lineRule="auto"/>
        <w:ind w:firstLine="420" w:firstLineChars="200"/>
        <w:rPr>
          <w:rFonts w:ascii="宋体" w:hAnsi="宋体"/>
          <w:bCs/>
          <w:szCs w:val="21"/>
          <w:highlight w:val="none"/>
        </w:rPr>
      </w:pPr>
      <w:r>
        <w:rPr>
          <w:rFonts w:hint="eastAsia" w:ascii="宋体" w:hAnsi="宋体"/>
          <w:bCs/>
          <w:szCs w:val="21"/>
          <w:highlight w:val="none"/>
        </w:rPr>
        <w:t>（8）拟委托技术负责人的相关证书、资料（具体要求由招标人明确）；</w:t>
      </w:r>
    </w:p>
    <w:p w14:paraId="02309C46">
      <w:pPr>
        <w:spacing w:line="276" w:lineRule="auto"/>
        <w:ind w:firstLine="420" w:firstLineChars="200"/>
        <w:rPr>
          <w:rFonts w:ascii="宋体" w:hAnsi="宋体"/>
          <w:bCs/>
          <w:szCs w:val="21"/>
          <w:highlight w:val="none"/>
        </w:rPr>
      </w:pPr>
      <w:r>
        <w:rPr>
          <w:rFonts w:hint="eastAsia" w:ascii="宋体" w:hAnsi="宋体"/>
          <w:bCs/>
          <w:szCs w:val="21"/>
          <w:highlight w:val="none"/>
        </w:rPr>
        <w:t xml:space="preserve">（9）拟委派项目负责人的建造师注册证书或小型项目负责人相关证明（取自平台内上传件）； </w:t>
      </w:r>
    </w:p>
    <w:p w14:paraId="22090190">
      <w:pPr>
        <w:spacing w:line="276" w:lineRule="auto"/>
        <w:ind w:firstLine="420" w:firstLineChars="200"/>
        <w:rPr>
          <w:rFonts w:ascii="宋体" w:hAnsi="宋体"/>
          <w:bCs/>
          <w:szCs w:val="21"/>
          <w:highlight w:val="none"/>
        </w:rPr>
      </w:pPr>
      <w:r>
        <w:rPr>
          <w:rFonts w:hint="eastAsia" w:ascii="宋体" w:hAnsi="宋体"/>
          <w:bCs/>
          <w:szCs w:val="21"/>
          <w:highlight w:val="none"/>
        </w:rPr>
        <w:t>（10）项目负责人安全培训考核合格证明或在有效期内的安全考核合格证书（B类）或建筑施工企业项目负责人安全生产考核合格证书（取自平台内上传件）；</w:t>
      </w:r>
    </w:p>
    <w:p w14:paraId="39C27431">
      <w:pPr>
        <w:spacing w:line="276" w:lineRule="auto"/>
        <w:ind w:firstLine="420" w:firstLineChars="200"/>
        <w:rPr>
          <w:rFonts w:ascii="宋体" w:hAnsi="宋体"/>
          <w:bCs/>
          <w:szCs w:val="21"/>
          <w:highlight w:val="none"/>
        </w:rPr>
      </w:pPr>
      <w:r>
        <w:rPr>
          <w:rFonts w:hint="eastAsia" w:ascii="宋体" w:hAnsi="宋体"/>
          <w:bCs/>
          <w:szCs w:val="21"/>
          <w:highlight w:val="none"/>
        </w:rPr>
        <w:t>（11）专职安全员须具有在有效期内的安全考核合格证书（C类）或建筑施工企业专职安全生产管理人员安全生产考核合格证书（取自平台内上传件）；</w:t>
      </w:r>
    </w:p>
    <w:p w14:paraId="10904DC1">
      <w:pPr>
        <w:spacing w:line="276" w:lineRule="auto"/>
        <w:ind w:firstLine="420" w:firstLineChars="200"/>
        <w:rPr>
          <w:rFonts w:ascii="宋体" w:hAnsi="宋体"/>
          <w:bCs/>
          <w:szCs w:val="21"/>
          <w:highlight w:val="none"/>
        </w:rPr>
      </w:pPr>
      <w:r>
        <w:rPr>
          <w:rFonts w:hint="eastAsia" w:ascii="宋体" w:hAnsi="宋体"/>
          <w:bCs/>
          <w:szCs w:val="21"/>
          <w:highlight w:val="none"/>
        </w:rPr>
        <w:t>（12）用于资格审查的业绩（设置业绩要求时选择此项，投标人</w:t>
      </w:r>
      <w:r>
        <w:rPr>
          <w:rFonts w:hint="eastAsia" w:ascii="宋体" w:hAnsi="宋体"/>
          <w:szCs w:val="21"/>
          <w:highlight w:val="none"/>
        </w:rPr>
        <w:t>须提供类似工程业绩的项目名称及项目编号，具体格式由招标人自定</w:t>
      </w:r>
      <w:r>
        <w:rPr>
          <w:rFonts w:hint="eastAsia" w:ascii="宋体" w:hAnsi="宋体"/>
          <w:bCs/>
          <w:szCs w:val="21"/>
          <w:highlight w:val="none"/>
        </w:rPr>
        <w:t>）；</w:t>
      </w:r>
    </w:p>
    <w:p w14:paraId="7FF39ED8">
      <w:pPr>
        <w:spacing w:line="276" w:lineRule="auto"/>
        <w:ind w:firstLine="420" w:firstLineChars="200"/>
        <w:rPr>
          <w:rFonts w:ascii="宋体" w:hAnsi="宋体"/>
          <w:bCs/>
          <w:szCs w:val="21"/>
          <w:highlight w:val="none"/>
        </w:rPr>
      </w:pPr>
      <w:r>
        <w:rPr>
          <w:rFonts w:hint="eastAsia" w:ascii="宋体" w:hAnsi="宋体"/>
          <w:bCs/>
          <w:szCs w:val="21"/>
          <w:highlight w:val="none"/>
        </w:rPr>
        <w:t>（13）资格审查前，投标人须在广州市住房和城乡建设局建立企业信用档案，拟担任本工程项目负责人、专职安全员须是本企业信用档案中的在册人员；</w:t>
      </w:r>
    </w:p>
    <w:p w14:paraId="0A5FBA4F">
      <w:pPr>
        <w:spacing w:line="276" w:lineRule="auto"/>
        <w:ind w:firstLine="420" w:firstLineChars="200"/>
        <w:rPr>
          <w:rFonts w:ascii="宋体" w:hAnsi="宋体"/>
          <w:bCs/>
          <w:szCs w:val="21"/>
          <w:highlight w:val="none"/>
        </w:rPr>
      </w:pPr>
      <w:r>
        <w:rPr>
          <w:rFonts w:hint="eastAsia" w:ascii="宋体" w:hAnsi="宋体"/>
          <w:bCs/>
          <w:szCs w:val="21"/>
          <w:highlight w:val="none"/>
        </w:rPr>
        <w:t>（14）列明主办单位的联合体工作协议（采用联合体投标时需递交，投标人拟任本工程项目负责人应为联合体主办方信用档案中的在册人员，</w:t>
      </w:r>
      <w:r>
        <w:rPr>
          <w:rFonts w:hint="eastAsia" w:ascii="宋体" w:hAnsi="宋体"/>
          <w:szCs w:val="21"/>
          <w:highlight w:val="none"/>
        </w:rPr>
        <w:t>联合体工作协议应明确约定各方拟承担的工作和责任</w:t>
      </w:r>
      <w:r>
        <w:rPr>
          <w:rFonts w:hint="eastAsia" w:ascii="宋体" w:hAnsi="宋体"/>
          <w:bCs/>
          <w:szCs w:val="21"/>
          <w:highlight w:val="none"/>
        </w:rPr>
        <w:t xml:space="preserve">）； </w:t>
      </w:r>
    </w:p>
    <w:p w14:paraId="2C6CCB7D">
      <w:pPr>
        <w:spacing w:line="276" w:lineRule="auto"/>
        <w:ind w:firstLine="420" w:firstLineChars="200"/>
        <w:rPr>
          <w:rFonts w:ascii="宋体" w:hAnsi="宋体"/>
          <w:bCs/>
          <w:szCs w:val="21"/>
          <w:highlight w:val="none"/>
        </w:rPr>
      </w:pPr>
      <w:r>
        <w:rPr>
          <w:rFonts w:hint="eastAsia" w:ascii="宋体" w:hAnsi="宋体"/>
          <w:bCs/>
          <w:szCs w:val="21"/>
          <w:highlight w:val="none"/>
        </w:rPr>
        <w:t>（15）</w:t>
      </w:r>
      <w:r>
        <w:rPr>
          <w:rFonts w:hint="eastAsia" w:ascii="宋体" w:hAnsi="宋体"/>
          <w:szCs w:val="21"/>
          <w:highlight w:val="none"/>
        </w:rPr>
        <w:t>投标人具有在广州地区可使用适合本工程的机械设备的证明文件（提供沥青摊铺机自有发票或权属证明及设备现场全貌彩照（彩照须能反映其规格型号））。（含有市政道路面层沥青摊铺且沥青摊铺占预计发包价50%或以上的大、中修市政公用工程需提供该项内容的证明文件）。</w:t>
      </w:r>
    </w:p>
    <w:p w14:paraId="70199B7D">
      <w:pPr>
        <w:spacing w:line="276" w:lineRule="auto"/>
        <w:ind w:firstLine="420" w:firstLineChars="200"/>
        <w:rPr>
          <w:rFonts w:ascii="宋体" w:hAnsi="宋体"/>
          <w:szCs w:val="21"/>
          <w:highlight w:val="none"/>
        </w:rPr>
      </w:pPr>
      <w:r>
        <w:rPr>
          <w:rFonts w:hint="eastAsia" w:ascii="宋体" w:hAnsi="宋体"/>
          <w:szCs w:val="21"/>
          <w:highlight w:val="none"/>
        </w:rPr>
        <w:t>11.2.3项目管理机构配备。</w:t>
      </w:r>
    </w:p>
    <w:p w14:paraId="33772237">
      <w:pPr>
        <w:spacing w:line="276" w:lineRule="auto"/>
        <w:ind w:firstLine="420" w:firstLineChars="200"/>
        <w:rPr>
          <w:rFonts w:ascii="宋体" w:hAnsi="宋体"/>
          <w:szCs w:val="21"/>
          <w:highlight w:val="none"/>
        </w:rPr>
      </w:pPr>
      <w:r>
        <w:rPr>
          <w:rFonts w:hint="eastAsia" w:ascii="宋体" w:hAnsi="宋体"/>
          <w:szCs w:val="21"/>
          <w:highlight w:val="none"/>
        </w:rPr>
        <w:t>（1）投标人应列出该项目工程的施工组织机构构成和画出机构框架图及其负责人；</w:t>
      </w:r>
    </w:p>
    <w:p w14:paraId="091954AD">
      <w:pPr>
        <w:spacing w:line="276" w:lineRule="auto"/>
        <w:ind w:firstLine="420" w:firstLineChars="200"/>
        <w:rPr>
          <w:rFonts w:ascii="宋体" w:hAnsi="宋体"/>
          <w:szCs w:val="21"/>
          <w:highlight w:val="none"/>
        </w:rPr>
      </w:pPr>
      <w:r>
        <w:rPr>
          <w:rFonts w:hint="eastAsia" w:ascii="宋体" w:hAnsi="宋体"/>
          <w:szCs w:val="21"/>
          <w:highlight w:val="none"/>
        </w:rPr>
        <w:t>（2）投标人应详细列出该施工组织机构中主要成员的名单、简历资料、职务职称和在本项目中拟担任的职务等资料，并附上有关证明材料扫描件；</w:t>
      </w:r>
    </w:p>
    <w:p w14:paraId="058A064D">
      <w:pPr>
        <w:spacing w:line="276" w:lineRule="auto"/>
        <w:ind w:firstLine="420" w:firstLineChars="200"/>
        <w:rPr>
          <w:rFonts w:ascii="宋体" w:hAnsi="宋体"/>
          <w:szCs w:val="21"/>
          <w:highlight w:val="none"/>
        </w:rPr>
      </w:pPr>
      <w:r>
        <w:rPr>
          <w:rFonts w:hint="eastAsia" w:ascii="宋体" w:hAnsi="宋体"/>
          <w:szCs w:val="21"/>
          <w:highlight w:val="none"/>
        </w:rPr>
        <w:t>（3）其他辅助说明资料。</w:t>
      </w:r>
    </w:p>
    <w:p w14:paraId="7DAC0DE0">
      <w:pPr>
        <w:spacing w:line="276" w:lineRule="auto"/>
        <w:ind w:firstLine="420" w:firstLineChars="200"/>
        <w:rPr>
          <w:rFonts w:ascii="宋体" w:hAnsi="宋体"/>
          <w:szCs w:val="21"/>
          <w:highlight w:val="none"/>
        </w:rPr>
      </w:pPr>
      <w:r>
        <w:rPr>
          <w:rFonts w:hint="eastAsia" w:ascii="宋体" w:hAnsi="宋体"/>
          <w:szCs w:val="21"/>
          <w:highlight w:val="none"/>
        </w:rPr>
        <w:t>11.2.4投标人在广州市可使用适合本工程的机械设备（附：机械设备为自有或租赁的说明；及承诺机械设备如属于租赁的，其租赁是不属于重复租赁）。</w:t>
      </w:r>
    </w:p>
    <w:p w14:paraId="663E9A0B">
      <w:pPr>
        <w:spacing w:line="276" w:lineRule="auto"/>
        <w:ind w:firstLine="420" w:firstLineChars="200"/>
        <w:rPr>
          <w:rFonts w:ascii="宋体" w:hAnsi="宋体"/>
          <w:szCs w:val="21"/>
          <w:highlight w:val="none"/>
        </w:rPr>
      </w:pPr>
      <w:r>
        <w:rPr>
          <w:rFonts w:hint="eastAsia" w:ascii="宋体" w:hAnsi="宋体"/>
          <w:szCs w:val="21"/>
          <w:highlight w:val="none"/>
        </w:rPr>
        <w:t>11.2.5施工组织设计或施工方案。</w:t>
      </w:r>
    </w:p>
    <w:p w14:paraId="357950D3">
      <w:pPr>
        <w:spacing w:line="276" w:lineRule="auto"/>
        <w:ind w:firstLine="420" w:firstLineChars="200"/>
        <w:rPr>
          <w:rFonts w:ascii="宋体" w:hAnsi="宋体"/>
          <w:szCs w:val="21"/>
          <w:highlight w:val="none"/>
        </w:rPr>
      </w:pPr>
      <w:r>
        <w:rPr>
          <w:rFonts w:hint="eastAsia" w:ascii="宋体" w:hAnsi="宋体"/>
          <w:szCs w:val="21"/>
          <w:highlight w:val="none"/>
        </w:rPr>
        <w:t>11.2.6按照</w:t>
      </w:r>
      <w:r>
        <w:rPr>
          <w:rFonts w:hint="eastAsia" w:ascii="宋体" w:hAnsi="宋体"/>
          <w:bCs/>
          <w:szCs w:val="21"/>
          <w:highlight w:val="none"/>
        </w:rPr>
        <w:t>招标文件要求</w:t>
      </w:r>
      <w:r>
        <w:rPr>
          <w:rFonts w:hint="eastAsia" w:ascii="宋体" w:hAnsi="宋体"/>
          <w:szCs w:val="21"/>
          <w:highlight w:val="none"/>
        </w:rPr>
        <w:t>填写的《参与编制技术标投标文件人员名单》。</w:t>
      </w:r>
    </w:p>
    <w:p w14:paraId="7F032558">
      <w:pPr>
        <w:spacing w:line="276" w:lineRule="auto"/>
        <w:ind w:firstLine="420" w:firstLineChars="200"/>
        <w:rPr>
          <w:rFonts w:ascii="宋体" w:hAnsi="宋体"/>
          <w:bCs/>
          <w:szCs w:val="21"/>
          <w:highlight w:val="none"/>
        </w:rPr>
      </w:pPr>
      <w:r>
        <w:rPr>
          <w:rFonts w:hint="eastAsia" w:ascii="宋体" w:hAnsi="宋体"/>
          <w:bCs/>
          <w:szCs w:val="21"/>
          <w:highlight w:val="none"/>
        </w:rPr>
        <w:t>11.3 经济部分投标文件主要包括下列内容：</w:t>
      </w:r>
    </w:p>
    <w:p w14:paraId="63F15CDC">
      <w:pPr>
        <w:spacing w:line="276" w:lineRule="auto"/>
        <w:ind w:firstLine="420" w:firstLineChars="200"/>
        <w:rPr>
          <w:rFonts w:ascii="宋体" w:hAnsi="宋体"/>
          <w:szCs w:val="21"/>
          <w:highlight w:val="none"/>
        </w:rPr>
      </w:pPr>
      <w:r>
        <w:rPr>
          <w:rFonts w:hint="eastAsia" w:ascii="宋体" w:hAnsi="宋体"/>
          <w:szCs w:val="21"/>
          <w:highlight w:val="none"/>
        </w:rPr>
        <w:t>11.3.1 经济投标文件(按招标文件的要求填写)。</w:t>
      </w:r>
    </w:p>
    <w:p w14:paraId="046FD058">
      <w:pPr>
        <w:spacing w:line="276" w:lineRule="auto"/>
        <w:ind w:firstLine="420" w:firstLineChars="200"/>
        <w:rPr>
          <w:rFonts w:ascii="宋体" w:hAnsi="宋体"/>
          <w:szCs w:val="21"/>
          <w:highlight w:val="none"/>
        </w:rPr>
      </w:pPr>
      <w:r>
        <w:rPr>
          <w:rFonts w:hint="eastAsia" w:ascii="宋体" w:hAnsi="宋体"/>
          <w:szCs w:val="21"/>
          <w:highlight w:val="none"/>
        </w:rPr>
        <w:t xml:space="preserve">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14:paraId="6E35D4C6">
      <w:pPr>
        <w:spacing w:line="276" w:lineRule="auto"/>
        <w:ind w:firstLine="489" w:firstLineChars="233"/>
        <w:rPr>
          <w:rFonts w:ascii="宋体" w:hAnsi="宋体"/>
          <w:szCs w:val="21"/>
          <w:highlight w:val="none"/>
        </w:rPr>
      </w:pPr>
      <w:r>
        <w:rPr>
          <w:rFonts w:hint="eastAsia" w:ascii="宋体" w:hAnsi="宋体"/>
          <w:szCs w:val="21"/>
          <w:highlight w:val="none"/>
        </w:rPr>
        <w:t>（1）投标总价封面、扉页；</w:t>
      </w:r>
    </w:p>
    <w:p w14:paraId="1668425F">
      <w:pPr>
        <w:spacing w:line="276" w:lineRule="auto"/>
        <w:ind w:firstLine="489" w:firstLineChars="233"/>
        <w:rPr>
          <w:rFonts w:ascii="宋体" w:hAnsi="宋体"/>
          <w:szCs w:val="21"/>
          <w:highlight w:val="none"/>
        </w:rPr>
      </w:pPr>
      <w:r>
        <w:rPr>
          <w:rFonts w:hint="eastAsia" w:ascii="宋体" w:hAnsi="宋体"/>
          <w:szCs w:val="21"/>
          <w:highlight w:val="none"/>
        </w:rPr>
        <w:t>（2）总说明；</w:t>
      </w:r>
    </w:p>
    <w:p w14:paraId="1BC2FAD4">
      <w:pPr>
        <w:spacing w:line="276" w:lineRule="auto"/>
        <w:ind w:firstLine="489" w:firstLineChars="233"/>
        <w:rPr>
          <w:rFonts w:ascii="宋体" w:hAnsi="宋体"/>
          <w:szCs w:val="21"/>
          <w:highlight w:val="none"/>
        </w:rPr>
      </w:pPr>
      <w:r>
        <w:rPr>
          <w:rFonts w:hint="eastAsia" w:ascii="宋体" w:hAnsi="宋体"/>
          <w:szCs w:val="21"/>
          <w:highlight w:val="none"/>
        </w:rPr>
        <w:t>（3）工程项目投标报价汇总表；</w:t>
      </w:r>
    </w:p>
    <w:p w14:paraId="5B035150">
      <w:pPr>
        <w:spacing w:line="276" w:lineRule="auto"/>
        <w:ind w:firstLine="489" w:firstLineChars="233"/>
        <w:rPr>
          <w:rFonts w:ascii="宋体" w:hAnsi="宋体"/>
          <w:szCs w:val="21"/>
          <w:highlight w:val="none"/>
        </w:rPr>
      </w:pPr>
      <w:r>
        <w:rPr>
          <w:rFonts w:hint="eastAsia" w:ascii="宋体" w:hAnsi="宋体"/>
          <w:szCs w:val="21"/>
          <w:highlight w:val="none"/>
        </w:rPr>
        <w:t>（4）单项工程投标报价汇总表；</w:t>
      </w:r>
    </w:p>
    <w:p w14:paraId="0480AF32">
      <w:pPr>
        <w:spacing w:line="276" w:lineRule="auto"/>
        <w:ind w:firstLine="489" w:firstLineChars="233"/>
        <w:rPr>
          <w:rFonts w:ascii="宋体" w:hAnsi="宋体"/>
          <w:szCs w:val="21"/>
          <w:highlight w:val="none"/>
        </w:rPr>
      </w:pPr>
      <w:r>
        <w:rPr>
          <w:rFonts w:hint="eastAsia" w:ascii="宋体" w:hAnsi="宋体"/>
          <w:szCs w:val="21"/>
          <w:highlight w:val="none"/>
        </w:rPr>
        <w:t>（5）单位工程投标报价汇总表；</w:t>
      </w:r>
    </w:p>
    <w:p w14:paraId="68F31D68">
      <w:pPr>
        <w:spacing w:line="276" w:lineRule="auto"/>
        <w:ind w:firstLine="489" w:firstLineChars="233"/>
        <w:rPr>
          <w:rFonts w:ascii="宋体" w:hAnsi="宋体"/>
          <w:szCs w:val="21"/>
          <w:highlight w:val="none"/>
        </w:rPr>
      </w:pPr>
      <w:r>
        <w:rPr>
          <w:rFonts w:hint="eastAsia" w:ascii="宋体" w:hAnsi="宋体"/>
          <w:szCs w:val="21"/>
          <w:highlight w:val="none"/>
        </w:rPr>
        <w:t>（6）分部分项工程清单与计价表；</w:t>
      </w:r>
    </w:p>
    <w:p w14:paraId="7485B093">
      <w:pPr>
        <w:spacing w:line="276" w:lineRule="auto"/>
        <w:ind w:firstLine="489" w:firstLineChars="233"/>
        <w:rPr>
          <w:rFonts w:ascii="宋体" w:hAnsi="宋体"/>
          <w:szCs w:val="21"/>
          <w:highlight w:val="none"/>
        </w:rPr>
      </w:pPr>
      <w:r>
        <w:rPr>
          <w:rFonts w:hint="eastAsia" w:ascii="宋体" w:hAnsi="宋体"/>
          <w:szCs w:val="21"/>
          <w:highlight w:val="none"/>
        </w:rPr>
        <w:t>（7）单价措施项目清单与计价表；</w:t>
      </w:r>
    </w:p>
    <w:p w14:paraId="0854C39F">
      <w:pPr>
        <w:spacing w:line="276" w:lineRule="auto"/>
        <w:ind w:firstLine="489" w:firstLineChars="233"/>
        <w:rPr>
          <w:rFonts w:ascii="宋体" w:hAnsi="宋体"/>
          <w:szCs w:val="21"/>
          <w:highlight w:val="none"/>
        </w:rPr>
      </w:pPr>
      <w:r>
        <w:rPr>
          <w:rFonts w:hint="eastAsia" w:ascii="宋体" w:hAnsi="宋体"/>
          <w:szCs w:val="21"/>
          <w:highlight w:val="none"/>
        </w:rPr>
        <w:t>（8）总价措施项目清单与计价表；</w:t>
      </w:r>
    </w:p>
    <w:p w14:paraId="35BF2E02">
      <w:pPr>
        <w:spacing w:line="276" w:lineRule="auto"/>
        <w:ind w:firstLine="489" w:firstLineChars="233"/>
        <w:rPr>
          <w:rFonts w:ascii="宋体" w:hAnsi="宋体"/>
          <w:szCs w:val="21"/>
          <w:highlight w:val="none"/>
        </w:rPr>
      </w:pPr>
      <w:r>
        <w:rPr>
          <w:rFonts w:hint="eastAsia" w:ascii="宋体" w:hAnsi="宋体"/>
          <w:szCs w:val="21"/>
          <w:highlight w:val="none"/>
        </w:rPr>
        <w:t>（9）综合单价分析表；</w:t>
      </w:r>
    </w:p>
    <w:p w14:paraId="23768DB6">
      <w:pPr>
        <w:spacing w:line="276" w:lineRule="auto"/>
        <w:ind w:firstLine="489" w:firstLineChars="233"/>
        <w:rPr>
          <w:rFonts w:ascii="宋体" w:hAnsi="宋体"/>
          <w:szCs w:val="21"/>
          <w:highlight w:val="none"/>
        </w:rPr>
      </w:pPr>
      <w:r>
        <w:rPr>
          <w:rFonts w:hint="eastAsia" w:ascii="宋体" w:hAnsi="宋体"/>
          <w:szCs w:val="21"/>
          <w:highlight w:val="none"/>
        </w:rPr>
        <w:t>（10）其他项目清单与计价汇总表；</w:t>
      </w:r>
    </w:p>
    <w:p w14:paraId="1E3FB1B9">
      <w:pPr>
        <w:spacing w:line="276" w:lineRule="auto"/>
        <w:ind w:firstLine="489" w:firstLineChars="233"/>
        <w:rPr>
          <w:rFonts w:ascii="宋体" w:hAnsi="宋体"/>
          <w:szCs w:val="21"/>
          <w:highlight w:val="none"/>
        </w:rPr>
      </w:pPr>
      <w:r>
        <w:rPr>
          <w:rFonts w:hint="eastAsia" w:ascii="宋体" w:hAnsi="宋体"/>
          <w:szCs w:val="21"/>
          <w:highlight w:val="none"/>
        </w:rPr>
        <w:t>（11）暂列金额明细表；</w:t>
      </w:r>
    </w:p>
    <w:p w14:paraId="37F54776">
      <w:pPr>
        <w:spacing w:line="276" w:lineRule="auto"/>
        <w:ind w:firstLine="489" w:firstLineChars="233"/>
        <w:rPr>
          <w:rFonts w:ascii="宋体" w:hAnsi="宋体"/>
          <w:szCs w:val="21"/>
          <w:highlight w:val="none"/>
        </w:rPr>
      </w:pPr>
      <w:r>
        <w:rPr>
          <w:rFonts w:hint="eastAsia" w:ascii="宋体" w:hAnsi="宋体"/>
          <w:szCs w:val="21"/>
          <w:highlight w:val="none"/>
        </w:rPr>
        <w:t>（12）材料（工程设备）暂估价明细表；</w:t>
      </w:r>
    </w:p>
    <w:p w14:paraId="43D2932A">
      <w:pPr>
        <w:spacing w:line="276" w:lineRule="auto"/>
        <w:ind w:firstLine="489" w:firstLineChars="233"/>
        <w:rPr>
          <w:rFonts w:ascii="宋体" w:hAnsi="宋体"/>
          <w:szCs w:val="21"/>
          <w:highlight w:val="none"/>
        </w:rPr>
      </w:pPr>
      <w:r>
        <w:rPr>
          <w:rFonts w:hint="eastAsia" w:ascii="宋体" w:hAnsi="宋体"/>
          <w:szCs w:val="21"/>
          <w:highlight w:val="none"/>
        </w:rPr>
        <w:t>（13）专业工程暂估价明细表；</w:t>
      </w:r>
    </w:p>
    <w:p w14:paraId="192043F4">
      <w:pPr>
        <w:spacing w:line="276" w:lineRule="auto"/>
        <w:ind w:firstLine="489" w:firstLineChars="233"/>
        <w:rPr>
          <w:rFonts w:ascii="宋体" w:hAnsi="宋体"/>
          <w:szCs w:val="21"/>
          <w:highlight w:val="none"/>
        </w:rPr>
      </w:pPr>
      <w:r>
        <w:rPr>
          <w:rFonts w:hint="eastAsia" w:ascii="宋体" w:hAnsi="宋体"/>
          <w:szCs w:val="21"/>
          <w:highlight w:val="none"/>
        </w:rPr>
        <w:t>（14）计日工表；</w:t>
      </w:r>
    </w:p>
    <w:p w14:paraId="4AE485A6">
      <w:pPr>
        <w:spacing w:line="276" w:lineRule="auto"/>
        <w:ind w:firstLine="489" w:firstLineChars="233"/>
        <w:rPr>
          <w:rFonts w:ascii="宋体" w:hAnsi="宋体"/>
          <w:szCs w:val="21"/>
          <w:highlight w:val="none"/>
        </w:rPr>
      </w:pPr>
      <w:r>
        <w:rPr>
          <w:rFonts w:hint="eastAsia" w:ascii="宋体" w:hAnsi="宋体"/>
          <w:szCs w:val="21"/>
          <w:highlight w:val="none"/>
        </w:rPr>
        <w:t>（15）总承包服务计价表；</w:t>
      </w:r>
    </w:p>
    <w:p w14:paraId="0CAD3F1E">
      <w:pPr>
        <w:spacing w:line="276" w:lineRule="auto"/>
        <w:ind w:firstLine="489" w:firstLineChars="233"/>
        <w:rPr>
          <w:rFonts w:ascii="宋体" w:hAnsi="宋体"/>
          <w:szCs w:val="21"/>
          <w:highlight w:val="none"/>
        </w:rPr>
      </w:pPr>
      <w:r>
        <w:rPr>
          <w:rFonts w:hint="eastAsia" w:ascii="宋体" w:hAnsi="宋体"/>
          <w:szCs w:val="21"/>
          <w:highlight w:val="none"/>
        </w:rPr>
        <w:t>（16）规费和税金项目计价表；</w:t>
      </w:r>
    </w:p>
    <w:p w14:paraId="5FB0B414">
      <w:pPr>
        <w:spacing w:line="276" w:lineRule="auto"/>
        <w:ind w:firstLine="420" w:firstLineChars="200"/>
        <w:rPr>
          <w:rFonts w:ascii="宋体" w:hAnsi="宋体"/>
          <w:szCs w:val="21"/>
          <w:highlight w:val="none"/>
        </w:rPr>
      </w:pPr>
      <w:r>
        <w:rPr>
          <w:rFonts w:hint="eastAsia" w:ascii="宋体" w:hAnsi="宋体"/>
          <w:szCs w:val="21"/>
          <w:highlight w:val="none"/>
        </w:rPr>
        <w:t xml:space="preserve"> （17）人工、主要材料和设备一览表。</w:t>
      </w:r>
    </w:p>
    <w:p w14:paraId="68182C74">
      <w:pPr>
        <w:spacing w:line="276" w:lineRule="auto"/>
        <w:ind w:firstLine="420" w:firstLineChars="200"/>
        <w:rPr>
          <w:rFonts w:ascii="宋体" w:hAnsi="宋体"/>
          <w:szCs w:val="21"/>
          <w:highlight w:val="none"/>
        </w:rPr>
      </w:pPr>
      <w:r>
        <w:rPr>
          <w:rFonts w:hint="eastAsia" w:ascii="宋体" w:hAnsi="宋体"/>
          <w:szCs w:val="21"/>
          <w:highlight w:val="none"/>
        </w:rPr>
        <w:t>11.3.3按照</w:t>
      </w:r>
      <w:r>
        <w:rPr>
          <w:rFonts w:hint="eastAsia" w:ascii="宋体" w:hAnsi="宋体"/>
          <w:bCs/>
          <w:szCs w:val="21"/>
          <w:highlight w:val="none"/>
        </w:rPr>
        <w:t>招标文件要求</w:t>
      </w:r>
      <w:r>
        <w:rPr>
          <w:rFonts w:hint="eastAsia" w:ascii="宋体" w:hAnsi="宋体"/>
          <w:szCs w:val="21"/>
          <w:highlight w:val="none"/>
        </w:rPr>
        <w:t>填写的《参与编制经济标投标文件人员名单》。</w:t>
      </w:r>
    </w:p>
    <w:p w14:paraId="22CE9752">
      <w:pPr>
        <w:spacing w:line="276" w:lineRule="auto"/>
        <w:ind w:firstLine="420" w:firstLineChars="200"/>
        <w:rPr>
          <w:rFonts w:ascii="宋体" w:hAnsi="宋体"/>
          <w:szCs w:val="21"/>
          <w:highlight w:val="none"/>
        </w:rPr>
      </w:pPr>
      <w:r>
        <w:rPr>
          <w:rFonts w:hint="eastAsia" w:ascii="宋体" w:hAnsi="宋体"/>
          <w:szCs w:val="21"/>
          <w:highlight w:val="none"/>
        </w:rPr>
        <w:t>11.3.4若投标人的投标报价低于工程成本警戒价的，投标人还须提供详细的施工组织设计、单价、措施性费用、单价分析表、主要材料价格表、投标人成本分析供评标委员会评审。</w:t>
      </w:r>
    </w:p>
    <w:p w14:paraId="104577D0">
      <w:pPr>
        <w:pStyle w:val="24"/>
        <w:spacing w:after="0" w:line="276" w:lineRule="auto"/>
        <w:ind w:firstLine="422" w:firstLineChars="200"/>
        <w:rPr>
          <w:rFonts w:ascii="宋体" w:hAnsi="宋体"/>
          <w:b/>
          <w:bCs/>
          <w:sz w:val="21"/>
          <w:szCs w:val="21"/>
          <w:highlight w:val="none"/>
        </w:rPr>
      </w:pPr>
      <w:r>
        <w:rPr>
          <w:rFonts w:hint="eastAsia" w:ascii="宋体" w:hAnsi="宋体"/>
          <w:b/>
          <w:bCs/>
          <w:sz w:val="21"/>
          <w:szCs w:val="21"/>
          <w:highlight w:val="none"/>
        </w:rPr>
        <w:t>12．投标文件格式</w:t>
      </w:r>
    </w:p>
    <w:p w14:paraId="399E6C04">
      <w:pPr>
        <w:pStyle w:val="24"/>
        <w:spacing w:after="0" w:line="276" w:lineRule="auto"/>
        <w:ind w:firstLine="420" w:firstLineChars="200"/>
        <w:rPr>
          <w:rFonts w:ascii="宋体" w:hAnsi="宋体"/>
          <w:sz w:val="21"/>
          <w:szCs w:val="21"/>
          <w:highlight w:val="none"/>
        </w:rPr>
      </w:pPr>
      <w:r>
        <w:rPr>
          <w:rFonts w:hint="eastAsia" w:ascii="宋体" w:hAnsi="宋体"/>
          <w:sz w:val="21"/>
          <w:szCs w:val="21"/>
          <w:highlight w:val="none"/>
        </w:rPr>
        <w:t>12.1 投标文件包括本须知第11条中规定的内容，投标人提交的投标文件应当使用招标文件所提供的投标文件全部格式（表格可以按同样格式扩展）。</w:t>
      </w:r>
    </w:p>
    <w:p w14:paraId="3021C99D">
      <w:pPr>
        <w:pStyle w:val="24"/>
        <w:spacing w:after="0" w:line="276" w:lineRule="auto"/>
        <w:ind w:firstLine="420" w:firstLineChars="200"/>
        <w:rPr>
          <w:rFonts w:ascii="宋体" w:hAnsi="宋体"/>
          <w:sz w:val="21"/>
          <w:szCs w:val="21"/>
          <w:highlight w:val="none"/>
        </w:rPr>
      </w:pPr>
      <w:r>
        <w:rPr>
          <w:rFonts w:hint="eastAsia" w:ascii="宋体" w:hAnsi="宋体"/>
          <w:sz w:val="21"/>
          <w:szCs w:val="21"/>
          <w:highlight w:val="none"/>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cs="宋体"/>
          <w:sz w:val="24"/>
          <w:szCs w:val="24"/>
          <w:highlight w:val="none"/>
          <w:u w:val="single"/>
          <w:lang w:bidi="ar-SA"/>
        </w:rPr>
        <w:t xml:space="preserve">        </w:t>
      </w:r>
      <w:r>
        <w:rPr>
          <w:rFonts w:hint="eastAsia" w:ascii="宋体" w:hAnsi="宋体"/>
          <w:sz w:val="21"/>
          <w:szCs w:val="21"/>
          <w:highlight w:val="none"/>
        </w:rPr>
        <w:t xml:space="preserve"> 。</w:t>
      </w:r>
    </w:p>
    <w:p w14:paraId="4226D69A">
      <w:pPr>
        <w:pStyle w:val="24"/>
        <w:spacing w:after="0" w:line="276" w:lineRule="auto"/>
        <w:ind w:firstLine="420" w:firstLineChars="200"/>
        <w:rPr>
          <w:rFonts w:ascii="宋体" w:hAnsi="宋体"/>
          <w:sz w:val="21"/>
          <w:szCs w:val="21"/>
          <w:highlight w:val="none"/>
        </w:rPr>
      </w:pPr>
      <w:r>
        <w:rPr>
          <w:rFonts w:hint="eastAsia" w:ascii="宋体" w:hAnsi="宋体"/>
          <w:sz w:val="21"/>
          <w:szCs w:val="21"/>
          <w:highlight w:val="none"/>
        </w:rPr>
        <w:t xml:space="preserve">12.3 </w:t>
      </w:r>
      <w:r>
        <w:rPr>
          <w:rFonts w:hint="eastAsia" w:ascii="宋体" w:hAnsi="宋体"/>
          <w:bCs/>
          <w:sz w:val="21"/>
          <w:szCs w:val="21"/>
          <w:highlight w:val="none"/>
        </w:rPr>
        <w:t>投标文件应按</w:t>
      </w:r>
      <w:r>
        <w:rPr>
          <w:rFonts w:hint="eastAsia" w:ascii="宋体" w:hAnsi="宋体"/>
          <w:sz w:val="21"/>
          <w:szCs w:val="21"/>
          <w:highlight w:val="none"/>
        </w:rPr>
        <w:t>照交易平台关于全流程电子化项目的相关指南进行编制，详见：</w:t>
      </w:r>
      <w:r>
        <w:rPr>
          <w:rFonts w:hint="eastAsia" w:ascii="宋体" w:cs="宋体"/>
          <w:sz w:val="24"/>
          <w:szCs w:val="24"/>
          <w:highlight w:val="none"/>
          <w:u w:val="single"/>
          <w:lang w:bidi="ar-SA"/>
        </w:rPr>
        <w:t xml:space="preserve">        </w:t>
      </w:r>
      <w:r>
        <w:rPr>
          <w:rFonts w:hint="eastAsia" w:ascii="宋体" w:hAnsi="宋体"/>
          <w:sz w:val="21"/>
          <w:szCs w:val="21"/>
          <w:highlight w:val="none"/>
        </w:rPr>
        <w:t xml:space="preserve">。  </w:t>
      </w:r>
    </w:p>
    <w:p w14:paraId="11944830">
      <w:pPr>
        <w:pStyle w:val="24"/>
        <w:spacing w:after="0" w:line="276" w:lineRule="auto"/>
        <w:ind w:firstLine="420" w:firstLineChars="200"/>
        <w:rPr>
          <w:rFonts w:ascii="宋体" w:hAnsi="宋体"/>
          <w:sz w:val="21"/>
          <w:szCs w:val="21"/>
          <w:highlight w:val="none"/>
        </w:rPr>
      </w:pPr>
      <w:r>
        <w:rPr>
          <w:rFonts w:hint="eastAsia" w:ascii="宋体" w:hAnsi="宋体"/>
          <w:bCs/>
          <w:sz w:val="21"/>
          <w:szCs w:val="21"/>
          <w:highlight w:val="none"/>
        </w:rPr>
        <w:t>如不按上述要求编制引起系统无法检索、读取相关信息的，其后果由投标人承担。</w:t>
      </w:r>
    </w:p>
    <w:p w14:paraId="7F608632">
      <w:pPr>
        <w:pStyle w:val="24"/>
        <w:spacing w:after="0" w:line="276" w:lineRule="auto"/>
        <w:ind w:firstLine="422" w:firstLineChars="200"/>
        <w:rPr>
          <w:rFonts w:ascii="宋体" w:hAnsi="宋体"/>
          <w:b/>
          <w:bCs/>
          <w:sz w:val="21"/>
          <w:szCs w:val="21"/>
          <w:highlight w:val="none"/>
        </w:rPr>
      </w:pPr>
      <w:r>
        <w:rPr>
          <w:rFonts w:hint="eastAsia" w:ascii="宋体" w:hAnsi="宋体"/>
          <w:b/>
          <w:bCs/>
          <w:sz w:val="21"/>
          <w:szCs w:val="21"/>
          <w:highlight w:val="none"/>
        </w:rPr>
        <w:t>13．投标报价及造价承包和变更结算方式</w:t>
      </w:r>
    </w:p>
    <w:p w14:paraId="65922659">
      <w:pPr>
        <w:pStyle w:val="24"/>
        <w:spacing w:after="0" w:line="276" w:lineRule="auto"/>
        <w:ind w:firstLine="420" w:firstLineChars="200"/>
        <w:rPr>
          <w:rFonts w:ascii="宋体" w:hAnsi="宋体"/>
          <w:sz w:val="21"/>
          <w:szCs w:val="21"/>
          <w:highlight w:val="none"/>
        </w:rPr>
      </w:pPr>
      <w:r>
        <w:rPr>
          <w:rFonts w:hint="eastAsia" w:ascii="宋体" w:hAnsi="宋体"/>
          <w:sz w:val="21"/>
          <w:szCs w:val="21"/>
          <w:highlight w:val="none"/>
        </w:rPr>
        <w:t>13.1 本工程的投标报价采用投标须知前附表第12项所规定的方式。投标报价（含单价及总价）精确到“分”。</w:t>
      </w:r>
    </w:p>
    <w:p w14:paraId="1E7FDFA4">
      <w:pPr>
        <w:pStyle w:val="24"/>
        <w:spacing w:after="0" w:line="276" w:lineRule="auto"/>
        <w:ind w:firstLine="420" w:firstLineChars="200"/>
        <w:rPr>
          <w:rFonts w:ascii="宋体" w:hAnsi="宋体"/>
          <w:sz w:val="21"/>
          <w:szCs w:val="21"/>
          <w:highlight w:val="none"/>
        </w:rPr>
      </w:pPr>
      <w:r>
        <w:rPr>
          <w:rFonts w:hint="eastAsia" w:ascii="宋体" w:hAnsi="宋体"/>
          <w:sz w:val="21"/>
          <w:szCs w:val="21"/>
          <w:highlight w:val="none"/>
        </w:rPr>
        <w:t>13.2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14:paraId="2E8FC8A0">
      <w:pPr>
        <w:pStyle w:val="24"/>
        <w:spacing w:after="0" w:line="276" w:lineRule="auto"/>
        <w:ind w:firstLine="420" w:firstLineChars="200"/>
        <w:rPr>
          <w:rFonts w:ascii="宋体" w:hAnsi="宋体"/>
          <w:sz w:val="21"/>
          <w:szCs w:val="21"/>
          <w:highlight w:val="none"/>
        </w:rPr>
      </w:pPr>
      <w:r>
        <w:rPr>
          <w:rFonts w:hint="eastAsia" w:ascii="宋体" w:hAnsi="宋体"/>
          <w:sz w:val="21"/>
          <w:szCs w:val="21"/>
          <w:highlight w:val="none"/>
        </w:rPr>
        <w:t>13.3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0B9266D2">
      <w:pPr>
        <w:pStyle w:val="24"/>
        <w:spacing w:after="0" w:line="276" w:lineRule="auto"/>
        <w:ind w:firstLine="420" w:firstLineChars="200"/>
        <w:rPr>
          <w:rFonts w:ascii="宋体" w:hAnsi="宋体"/>
          <w:sz w:val="21"/>
          <w:szCs w:val="21"/>
          <w:highlight w:val="none"/>
        </w:rPr>
      </w:pPr>
      <w:r>
        <w:rPr>
          <w:rFonts w:hint="eastAsia" w:ascii="宋体" w:hAnsi="宋体"/>
          <w:sz w:val="21"/>
          <w:szCs w:val="21"/>
          <w:highlight w:val="none"/>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1D428E9E">
      <w:pPr>
        <w:pStyle w:val="24"/>
        <w:spacing w:after="0" w:line="276" w:lineRule="auto"/>
        <w:ind w:firstLine="420" w:firstLineChars="200"/>
        <w:rPr>
          <w:rFonts w:ascii="宋体" w:hAnsi="宋体"/>
          <w:sz w:val="21"/>
          <w:szCs w:val="21"/>
          <w:highlight w:val="none"/>
        </w:rPr>
      </w:pPr>
      <w:r>
        <w:rPr>
          <w:rFonts w:hint="eastAsia" w:ascii="宋体" w:hAnsi="宋体"/>
          <w:sz w:val="21"/>
          <w:szCs w:val="21"/>
          <w:highlight w:val="none"/>
        </w:rPr>
        <w:t>13.5工程项目实施期间和结算时，招标文件工程量清单中漏列而由监理单位和招标人现场签证确认的工程项目、原设计没有而由招标人批准设计变更产生的工程项目，视为新增项目，按以下顺序确定价格：</w:t>
      </w:r>
    </w:p>
    <w:p w14:paraId="0949128D">
      <w:pPr>
        <w:pStyle w:val="24"/>
        <w:spacing w:after="0" w:line="276" w:lineRule="auto"/>
        <w:ind w:firstLine="420" w:firstLineChars="200"/>
        <w:rPr>
          <w:rFonts w:ascii="宋体" w:hAnsi="宋体"/>
          <w:sz w:val="21"/>
          <w:szCs w:val="21"/>
          <w:highlight w:val="none"/>
        </w:rPr>
      </w:pPr>
      <w:r>
        <w:rPr>
          <w:rFonts w:hint="eastAsia" w:ascii="宋体" w:hAnsi="宋体"/>
          <w:sz w:val="21"/>
          <w:szCs w:val="21"/>
          <w:highlight w:val="none"/>
        </w:rPr>
        <w:t>13.5.1中标的投标文件工程量清单中已有相同项目的适用综合单价，则沿用；</w:t>
      </w:r>
    </w:p>
    <w:p w14:paraId="0D48CAEF">
      <w:pPr>
        <w:pStyle w:val="24"/>
        <w:spacing w:after="0" w:line="276" w:lineRule="auto"/>
        <w:ind w:firstLine="420" w:firstLineChars="200"/>
        <w:rPr>
          <w:rFonts w:ascii="宋体" w:hAnsi="宋体"/>
          <w:sz w:val="21"/>
          <w:szCs w:val="21"/>
          <w:highlight w:val="none"/>
        </w:rPr>
      </w:pPr>
      <w:r>
        <w:rPr>
          <w:rFonts w:hint="eastAsia" w:ascii="宋体" w:hAnsi="宋体"/>
          <w:sz w:val="21"/>
          <w:szCs w:val="21"/>
          <w:highlight w:val="none"/>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5BED1886">
      <w:pPr>
        <w:pStyle w:val="24"/>
        <w:spacing w:after="0" w:line="276" w:lineRule="auto"/>
        <w:ind w:firstLine="420" w:firstLineChars="200"/>
        <w:rPr>
          <w:rFonts w:ascii="宋体" w:hAnsi="宋体"/>
          <w:sz w:val="21"/>
          <w:szCs w:val="21"/>
          <w:highlight w:val="none"/>
        </w:rPr>
      </w:pPr>
      <w:r>
        <w:rPr>
          <w:rFonts w:hint="eastAsia" w:ascii="宋体" w:hAnsi="宋体"/>
          <w:sz w:val="21"/>
          <w:szCs w:val="21"/>
          <w:highlight w:val="none"/>
        </w:rPr>
        <w:t>13.5.3 中标的投标文件工程量清单中没有相同项目或类似项目的，如可套取相关定额，则以相关定额为基数下浮计算单价,下浮率为中标价相对于最高投标限价的下浮率（下浮率=(最高投标限价-中标价)/ 最高投标限价）。</w:t>
      </w:r>
    </w:p>
    <w:p w14:paraId="58B3BAF2">
      <w:pPr>
        <w:pStyle w:val="24"/>
        <w:spacing w:after="0" w:line="276" w:lineRule="auto"/>
        <w:ind w:firstLine="420" w:firstLineChars="200"/>
        <w:rPr>
          <w:rFonts w:ascii="宋体" w:hAnsi="宋体"/>
          <w:sz w:val="21"/>
          <w:szCs w:val="21"/>
          <w:highlight w:val="none"/>
        </w:rPr>
      </w:pPr>
      <w:r>
        <w:rPr>
          <w:rFonts w:hint="eastAsia" w:ascii="宋体" w:hAnsi="宋体"/>
          <w:sz w:val="21"/>
          <w:szCs w:val="21"/>
          <w:highlight w:val="none"/>
        </w:rPr>
        <w:t>13.5.4 如相关定额没有相应子目的，其计价方式由招标人在本招标文件第三章中另行规定。未规定的，中标后双方协商约定。</w:t>
      </w:r>
    </w:p>
    <w:p w14:paraId="021659C8">
      <w:pPr>
        <w:pStyle w:val="24"/>
        <w:spacing w:after="0" w:line="276" w:lineRule="auto"/>
        <w:ind w:firstLine="420" w:firstLineChars="200"/>
        <w:rPr>
          <w:rFonts w:ascii="宋体" w:hAnsi="宋体"/>
          <w:sz w:val="21"/>
          <w:szCs w:val="21"/>
          <w:highlight w:val="none"/>
        </w:rPr>
      </w:pPr>
      <w:r>
        <w:rPr>
          <w:rFonts w:hint="eastAsia" w:ascii="宋体" w:hAnsi="宋体"/>
          <w:sz w:val="21"/>
          <w:szCs w:val="21"/>
          <w:highlight w:val="none"/>
        </w:rPr>
        <w:t>13.6暂列金额、暂估价</w:t>
      </w:r>
    </w:p>
    <w:p w14:paraId="7153A997">
      <w:pPr>
        <w:pStyle w:val="24"/>
        <w:spacing w:after="0" w:line="276" w:lineRule="auto"/>
        <w:ind w:firstLine="420" w:firstLineChars="200"/>
        <w:rPr>
          <w:rFonts w:ascii="宋体" w:hAnsi="宋体"/>
          <w:sz w:val="21"/>
          <w:szCs w:val="21"/>
          <w:highlight w:val="none"/>
        </w:rPr>
      </w:pPr>
      <w:r>
        <w:rPr>
          <w:rFonts w:hint="eastAsia" w:ascii="宋体" w:hAnsi="宋体"/>
          <w:sz w:val="21"/>
          <w:szCs w:val="21"/>
          <w:highlight w:val="none"/>
        </w:rPr>
        <w:t>13.6.1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14:paraId="17329553">
      <w:pPr>
        <w:pStyle w:val="24"/>
        <w:spacing w:after="0" w:line="276" w:lineRule="auto"/>
        <w:ind w:firstLine="420" w:firstLineChars="200"/>
        <w:rPr>
          <w:rFonts w:ascii="宋体" w:hAnsi="宋体"/>
          <w:sz w:val="21"/>
          <w:szCs w:val="21"/>
          <w:highlight w:val="none"/>
        </w:rPr>
      </w:pPr>
      <w:r>
        <w:rPr>
          <w:rFonts w:hint="eastAsia" w:ascii="宋体" w:hAnsi="宋体"/>
          <w:sz w:val="21"/>
          <w:szCs w:val="21"/>
          <w:highlight w:val="none"/>
        </w:rPr>
        <w:t>暂估价是指招标人在工程量清单中提供的用于支付必然发生但暂时不能确定价格的材料的单价以及专业工程的金额。</w:t>
      </w:r>
    </w:p>
    <w:p w14:paraId="04E97A69">
      <w:pPr>
        <w:pStyle w:val="24"/>
        <w:spacing w:after="0" w:line="276" w:lineRule="auto"/>
        <w:ind w:firstLine="420" w:firstLineChars="200"/>
        <w:rPr>
          <w:rFonts w:ascii="宋体" w:hAnsi="宋体"/>
          <w:sz w:val="21"/>
          <w:szCs w:val="21"/>
          <w:highlight w:val="none"/>
        </w:rPr>
      </w:pPr>
      <w:r>
        <w:rPr>
          <w:rFonts w:hint="eastAsia" w:ascii="宋体" w:hAnsi="宋体"/>
          <w:sz w:val="21"/>
          <w:szCs w:val="21"/>
          <w:highlight w:val="none"/>
        </w:rPr>
        <w:t>13.6.2在工程实施中，暂列金额、暂估价所包含的工作范围和图纸、标准深化固定后，按照工程专业、设备、材料类别等分类汇总的金额，达到法定招标范围标准的，应由招标人同中标人联合招标，确定承包人和承包价格。</w:t>
      </w:r>
    </w:p>
    <w:p w14:paraId="5D811680">
      <w:pPr>
        <w:pStyle w:val="24"/>
        <w:spacing w:after="0" w:line="276" w:lineRule="auto"/>
        <w:ind w:firstLine="420" w:firstLineChars="200"/>
        <w:rPr>
          <w:rFonts w:ascii="宋体" w:hAnsi="宋体"/>
          <w:sz w:val="21"/>
          <w:szCs w:val="21"/>
          <w:highlight w:val="none"/>
        </w:rPr>
      </w:pPr>
      <w:r>
        <w:rPr>
          <w:rFonts w:hint="eastAsia" w:ascii="宋体" w:hAnsi="宋体"/>
          <w:sz w:val="21"/>
          <w:szCs w:val="21"/>
          <w:highlight w:val="none"/>
        </w:rPr>
        <w:t>13.6.3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14:paraId="1DB551D8">
      <w:pPr>
        <w:pStyle w:val="24"/>
        <w:spacing w:after="0" w:line="276" w:lineRule="auto"/>
        <w:ind w:firstLine="420" w:firstLineChars="200"/>
        <w:rPr>
          <w:rFonts w:ascii="宋体" w:hAnsi="宋体"/>
          <w:sz w:val="21"/>
          <w:szCs w:val="21"/>
          <w:highlight w:val="none"/>
        </w:rPr>
      </w:pPr>
      <w:r>
        <w:rPr>
          <w:rFonts w:hint="eastAsia" w:ascii="宋体" w:hAnsi="宋体"/>
          <w:sz w:val="21"/>
          <w:szCs w:val="21"/>
          <w:highlight w:val="none"/>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14:paraId="22C0EE25">
      <w:pPr>
        <w:pStyle w:val="24"/>
        <w:spacing w:after="0" w:line="276" w:lineRule="auto"/>
        <w:ind w:firstLine="420" w:firstLineChars="200"/>
        <w:rPr>
          <w:rFonts w:ascii="宋体" w:hAnsi="宋体"/>
          <w:sz w:val="21"/>
          <w:szCs w:val="21"/>
          <w:highlight w:val="none"/>
        </w:rPr>
      </w:pPr>
      <w:r>
        <w:rPr>
          <w:rFonts w:hint="eastAsia" w:ascii="宋体" w:hAnsi="宋体"/>
          <w:sz w:val="21"/>
          <w:szCs w:val="21"/>
          <w:highlight w:val="none"/>
        </w:rPr>
        <w:t>13.6.5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0EDF359D">
      <w:pPr>
        <w:pStyle w:val="24"/>
        <w:spacing w:after="0" w:line="276" w:lineRule="auto"/>
        <w:ind w:firstLine="420" w:firstLineChars="200"/>
        <w:rPr>
          <w:rFonts w:ascii="宋体" w:hAnsi="宋体"/>
          <w:sz w:val="21"/>
          <w:szCs w:val="21"/>
          <w:highlight w:val="none"/>
        </w:rPr>
      </w:pPr>
      <w:r>
        <w:rPr>
          <w:rFonts w:hint="eastAsia" w:ascii="宋体" w:hAnsi="宋体"/>
          <w:sz w:val="21"/>
          <w:szCs w:val="21"/>
          <w:highlight w:val="none"/>
        </w:rPr>
        <w:t>13.6.6 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14:paraId="7301CDA3">
      <w:pPr>
        <w:pStyle w:val="24"/>
        <w:spacing w:after="0" w:line="276" w:lineRule="auto"/>
        <w:ind w:firstLine="420" w:firstLineChars="200"/>
        <w:rPr>
          <w:rFonts w:ascii="宋体" w:hAnsi="宋体"/>
          <w:sz w:val="21"/>
          <w:szCs w:val="21"/>
          <w:highlight w:val="none"/>
        </w:rPr>
      </w:pPr>
      <w:r>
        <w:rPr>
          <w:rFonts w:hint="eastAsia" w:ascii="宋体" w:hAnsi="宋体"/>
          <w:sz w:val="21"/>
          <w:szCs w:val="21"/>
          <w:highlight w:val="none"/>
        </w:rPr>
        <w:t>13.7投标人可先到工地踏勘以充分了解工地位置、情况、道路、储存空间、装卸限制及任何其他足以影响承包价的情况，任何因忽视或误解工地情况而导致的索赔或工期延长申请将不被批准。</w:t>
      </w:r>
    </w:p>
    <w:p w14:paraId="2552383A">
      <w:pPr>
        <w:pStyle w:val="24"/>
        <w:spacing w:after="0" w:line="276" w:lineRule="auto"/>
        <w:ind w:firstLine="420" w:firstLineChars="200"/>
        <w:rPr>
          <w:rFonts w:ascii="宋体" w:hAnsi="宋体"/>
          <w:sz w:val="21"/>
          <w:szCs w:val="21"/>
          <w:highlight w:val="none"/>
        </w:rPr>
      </w:pPr>
      <w:r>
        <w:rPr>
          <w:rFonts w:hint="eastAsia" w:ascii="宋体" w:hAnsi="宋体"/>
          <w:sz w:val="21"/>
          <w:szCs w:val="21"/>
          <w:highlight w:val="none"/>
        </w:rPr>
        <w:t>13.8属于承包人自行采购的主要材料、设备，招标人应当在招标文件中提出材料、设备的技术标准或者质量要求，或者提出不少于3个同等档次品牌或分包商供投标人报价时选择,凡招标人在招标文件中提出参考品牌的，必须在参考品牌后面加上“或相当于”字样。投标人在投标文件中应明确所选用主要材料、设备的品牌、厂家以及质量等级，并且应当符合招标文件的要求。</w:t>
      </w:r>
    </w:p>
    <w:p w14:paraId="2CCEA4A9">
      <w:pPr>
        <w:pStyle w:val="24"/>
        <w:spacing w:after="0" w:line="276" w:lineRule="auto"/>
        <w:ind w:firstLine="420" w:firstLineChars="200"/>
        <w:rPr>
          <w:rFonts w:ascii="宋体" w:hAnsi="宋体"/>
          <w:sz w:val="21"/>
          <w:szCs w:val="21"/>
          <w:highlight w:val="none"/>
        </w:rPr>
      </w:pPr>
      <w:r>
        <w:rPr>
          <w:rFonts w:hint="eastAsia" w:ascii="宋体" w:hAnsi="宋体"/>
          <w:sz w:val="21"/>
          <w:szCs w:val="21"/>
          <w:highlight w:val="none"/>
        </w:rPr>
        <w:t>13.9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14:paraId="011D4FE5">
      <w:pPr>
        <w:pStyle w:val="24"/>
        <w:spacing w:after="0" w:line="276" w:lineRule="auto"/>
        <w:ind w:firstLine="422" w:firstLineChars="200"/>
        <w:rPr>
          <w:rFonts w:ascii="宋体" w:hAnsi="宋体"/>
          <w:b/>
          <w:bCs/>
          <w:sz w:val="21"/>
          <w:szCs w:val="21"/>
          <w:highlight w:val="none"/>
        </w:rPr>
      </w:pPr>
      <w:r>
        <w:rPr>
          <w:rFonts w:hint="eastAsia" w:ascii="宋体" w:hAnsi="宋体"/>
          <w:b/>
          <w:bCs/>
          <w:sz w:val="21"/>
          <w:szCs w:val="21"/>
          <w:highlight w:val="none"/>
        </w:rPr>
        <w:t>14．投标货币</w:t>
      </w:r>
    </w:p>
    <w:p w14:paraId="1BDD7D4F">
      <w:pPr>
        <w:pStyle w:val="24"/>
        <w:spacing w:after="0" w:line="276" w:lineRule="auto"/>
        <w:ind w:firstLine="420" w:firstLineChars="200"/>
        <w:rPr>
          <w:rFonts w:ascii="宋体" w:hAnsi="宋体"/>
          <w:sz w:val="21"/>
          <w:szCs w:val="21"/>
          <w:highlight w:val="none"/>
        </w:rPr>
      </w:pPr>
      <w:r>
        <w:rPr>
          <w:rFonts w:hint="eastAsia" w:ascii="宋体" w:hAnsi="宋体"/>
          <w:sz w:val="21"/>
          <w:szCs w:val="21"/>
          <w:highlight w:val="none"/>
        </w:rPr>
        <w:t>14.1 本工程投标报价采用的币种为人民币。</w:t>
      </w:r>
    </w:p>
    <w:p w14:paraId="57E1AE8C">
      <w:pPr>
        <w:pStyle w:val="24"/>
        <w:spacing w:after="0" w:line="276" w:lineRule="auto"/>
        <w:ind w:firstLine="422" w:firstLineChars="200"/>
        <w:rPr>
          <w:rFonts w:ascii="宋体" w:hAnsi="宋体"/>
          <w:sz w:val="21"/>
          <w:szCs w:val="21"/>
          <w:highlight w:val="none"/>
        </w:rPr>
      </w:pPr>
      <w:r>
        <w:rPr>
          <w:rFonts w:hint="eastAsia" w:ascii="宋体" w:hAnsi="宋体"/>
          <w:b/>
          <w:bCs/>
          <w:sz w:val="21"/>
          <w:szCs w:val="21"/>
          <w:highlight w:val="none"/>
        </w:rPr>
        <w:t>15．投标有效期</w:t>
      </w:r>
    </w:p>
    <w:p w14:paraId="14663A9D">
      <w:pPr>
        <w:pStyle w:val="24"/>
        <w:spacing w:after="0" w:line="276" w:lineRule="auto"/>
        <w:ind w:firstLine="420" w:firstLineChars="200"/>
        <w:rPr>
          <w:rFonts w:ascii="宋体" w:hAnsi="宋体"/>
          <w:sz w:val="21"/>
          <w:szCs w:val="21"/>
          <w:highlight w:val="none"/>
        </w:rPr>
      </w:pPr>
      <w:r>
        <w:rPr>
          <w:rFonts w:hint="eastAsia" w:ascii="宋体" w:hAnsi="宋体"/>
          <w:sz w:val="21"/>
          <w:szCs w:val="21"/>
          <w:highlight w:val="none"/>
        </w:rPr>
        <w:t>15.1 投标有效期见投标须知前附表第13项所规定的期限，在此期限内，凡符合本招标文件要求的投标文件均保持有效。</w:t>
      </w:r>
    </w:p>
    <w:p w14:paraId="6E3528B2">
      <w:pPr>
        <w:pStyle w:val="24"/>
        <w:spacing w:after="0" w:line="276" w:lineRule="auto"/>
        <w:ind w:firstLine="420" w:firstLineChars="200"/>
        <w:rPr>
          <w:rFonts w:ascii="宋体" w:hAnsi="宋体"/>
          <w:sz w:val="21"/>
          <w:szCs w:val="21"/>
          <w:highlight w:val="none"/>
        </w:rPr>
      </w:pPr>
      <w:r>
        <w:rPr>
          <w:rFonts w:hint="eastAsia" w:ascii="宋体" w:hAnsi="宋体"/>
          <w:sz w:val="21"/>
          <w:szCs w:val="21"/>
          <w:highlight w:val="none"/>
        </w:rPr>
        <w:t>15.2 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p>
    <w:p w14:paraId="564E9A51">
      <w:pPr>
        <w:pStyle w:val="24"/>
        <w:spacing w:after="0" w:line="276" w:lineRule="auto"/>
        <w:ind w:firstLine="422" w:firstLineChars="200"/>
        <w:rPr>
          <w:rFonts w:ascii="宋体" w:hAnsi="宋体"/>
          <w:b/>
          <w:bCs/>
          <w:sz w:val="21"/>
          <w:szCs w:val="21"/>
          <w:highlight w:val="none"/>
        </w:rPr>
      </w:pPr>
      <w:r>
        <w:rPr>
          <w:rFonts w:hint="eastAsia" w:ascii="宋体" w:hAnsi="宋体"/>
          <w:b/>
          <w:bCs/>
          <w:sz w:val="21"/>
          <w:szCs w:val="21"/>
          <w:highlight w:val="none"/>
        </w:rPr>
        <w:t>16．投标保证金</w:t>
      </w:r>
    </w:p>
    <w:p w14:paraId="1F80A722">
      <w:pPr>
        <w:spacing w:line="276" w:lineRule="auto"/>
        <w:ind w:firstLine="420" w:firstLineChars="200"/>
        <w:rPr>
          <w:rFonts w:ascii="宋体" w:hAnsi="宋体"/>
          <w:szCs w:val="21"/>
          <w:highlight w:val="none"/>
        </w:rPr>
      </w:pPr>
      <w:r>
        <w:rPr>
          <w:rFonts w:hint="eastAsia" w:ascii="宋体" w:hAnsi="宋体"/>
          <w:szCs w:val="21"/>
          <w:highlight w:val="none"/>
        </w:rPr>
        <w:t>16.1投标人应按投标须知前附表第14项所述金额和时间递交</w:t>
      </w:r>
      <w:r>
        <w:rPr>
          <w:rFonts w:hint="eastAsia" w:ascii="宋体" w:hAnsi="宋体"/>
          <w:bCs/>
          <w:szCs w:val="21"/>
          <w:highlight w:val="none"/>
        </w:rPr>
        <w:t>投标保证金</w:t>
      </w:r>
      <w:r>
        <w:rPr>
          <w:rFonts w:hint="eastAsia" w:ascii="宋体" w:hAnsi="宋体"/>
          <w:szCs w:val="21"/>
          <w:highlight w:val="none"/>
        </w:rPr>
        <w:t>。招标人应当允许投标人自主选择现金、银行保函、保证保险、专业工程担保公司担保等方式缴纳投标保证金。</w:t>
      </w:r>
    </w:p>
    <w:p w14:paraId="7F23755C">
      <w:pPr>
        <w:spacing w:line="276" w:lineRule="auto"/>
        <w:ind w:firstLine="420" w:firstLineChars="200"/>
        <w:rPr>
          <w:rFonts w:ascii="宋体" w:hAnsi="宋体"/>
          <w:szCs w:val="21"/>
          <w:highlight w:val="none"/>
        </w:rPr>
      </w:pPr>
      <w:r>
        <w:rPr>
          <w:rFonts w:hint="eastAsia" w:ascii="宋体" w:hAnsi="宋体"/>
          <w:szCs w:val="21"/>
          <w:highlight w:val="none"/>
        </w:rPr>
        <w:t>16.1.1 采用现金或者支票形式提交的，投标保证金须从投标人的银行基本账户转出。</w:t>
      </w:r>
    </w:p>
    <w:p w14:paraId="5EF85560">
      <w:pPr>
        <w:spacing w:line="276" w:lineRule="auto"/>
        <w:ind w:firstLine="420" w:firstLineChars="200"/>
        <w:rPr>
          <w:rFonts w:ascii="宋体" w:hAnsi="宋体"/>
          <w:szCs w:val="21"/>
          <w:highlight w:val="none"/>
        </w:rPr>
      </w:pPr>
      <w:r>
        <w:rPr>
          <w:rFonts w:hint="eastAsia" w:ascii="宋体" w:hAnsi="宋体"/>
          <w:szCs w:val="21"/>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5252A2EC">
      <w:pPr>
        <w:spacing w:line="276" w:lineRule="auto"/>
        <w:ind w:firstLine="420" w:firstLineChars="200"/>
        <w:rPr>
          <w:rFonts w:ascii="宋体" w:hAnsi="宋体"/>
          <w:szCs w:val="21"/>
          <w:highlight w:val="none"/>
        </w:rPr>
      </w:pPr>
      <w:r>
        <w:rPr>
          <w:rFonts w:hint="eastAsia" w:ascii="宋体" w:hAnsi="宋体"/>
          <w:szCs w:val="21"/>
          <w:highlight w:val="none"/>
        </w:rPr>
        <w:t>16.1.3 采用电子形式的保函、担保或保证保险提交投标保证金的，应在招标文件中明确电子递交途径。</w:t>
      </w:r>
    </w:p>
    <w:p w14:paraId="23FCDD55">
      <w:pPr>
        <w:spacing w:line="276" w:lineRule="auto"/>
        <w:ind w:firstLine="420" w:firstLineChars="200"/>
        <w:rPr>
          <w:rFonts w:ascii="宋体" w:hAnsi="宋体"/>
          <w:szCs w:val="21"/>
          <w:highlight w:val="none"/>
        </w:rPr>
      </w:pPr>
      <w:r>
        <w:rPr>
          <w:rFonts w:hint="eastAsia" w:ascii="宋体" w:hAnsi="宋体"/>
          <w:szCs w:val="21"/>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14:paraId="17C06EAE">
      <w:pPr>
        <w:spacing w:line="276" w:lineRule="auto"/>
        <w:ind w:firstLine="420" w:firstLineChars="200"/>
        <w:rPr>
          <w:rFonts w:ascii="宋体" w:hAnsi="宋体"/>
          <w:szCs w:val="21"/>
          <w:highlight w:val="none"/>
        </w:rPr>
      </w:pPr>
      <w:r>
        <w:rPr>
          <w:rFonts w:hint="eastAsia" w:ascii="宋体" w:hAnsi="宋体"/>
          <w:szCs w:val="21"/>
          <w:highlight w:val="none"/>
        </w:rPr>
        <w:t>16.3投标保证金应依据法律法规的相关规定退还。</w:t>
      </w:r>
    </w:p>
    <w:p w14:paraId="34F493D4">
      <w:pPr>
        <w:spacing w:line="276" w:lineRule="auto"/>
        <w:ind w:firstLine="420" w:firstLineChars="200"/>
        <w:rPr>
          <w:rFonts w:ascii="宋体" w:hAnsi="宋体"/>
          <w:szCs w:val="21"/>
          <w:highlight w:val="none"/>
        </w:rPr>
      </w:pPr>
      <w:r>
        <w:rPr>
          <w:rFonts w:hint="eastAsia" w:ascii="宋体" w:hAnsi="宋体"/>
          <w:szCs w:val="21"/>
          <w:highlight w:val="none"/>
        </w:rPr>
        <w:t>16.4如有下列情况之一的，招标人可以不予退还投标保证金（是否退还投标保证金由招标人在招标文件中规定）：</w:t>
      </w:r>
    </w:p>
    <w:p w14:paraId="1974BC3F">
      <w:pPr>
        <w:spacing w:line="276" w:lineRule="auto"/>
        <w:ind w:firstLine="420" w:firstLineChars="200"/>
        <w:rPr>
          <w:rFonts w:ascii="宋体" w:hAnsi="宋体"/>
          <w:szCs w:val="21"/>
          <w:highlight w:val="none"/>
        </w:rPr>
      </w:pPr>
      <w:r>
        <w:rPr>
          <w:rFonts w:hint="eastAsia" w:ascii="宋体" w:hAnsi="宋体"/>
          <w:szCs w:val="21"/>
          <w:highlight w:val="none"/>
        </w:rPr>
        <w:t>16.4.1因投标人原因造成投标文件未解密的；</w:t>
      </w:r>
    </w:p>
    <w:p w14:paraId="3A7C91AC">
      <w:pPr>
        <w:spacing w:line="276" w:lineRule="auto"/>
        <w:ind w:firstLine="420" w:firstLineChars="200"/>
        <w:rPr>
          <w:rFonts w:ascii="宋体" w:hAnsi="宋体"/>
          <w:szCs w:val="21"/>
          <w:highlight w:val="none"/>
        </w:rPr>
      </w:pPr>
      <w:r>
        <w:rPr>
          <w:rFonts w:hint="eastAsia" w:ascii="宋体" w:hAnsi="宋体"/>
          <w:szCs w:val="21"/>
          <w:highlight w:val="none"/>
        </w:rPr>
        <w:t>16.4.2投标人在投标有效期内撤销投标文件；</w:t>
      </w:r>
    </w:p>
    <w:p w14:paraId="72ACD7F1">
      <w:pPr>
        <w:spacing w:line="276" w:lineRule="auto"/>
        <w:ind w:firstLine="420" w:firstLineChars="200"/>
        <w:rPr>
          <w:rFonts w:ascii="宋体" w:hAnsi="宋体"/>
          <w:szCs w:val="21"/>
          <w:highlight w:val="none"/>
        </w:rPr>
      </w:pPr>
      <w:r>
        <w:rPr>
          <w:rFonts w:hint="eastAsia" w:ascii="宋体" w:hAnsi="宋体"/>
          <w:szCs w:val="21"/>
          <w:highlight w:val="none"/>
        </w:rPr>
        <w:t>16.4.3中标人未能在规定期限内按要求提交履约担保；</w:t>
      </w:r>
    </w:p>
    <w:p w14:paraId="699A46A4">
      <w:pPr>
        <w:spacing w:line="276" w:lineRule="auto"/>
        <w:ind w:firstLine="420" w:firstLineChars="200"/>
        <w:rPr>
          <w:rFonts w:ascii="宋体" w:hAnsi="宋体"/>
          <w:szCs w:val="21"/>
          <w:highlight w:val="none"/>
        </w:rPr>
      </w:pPr>
      <w:r>
        <w:rPr>
          <w:rFonts w:hint="eastAsia" w:ascii="宋体" w:hAnsi="宋体"/>
          <w:szCs w:val="21"/>
          <w:highlight w:val="none"/>
        </w:rPr>
        <w:t>16.4.4中标人未能在规定期限内签署合同协议。</w:t>
      </w:r>
    </w:p>
    <w:p w14:paraId="6310605C">
      <w:pPr>
        <w:spacing w:line="276" w:lineRule="auto"/>
        <w:ind w:firstLine="420" w:firstLineChars="200"/>
        <w:rPr>
          <w:rFonts w:ascii="宋体" w:hAnsi="宋体"/>
          <w:szCs w:val="21"/>
          <w:highlight w:val="none"/>
        </w:rPr>
      </w:pPr>
      <w:r>
        <w:rPr>
          <w:rFonts w:hint="eastAsia" w:ascii="宋体" w:hAnsi="宋体"/>
          <w:szCs w:val="21"/>
          <w:highlight w:val="none"/>
        </w:rPr>
        <w:t>16.5投标人如存在下列情况之一的，将被拒绝在一定时期内参与招标人后续工程投标（拒绝时限需在招标文件中明确）：</w:t>
      </w:r>
    </w:p>
    <w:p w14:paraId="040D42A4">
      <w:pPr>
        <w:spacing w:line="276" w:lineRule="auto"/>
        <w:ind w:firstLine="420" w:firstLineChars="200"/>
        <w:rPr>
          <w:rFonts w:ascii="宋体" w:hAnsi="宋体"/>
          <w:szCs w:val="21"/>
          <w:highlight w:val="none"/>
        </w:rPr>
      </w:pPr>
      <w:r>
        <w:rPr>
          <w:rFonts w:hint="eastAsia" w:ascii="宋体" w:hAnsi="宋体"/>
          <w:szCs w:val="21"/>
          <w:highlight w:val="none"/>
        </w:rPr>
        <w:t>16.5.1投标人存在16.4条款所列情形且投标人提交的保函、担保或保证保险无法兑付的；</w:t>
      </w:r>
    </w:p>
    <w:p w14:paraId="78B0AD8D">
      <w:pPr>
        <w:spacing w:line="276" w:lineRule="auto"/>
        <w:ind w:firstLine="420" w:firstLineChars="200"/>
        <w:rPr>
          <w:rFonts w:ascii="宋体" w:hAnsi="宋体"/>
          <w:szCs w:val="21"/>
          <w:highlight w:val="none"/>
        </w:rPr>
      </w:pPr>
      <w:r>
        <w:rPr>
          <w:rFonts w:hint="eastAsia" w:ascii="宋体" w:hAnsi="宋体"/>
          <w:szCs w:val="21"/>
          <w:highlight w:val="none"/>
        </w:rPr>
        <w:t>16.5.2采用非电子形式提交投标保证金的投标人存在16.4条款所列情形，且未按招标人要求补交银行保函、专业工程担保公司担保或保证保险原件的；</w:t>
      </w:r>
    </w:p>
    <w:p w14:paraId="0C49A153">
      <w:pPr>
        <w:spacing w:line="276" w:lineRule="auto"/>
        <w:ind w:firstLine="420" w:firstLineChars="200"/>
        <w:rPr>
          <w:rFonts w:ascii="宋体" w:hAnsi="宋体"/>
          <w:szCs w:val="21"/>
          <w:highlight w:val="none"/>
        </w:rPr>
      </w:pPr>
      <w:r>
        <w:rPr>
          <w:rFonts w:hint="eastAsia" w:ascii="宋体" w:hAnsi="宋体"/>
          <w:szCs w:val="21"/>
          <w:highlight w:val="none"/>
        </w:rPr>
        <w:t>16.5.3按招标文件要求免于提供投标保证金的投标人存在16.4条款所列情形，且未按招标人要求补交投标保证金的；</w:t>
      </w:r>
    </w:p>
    <w:p w14:paraId="446736DE">
      <w:pPr>
        <w:spacing w:line="276" w:lineRule="auto"/>
        <w:ind w:firstLine="420" w:firstLineChars="200"/>
        <w:rPr>
          <w:rFonts w:ascii="宋体" w:hAnsi="宋体"/>
          <w:szCs w:val="21"/>
          <w:highlight w:val="none"/>
        </w:rPr>
      </w:pPr>
      <w:r>
        <w:rPr>
          <w:rFonts w:hint="eastAsia" w:ascii="宋体" w:hAnsi="宋体"/>
          <w:szCs w:val="21"/>
          <w:highlight w:val="none"/>
        </w:rPr>
        <w:t>16.5.3按招标文件要求免于提供投标保证金的投标人存在16.4条款所列情形的。</w:t>
      </w:r>
    </w:p>
    <w:p w14:paraId="487C3D32">
      <w:pPr>
        <w:spacing w:line="276" w:lineRule="auto"/>
        <w:ind w:firstLine="420" w:firstLineChars="200"/>
        <w:rPr>
          <w:rFonts w:ascii="宋体" w:hAnsi="宋体"/>
          <w:szCs w:val="21"/>
          <w:highlight w:val="none"/>
        </w:rPr>
      </w:pPr>
      <w:r>
        <w:rPr>
          <w:rFonts w:hint="eastAsia" w:ascii="宋体" w:hAnsi="宋体"/>
          <w:szCs w:val="21"/>
          <w:highlight w:val="none"/>
        </w:rPr>
        <w:t>注：16.5.3款由招标人二选一，需在招标文件中明确。</w:t>
      </w:r>
    </w:p>
    <w:p w14:paraId="4F181CA7">
      <w:pPr>
        <w:pStyle w:val="24"/>
        <w:spacing w:after="0" w:line="276" w:lineRule="auto"/>
        <w:ind w:firstLine="422" w:firstLineChars="200"/>
        <w:rPr>
          <w:rFonts w:ascii="宋体" w:hAnsi="宋体"/>
          <w:b/>
          <w:bCs/>
          <w:sz w:val="21"/>
          <w:szCs w:val="21"/>
          <w:highlight w:val="none"/>
        </w:rPr>
      </w:pPr>
      <w:r>
        <w:rPr>
          <w:rFonts w:hint="eastAsia" w:ascii="宋体" w:hAnsi="宋体"/>
          <w:b/>
          <w:bCs/>
          <w:sz w:val="21"/>
          <w:szCs w:val="21"/>
          <w:highlight w:val="none"/>
        </w:rPr>
        <w:t>17．投标文件的签署</w:t>
      </w:r>
    </w:p>
    <w:p w14:paraId="343E2B9F">
      <w:pPr>
        <w:spacing w:line="276" w:lineRule="auto"/>
        <w:ind w:firstLine="420" w:firstLineChars="200"/>
        <w:rPr>
          <w:rFonts w:ascii="宋体" w:hAnsi="宋体"/>
          <w:szCs w:val="21"/>
          <w:highlight w:val="none"/>
        </w:rPr>
      </w:pPr>
      <w:r>
        <w:rPr>
          <w:rFonts w:hint="eastAsia" w:ascii="宋体" w:hAnsi="宋体"/>
          <w:szCs w:val="21"/>
          <w:highlight w:val="none"/>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eastAsia="宋体" w:cs="宋体"/>
          <w:sz w:val="24"/>
          <w:szCs w:val="24"/>
          <w:highlight w:val="none"/>
          <w:u w:val="single"/>
          <w:lang w:bidi="ar-SA"/>
        </w:rPr>
        <w:t xml:space="preserve">        </w:t>
      </w:r>
      <w:r>
        <w:rPr>
          <w:rFonts w:hint="eastAsia" w:ascii="宋体" w:hAnsi="宋体"/>
          <w:szCs w:val="21"/>
          <w:highlight w:val="none"/>
        </w:rPr>
        <w:t xml:space="preserve"> 。</w:t>
      </w:r>
    </w:p>
    <w:p w14:paraId="2E7644CF">
      <w:pPr>
        <w:pStyle w:val="5"/>
        <w:spacing w:before="156" w:beforeAutospacing="0" w:after="156" w:afterAutospacing="0" w:line="276" w:lineRule="auto"/>
        <w:rPr>
          <w:b/>
          <w:bCs/>
          <w:sz w:val="21"/>
          <w:szCs w:val="21"/>
          <w:highlight w:val="none"/>
        </w:rPr>
      </w:pPr>
      <w:bookmarkStart w:id="9" w:name="_Toc105014627"/>
      <w:r>
        <w:rPr>
          <w:rFonts w:hint="eastAsia"/>
          <w:b/>
          <w:bCs/>
          <w:sz w:val="21"/>
          <w:szCs w:val="21"/>
          <w:highlight w:val="none"/>
        </w:rPr>
        <w:t>（四）投标文件的提交</w:t>
      </w:r>
      <w:bookmarkEnd w:id="9"/>
    </w:p>
    <w:p w14:paraId="033D7601">
      <w:pPr>
        <w:pStyle w:val="24"/>
        <w:spacing w:after="0" w:line="276" w:lineRule="auto"/>
        <w:ind w:firstLine="422" w:firstLineChars="200"/>
        <w:rPr>
          <w:rFonts w:ascii="宋体" w:hAnsi="宋体"/>
          <w:b/>
          <w:bCs/>
          <w:sz w:val="21"/>
          <w:szCs w:val="21"/>
          <w:highlight w:val="none"/>
        </w:rPr>
      </w:pPr>
      <w:r>
        <w:rPr>
          <w:rFonts w:hint="eastAsia" w:ascii="宋体" w:hAnsi="宋体"/>
          <w:b/>
          <w:bCs/>
          <w:sz w:val="21"/>
          <w:szCs w:val="21"/>
          <w:highlight w:val="none"/>
        </w:rPr>
        <w:t>18．</w:t>
      </w:r>
      <w:r>
        <w:rPr>
          <w:rFonts w:hint="eastAsia" w:ascii="宋体" w:hAnsi="宋体"/>
          <w:b/>
          <w:sz w:val="21"/>
          <w:szCs w:val="21"/>
          <w:highlight w:val="none"/>
        </w:rPr>
        <w:t>投标文件的密封和标记</w:t>
      </w:r>
    </w:p>
    <w:p w14:paraId="0BD97D00">
      <w:pPr>
        <w:spacing w:line="276" w:lineRule="auto"/>
        <w:ind w:firstLine="420" w:firstLineChars="200"/>
        <w:rPr>
          <w:rFonts w:ascii="宋体" w:hAnsi="宋体"/>
          <w:bCs/>
          <w:szCs w:val="21"/>
          <w:highlight w:val="none"/>
        </w:rPr>
      </w:pPr>
      <w:r>
        <w:rPr>
          <w:rFonts w:hint="eastAsia" w:ascii="宋体" w:hAnsi="宋体"/>
          <w:bCs/>
          <w:szCs w:val="21"/>
          <w:highlight w:val="none"/>
        </w:rPr>
        <w:t>18.1递交的电子投标文件（不含备用光盘）必须进行加密。按照交易平台关于</w:t>
      </w:r>
      <w:r>
        <w:rPr>
          <w:rFonts w:hint="eastAsia" w:ascii="宋体" w:hAnsi="宋体"/>
          <w:szCs w:val="21"/>
          <w:highlight w:val="none"/>
        </w:rPr>
        <w:t>全流程电子化项目的相关指南进行操作。详见：</w:t>
      </w:r>
      <w:r>
        <w:rPr>
          <w:rFonts w:hint="eastAsia" w:ascii="宋体" w:eastAsia="宋体" w:cs="宋体"/>
          <w:sz w:val="24"/>
          <w:szCs w:val="24"/>
          <w:highlight w:val="none"/>
          <w:u w:val="single"/>
          <w:lang w:bidi="ar-SA"/>
        </w:rPr>
        <w:t xml:space="preserve">        </w:t>
      </w:r>
      <w:r>
        <w:rPr>
          <w:rFonts w:hint="eastAsia" w:ascii="宋体" w:hAnsi="宋体"/>
          <w:szCs w:val="21"/>
          <w:highlight w:val="none"/>
        </w:rPr>
        <w:t xml:space="preserve"> 。</w:t>
      </w:r>
    </w:p>
    <w:p w14:paraId="0291DF38">
      <w:pPr>
        <w:spacing w:line="276" w:lineRule="auto"/>
        <w:ind w:firstLine="420" w:firstLineChars="200"/>
        <w:rPr>
          <w:rFonts w:ascii="宋体" w:hAnsi="宋体"/>
          <w:bCs/>
          <w:szCs w:val="21"/>
          <w:highlight w:val="none"/>
        </w:rPr>
      </w:pPr>
      <w:r>
        <w:rPr>
          <w:rFonts w:hint="eastAsia" w:ascii="宋体" w:hAnsi="宋体"/>
          <w:bCs/>
          <w:szCs w:val="21"/>
          <w:highlight w:val="none"/>
        </w:rPr>
        <w:t>18.2 未按要求加密的投标文件，</w:t>
      </w:r>
      <w:r>
        <w:rPr>
          <w:rFonts w:hint="eastAsia" w:ascii="宋体" w:eastAsia="宋体" w:cs="宋体"/>
          <w:sz w:val="24"/>
          <w:szCs w:val="24"/>
          <w:highlight w:val="none"/>
          <w:u w:val="single"/>
          <w:lang w:bidi="ar-SA"/>
        </w:rPr>
        <w:t xml:space="preserve">        </w:t>
      </w:r>
      <w:r>
        <w:rPr>
          <w:rFonts w:hint="eastAsia" w:ascii="宋体" w:hAnsi="宋体"/>
          <w:szCs w:val="21"/>
          <w:highlight w:val="none"/>
        </w:rPr>
        <w:t>交易平台</w:t>
      </w:r>
      <w:r>
        <w:rPr>
          <w:rFonts w:hint="eastAsia" w:ascii="宋体" w:hAnsi="宋体"/>
          <w:bCs/>
          <w:szCs w:val="21"/>
          <w:highlight w:val="none"/>
        </w:rPr>
        <w:t>将予以拒收。</w:t>
      </w:r>
    </w:p>
    <w:p w14:paraId="4ED91A7C">
      <w:pPr>
        <w:spacing w:line="276" w:lineRule="auto"/>
        <w:ind w:firstLine="422" w:firstLineChars="200"/>
        <w:rPr>
          <w:rFonts w:ascii="宋体" w:hAnsi="宋体"/>
          <w:b/>
          <w:bCs/>
          <w:szCs w:val="21"/>
          <w:highlight w:val="none"/>
        </w:rPr>
      </w:pPr>
      <w:r>
        <w:rPr>
          <w:rFonts w:hint="eastAsia" w:ascii="宋体" w:hAnsi="宋体"/>
          <w:b/>
          <w:bCs/>
          <w:szCs w:val="21"/>
          <w:highlight w:val="none"/>
        </w:rPr>
        <w:t>19．投标文件的递交和接收</w:t>
      </w:r>
    </w:p>
    <w:p w14:paraId="1F555B79">
      <w:pPr>
        <w:spacing w:line="276" w:lineRule="auto"/>
        <w:ind w:firstLine="420" w:firstLineChars="200"/>
        <w:rPr>
          <w:rFonts w:ascii="宋体" w:hAnsi="宋体"/>
          <w:bCs/>
          <w:szCs w:val="21"/>
          <w:highlight w:val="none"/>
        </w:rPr>
      </w:pPr>
      <w:r>
        <w:rPr>
          <w:rFonts w:hint="eastAsia" w:ascii="宋体" w:hAnsi="宋体"/>
          <w:bCs/>
          <w:szCs w:val="21"/>
          <w:highlight w:val="none"/>
        </w:rPr>
        <w:t>19.1投标人通过</w:t>
      </w:r>
      <w:r>
        <w:rPr>
          <w:rFonts w:hint="eastAsia" w:ascii="宋体" w:eastAsia="宋体" w:cs="宋体"/>
          <w:sz w:val="24"/>
          <w:szCs w:val="24"/>
          <w:highlight w:val="none"/>
          <w:u w:val="single"/>
          <w:lang w:bidi="ar-SA"/>
        </w:rPr>
        <w:t xml:space="preserve">        </w:t>
      </w:r>
      <w:r>
        <w:rPr>
          <w:rFonts w:hint="eastAsia" w:ascii="宋体" w:hAnsi="宋体"/>
          <w:szCs w:val="21"/>
          <w:highlight w:val="none"/>
        </w:rPr>
        <w:t>交易平台递交电子投标文件。</w:t>
      </w:r>
    </w:p>
    <w:p w14:paraId="75CFCE58">
      <w:pPr>
        <w:spacing w:line="276" w:lineRule="auto"/>
        <w:ind w:firstLine="420" w:firstLineChars="200"/>
        <w:rPr>
          <w:rFonts w:ascii="宋体" w:hAnsi="宋体"/>
          <w:bCs/>
          <w:szCs w:val="21"/>
          <w:highlight w:val="none"/>
        </w:rPr>
      </w:pPr>
      <w:r>
        <w:rPr>
          <w:rFonts w:hint="eastAsia" w:ascii="宋体" w:hAnsi="宋体"/>
          <w:bCs/>
          <w:szCs w:val="21"/>
          <w:highlight w:val="none"/>
        </w:rPr>
        <w:t>19.2投标人完成电子</w:t>
      </w:r>
      <w:r>
        <w:rPr>
          <w:rFonts w:hint="eastAsia" w:ascii="宋体" w:hAnsi="宋体"/>
          <w:szCs w:val="21"/>
          <w:highlight w:val="none"/>
        </w:rPr>
        <w:t>投标文件</w:t>
      </w:r>
      <w:r>
        <w:rPr>
          <w:rFonts w:hint="eastAsia" w:ascii="宋体" w:hAnsi="宋体"/>
          <w:bCs/>
          <w:szCs w:val="21"/>
          <w:highlight w:val="none"/>
        </w:rPr>
        <w:t>上传后，</w:t>
      </w:r>
      <w:r>
        <w:rPr>
          <w:rFonts w:hint="eastAsia" w:ascii="宋体" w:eastAsia="宋体" w:cs="宋体"/>
          <w:sz w:val="24"/>
          <w:szCs w:val="24"/>
          <w:highlight w:val="none"/>
          <w:u w:val="single"/>
          <w:lang w:bidi="ar-SA"/>
        </w:rPr>
        <w:t xml:space="preserve">        </w:t>
      </w:r>
      <w:r>
        <w:rPr>
          <w:rFonts w:hint="eastAsia" w:ascii="宋体" w:hAnsi="宋体"/>
          <w:szCs w:val="21"/>
          <w:highlight w:val="none"/>
        </w:rPr>
        <w:t>交易平台即时向投标人发出递交回执通知。递交时间以递交回执通知载明的传输完成时间为准。</w:t>
      </w:r>
    </w:p>
    <w:p w14:paraId="4954DF91">
      <w:pPr>
        <w:spacing w:line="276" w:lineRule="auto"/>
        <w:ind w:firstLine="420" w:firstLineChars="200"/>
        <w:rPr>
          <w:rFonts w:ascii="宋体" w:hAnsi="宋体"/>
          <w:szCs w:val="21"/>
          <w:highlight w:val="none"/>
        </w:rPr>
      </w:pPr>
      <w:r>
        <w:rPr>
          <w:rFonts w:hint="eastAsia" w:ascii="宋体" w:hAnsi="宋体"/>
          <w:bCs/>
          <w:szCs w:val="21"/>
          <w:highlight w:val="none"/>
        </w:rPr>
        <w:t>19.3逾期送达的电子投标文件，</w:t>
      </w:r>
      <w:r>
        <w:rPr>
          <w:rFonts w:hint="eastAsia" w:ascii="宋体" w:eastAsia="宋体" w:cs="宋体"/>
          <w:sz w:val="24"/>
          <w:szCs w:val="24"/>
          <w:highlight w:val="none"/>
          <w:u w:val="single"/>
          <w:lang w:bidi="ar-SA"/>
        </w:rPr>
        <w:t xml:space="preserve">        </w:t>
      </w:r>
      <w:r>
        <w:rPr>
          <w:rFonts w:hint="eastAsia" w:ascii="宋体" w:hAnsi="宋体"/>
          <w:szCs w:val="21"/>
          <w:highlight w:val="none"/>
        </w:rPr>
        <w:t>交易平台将予以拒收。</w:t>
      </w:r>
    </w:p>
    <w:p w14:paraId="437FAB96">
      <w:pPr>
        <w:spacing w:line="276" w:lineRule="auto"/>
        <w:ind w:firstLine="420" w:firstLineChars="200"/>
        <w:rPr>
          <w:rFonts w:ascii="宋体" w:hAnsi="宋体"/>
          <w:szCs w:val="21"/>
          <w:highlight w:val="none"/>
        </w:rPr>
      </w:pPr>
      <w:r>
        <w:rPr>
          <w:rFonts w:hint="eastAsia" w:ascii="宋体" w:hAnsi="宋体"/>
          <w:szCs w:val="21"/>
          <w:highlight w:val="none"/>
        </w:rPr>
        <w:t>19.4 投标截止前，招标人拒绝接收符合条件的投标文件，投标人可向招标投标监督机构投诉。</w:t>
      </w:r>
    </w:p>
    <w:p w14:paraId="0B0ECBC4">
      <w:pPr>
        <w:spacing w:line="276" w:lineRule="auto"/>
        <w:ind w:firstLine="420" w:firstLineChars="200"/>
        <w:rPr>
          <w:rFonts w:ascii="宋体" w:hAnsi="宋体"/>
          <w:szCs w:val="21"/>
          <w:highlight w:val="none"/>
        </w:rPr>
      </w:pPr>
      <w:r>
        <w:rPr>
          <w:rFonts w:hint="eastAsia" w:ascii="宋体" w:hAnsi="宋体"/>
          <w:szCs w:val="21"/>
          <w:highlight w:val="none"/>
        </w:rPr>
        <w:t>19.5如技术标和经济标先后分别开启，</w:t>
      </w:r>
      <w:r>
        <w:rPr>
          <w:rFonts w:hint="eastAsia" w:ascii="宋体" w:eastAsia="宋体" w:cs="宋体"/>
          <w:sz w:val="24"/>
          <w:szCs w:val="24"/>
          <w:highlight w:val="none"/>
          <w:u w:val="single"/>
          <w:lang w:bidi="ar-SA"/>
        </w:rPr>
        <w:t xml:space="preserve">        </w:t>
      </w:r>
      <w:r>
        <w:rPr>
          <w:rFonts w:hint="eastAsia" w:ascii="宋体" w:hAnsi="宋体"/>
          <w:szCs w:val="21"/>
          <w:highlight w:val="none"/>
        </w:rPr>
        <w:t>交易平台将按招标文件规定的时间分别开启技术标和经济标。</w:t>
      </w:r>
    </w:p>
    <w:p w14:paraId="501998E6">
      <w:pPr>
        <w:spacing w:line="276" w:lineRule="auto"/>
        <w:ind w:firstLine="420" w:firstLineChars="200"/>
        <w:rPr>
          <w:rFonts w:ascii="宋体" w:hAnsi="宋体"/>
          <w:szCs w:val="21"/>
          <w:highlight w:val="none"/>
        </w:rPr>
      </w:pPr>
      <w:r>
        <w:rPr>
          <w:rFonts w:hint="eastAsia" w:ascii="宋体" w:hAnsi="宋体"/>
          <w:szCs w:val="21"/>
          <w:highlight w:val="none"/>
        </w:rPr>
        <w:t>19.6在规定的时间内，项目负责人须到自助签到。按照交易平台有关项目负责人自助签到流程进行操作。项目负责人凡未凭身份证按时到达指定地点签到的，该投标文件将不能参与资格审查和评标（选择性条款）。</w:t>
      </w:r>
    </w:p>
    <w:p w14:paraId="63C89654">
      <w:pPr>
        <w:spacing w:line="276" w:lineRule="auto"/>
        <w:ind w:firstLine="422" w:firstLineChars="200"/>
        <w:rPr>
          <w:rFonts w:ascii="宋体" w:hAnsi="宋体"/>
          <w:b/>
          <w:bCs/>
          <w:szCs w:val="21"/>
          <w:highlight w:val="none"/>
        </w:rPr>
      </w:pPr>
      <w:r>
        <w:rPr>
          <w:rFonts w:hint="eastAsia" w:ascii="宋体" w:hAnsi="宋体"/>
          <w:b/>
          <w:bCs/>
          <w:szCs w:val="21"/>
          <w:highlight w:val="none"/>
        </w:rPr>
        <w:t>20．投标文件提交的截止时间</w:t>
      </w:r>
    </w:p>
    <w:p w14:paraId="5CFB5962">
      <w:pPr>
        <w:spacing w:line="276" w:lineRule="auto"/>
        <w:ind w:firstLine="420" w:firstLineChars="200"/>
        <w:rPr>
          <w:rFonts w:ascii="宋体" w:hAnsi="宋体"/>
          <w:b/>
          <w:bCs/>
          <w:szCs w:val="21"/>
          <w:highlight w:val="none"/>
        </w:rPr>
      </w:pPr>
      <w:r>
        <w:rPr>
          <w:rFonts w:hint="eastAsia" w:ascii="宋体" w:hAnsi="宋体"/>
          <w:szCs w:val="21"/>
          <w:highlight w:val="none"/>
        </w:rPr>
        <w:t>20.1投标人应在投标须知前附表第17项所述的时间前提交投标文件。</w:t>
      </w:r>
    </w:p>
    <w:p w14:paraId="6A7D79A3">
      <w:pPr>
        <w:spacing w:line="276" w:lineRule="auto"/>
        <w:ind w:firstLine="420" w:firstLineChars="200"/>
        <w:rPr>
          <w:rFonts w:ascii="宋体" w:hAnsi="宋体"/>
          <w:szCs w:val="21"/>
          <w:highlight w:val="none"/>
        </w:rPr>
      </w:pPr>
      <w:r>
        <w:rPr>
          <w:rFonts w:hint="eastAsia" w:ascii="宋体" w:hAnsi="宋体"/>
          <w:szCs w:val="21"/>
          <w:highlight w:val="none"/>
        </w:rPr>
        <w:t>20.2招标人可按本须知第9条规定以招标文件修改的方式，酌情延长提交投标文件的截止时间。在此情况下，投标人的所有权利和义务以及投标人受制约的截止时间，均以延长后新的投标截止时间为准。</w:t>
      </w:r>
    </w:p>
    <w:p w14:paraId="22ADB604">
      <w:pPr>
        <w:spacing w:line="276" w:lineRule="auto"/>
        <w:ind w:firstLine="420" w:firstLineChars="200"/>
        <w:rPr>
          <w:rFonts w:ascii="宋体" w:hAnsi="宋体"/>
          <w:szCs w:val="21"/>
          <w:highlight w:val="none"/>
        </w:rPr>
      </w:pPr>
      <w:r>
        <w:rPr>
          <w:rFonts w:hint="eastAsia" w:ascii="宋体" w:hAnsi="宋体"/>
          <w:szCs w:val="21"/>
          <w:highlight w:val="none"/>
        </w:rPr>
        <w:t>20.3 到投标截止时间止，招标人收到的投标文件少于3家的，招标人将重新组织招标（当N个标段同时招标且不允许兼中时，若有效投标人不足N+2家，则重新组织招标）。</w:t>
      </w:r>
    </w:p>
    <w:p w14:paraId="24B94DBE">
      <w:pPr>
        <w:spacing w:line="276" w:lineRule="auto"/>
        <w:ind w:firstLine="422" w:firstLineChars="200"/>
        <w:rPr>
          <w:rFonts w:ascii="宋体" w:hAnsi="宋体"/>
          <w:b/>
          <w:bCs/>
          <w:szCs w:val="21"/>
          <w:highlight w:val="none"/>
        </w:rPr>
      </w:pPr>
      <w:r>
        <w:rPr>
          <w:rFonts w:hint="eastAsia" w:ascii="宋体" w:hAnsi="宋体"/>
          <w:b/>
          <w:bCs/>
          <w:szCs w:val="21"/>
          <w:highlight w:val="none"/>
        </w:rPr>
        <w:t>21．迟交的投标文件</w:t>
      </w:r>
    </w:p>
    <w:p w14:paraId="4753729D">
      <w:pPr>
        <w:spacing w:line="276" w:lineRule="auto"/>
        <w:ind w:firstLine="420" w:firstLineChars="200"/>
        <w:rPr>
          <w:rFonts w:ascii="宋体" w:hAnsi="宋体"/>
          <w:szCs w:val="21"/>
          <w:highlight w:val="none"/>
        </w:rPr>
      </w:pPr>
      <w:r>
        <w:rPr>
          <w:rFonts w:hint="eastAsia" w:ascii="宋体" w:hAnsi="宋体"/>
          <w:szCs w:val="21"/>
          <w:highlight w:val="none"/>
        </w:rPr>
        <w:t>21.1 本须知前附表第17项规定的投标截止时间</w:t>
      </w:r>
      <w:r>
        <w:rPr>
          <w:rFonts w:hint="eastAsia" w:ascii="宋体" w:hAnsi="宋体"/>
          <w:bCs/>
          <w:szCs w:val="21"/>
          <w:highlight w:val="none"/>
        </w:rPr>
        <w:t>后送达的电子投标文件，</w:t>
      </w:r>
      <w:r>
        <w:rPr>
          <w:rFonts w:hint="eastAsia" w:ascii="宋体" w:eastAsia="宋体" w:cs="宋体"/>
          <w:bCs/>
          <w:sz w:val="24"/>
          <w:szCs w:val="24"/>
          <w:highlight w:val="none"/>
          <w:u w:val="single"/>
          <w:lang w:bidi="ar-SA"/>
        </w:rPr>
        <w:t xml:space="preserve">       </w:t>
      </w:r>
      <w:r>
        <w:rPr>
          <w:rFonts w:hint="eastAsia" w:ascii="宋体" w:hAnsi="宋体"/>
          <w:szCs w:val="21"/>
          <w:highlight w:val="none"/>
        </w:rPr>
        <w:t>交易平台将予以拒收。</w:t>
      </w:r>
    </w:p>
    <w:p w14:paraId="391F577B">
      <w:pPr>
        <w:spacing w:line="276" w:lineRule="auto"/>
        <w:ind w:firstLine="422" w:firstLineChars="200"/>
        <w:rPr>
          <w:rFonts w:ascii="宋体" w:hAnsi="宋体"/>
          <w:b/>
          <w:bCs/>
          <w:szCs w:val="21"/>
          <w:highlight w:val="none"/>
        </w:rPr>
      </w:pPr>
      <w:r>
        <w:rPr>
          <w:rFonts w:hint="eastAsia" w:ascii="宋体" w:hAnsi="宋体"/>
          <w:b/>
          <w:bCs/>
          <w:szCs w:val="21"/>
          <w:highlight w:val="none"/>
        </w:rPr>
        <w:t>22．投标文件的修改与撤回</w:t>
      </w:r>
    </w:p>
    <w:p w14:paraId="427DFFDC">
      <w:pPr>
        <w:spacing w:line="276" w:lineRule="auto"/>
        <w:ind w:firstLine="420" w:firstLineChars="200"/>
        <w:rPr>
          <w:rFonts w:ascii="宋体" w:hAnsi="宋体"/>
          <w:szCs w:val="21"/>
          <w:highlight w:val="none"/>
        </w:rPr>
      </w:pPr>
      <w:r>
        <w:rPr>
          <w:rFonts w:hint="eastAsia" w:ascii="宋体" w:hAnsi="宋体"/>
          <w:szCs w:val="21"/>
          <w:highlight w:val="none"/>
        </w:rPr>
        <w:t>22.1在规定的投标截止时间前，投标人可以修改或撤回已递交的投标文件，但应以书面形式通知招标人。</w:t>
      </w:r>
    </w:p>
    <w:p w14:paraId="798217B7">
      <w:pPr>
        <w:spacing w:line="276" w:lineRule="auto"/>
        <w:ind w:firstLine="420" w:firstLineChars="200"/>
        <w:rPr>
          <w:rFonts w:ascii="宋体" w:hAnsi="宋体"/>
          <w:szCs w:val="21"/>
          <w:highlight w:val="none"/>
        </w:rPr>
      </w:pPr>
      <w:r>
        <w:rPr>
          <w:rFonts w:hint="eastAsia" w:ascii="宋体" w:hAnsi="宋体"/>
          <w:szCs w:val="21"/>
          <w:highlight w:val="none"/>
        </w:rPr>
        <w:t>22.2</w:t>
      </w:r>
      <w:r>
        <w:rPr>
          <w:rFonts w:ascii="宋体" w:hAnsi="宋体"/>
          <w:szCs w:val="21"/>
          <w:highlight w:val="none"/>
        </w:rPr>
        <w:t>投标人修改或撤回已递交</w:t>
      </w:r>
      <w:r>
        <w:rPr>
          <w:rFonts w:hint="eastAsia" w:ascii="宋体" w:hAnsi="宋体"/>
          <w:szCs w:val="21"/>
          <w:highlight w:val="none"/>
        </w:rPr>
        <w:t>的</w:t>
      </w:r>
      <w:r>
        <w:rPr>
          <w:rFonts w:ascii="宋体" w:hAnsi="宋体"/>
          <w:szCs w:val="21"/>
          <w:highlight w:val="none"/>
        </w:rPr>
        <w:t>投标文件</w:t>
      </w:r>
      <w:r>
        <w:rPr>
          <w:rFonts w:hint="eastAsia" w:ascii="宋体" w:hAnsi="宋体"/>
          <w:szCs w:val="21"/>
          <w:highlight w:val="none"/>
        </w:rPr>
        <w:t>，需在交易平台发出修改或撤回</w:t>
      </w:r>
      <w:r>
        <w:rPr>
          <w:rFonts w:ascii="宋体" w:hAnsi="宋体"/>
          <w:szCs w:val="21"/>
          <w:highlight w:val="none"/>
        </w:rPr>
        <w:t>通知，</w:t>
      </w:r>
      <w:r>
        <w:rPr>
          <w:rFonts w:hint="eastAsia" w:ascii="宋体" w:hAnsi="宋体"/>
          <w:szCs w:val="21"/>
          <w:highlight w:val="none"/>
        </w:rPr>
        <w:t>并按</w:t>
      </w:r>
      <w:r>
        <w:rPr>
          <w:rFonts w:ascii="宋体" w:hAnsi="宋体"/>
          <w:szCs w:val="21"/>
          <w:highlight w:val="none"/>
        </w:rPr>
        <w:t>要求加盖电子印章。</w:t>
      </w:r>
      <w:r>
        <w:rPr>
          <w:rFonts w:ascii="宋体" w:hAnsi="宋体"/>
          <w:bCs/>
          <w:iCs/>
          <w:szCs w:val="21"/>
          <w:highlight w:val="none"/>
        </w:rPr>
        <w:t>电子招标投标交易平台收到通知后，</w:t>
      </w:r>
      <w:r>
        <w:rPr>
          <w:rFonts w:ascii="宋体" w:hAnsi="宋体"/>
          <w:szCs w:val="21"/>
          <w:highlight w:val="none"/>
        </w:rPr>
        <w:t>即时向投标人发出确认回执通知。</w:t>
      </w:r>
    </w:p>
    <w:p w14:paraId="45CEF0A8">
      <w:pPr>
        <w:spacing w:line="276" w:lineRule="auto"/>
        <w:ind w:firstLine="420" w:firstLineChars="200"/>
        <w:rPr>
          <w:rFonts w:ascii="宋体" w:hAnsi="宋体"/>
          <w:szCs w:val="21"/>
          <w:highlight w:val="none"/>
        </w:rPr>
      </w:pPr>
      <w:r>
        <w:rPr>
          <w:rFonts w:hint="eastAsia" w:ascii="宋体" w:hAnsi="宋体"/>
          <w:szCs w:val="21"/>
          <w:highlight w:val="none"/>
        </w:rPr>
        <w:t>22.3修改后再次递交的，按19点的规定执行。</w:t>
      </w:r>
    </w:p>
    <w:p w14:paraId="6D307CF4">
      <w:pPr>
        <w:spacing w:line="276" w:lineRule="auto"/>
        <w:ind w:firstLine="420" w:firstLineChars="200"/>
        <w:rPr>
          <w:rFonts w:ascii="宋体" w:hAnsi="宋体"/>
          <w:szCs w:val="21"/>
          <w:highlight w:val="none"/>
        </w:rPr>
      </w:pPr>
      <w:r>
        <w:rPr>
          <w:rFonts w:hint="eastAsia" w:ascii="宋体" w:hAnsi="宋体"/>
          <w:szCs w:val="21"/>
          <w:highlight w:val="none"/>
        </w:rPr>
        <w:t>22.4 在投标截止时间之后，投标人不得补充、修改和更换投标文件。</w:t>
      </w:r>
    </w:p>
    <w:p w14:paraId="33CBB4BC">
      <w:pPr>
        <w:pStyle w:val="5"/>
        <w:spacing w:before="156" w:beforeAutospacing="0" w:after="156" w:afterAutospacing="0" w:line="276" w:lineRule="auto"/>
        <w:rPr>
          <w:b/>
          <w:bCs/>
          <w:sz w:val="21"/>
          <w:szCs w:val="21"/>
          <w:highlight w:val="none"/>
        </w:rPr>
      </w:pPr>
      <w:bookmarkStart w:id="10" w:name="_Toc105014628"/>
      <w:r>
        <w:rPr>
          <w:rFonts w:hint="eastAsia"/>
          <w:b/>
          <w:bCs/>
          <w:sz w:val="21"/>
          <w:szCs w:val="21"/>
          <w:highlight w:val="none"/>
        </w:rPr>
        <w:t>（五）开标、评标、定标及合同签定</w:t>
      </w:r>
      <w:bookmarkEnd w:id="10"/>
    </w:p>
    <w:p w14:paraId="760B551B">
      <w:pPr>
        <w:spacing w:line="276" w:lineRule="auto"/>
        <w:ind w:firstLine="422" w:firstLineChars="200"/>
        <w:rPr>
          <w:rFonts w:ascii="宋体" w:hAnsi="宋体"/>
          <w:b/>
          <w:bCs/>
          <w:szCs w:val="21"/>
          <w:highlight w:val="none"/>
        </w:rPr>
      </w:pPr>
      <w:r>
        <w:rPr>
          <w:rFonts w:hint="eastAsia" w:ascii="宋体" w:hAnsi="宋体"/>
          <w:b/>
          <w:bCs/>
          <w:szCs w:val="21"/>
          <w:highlight w:val="none"/>
        </w:rPr>
        <w:t>2</w:t>
      </w:r>
      <w:r>
        <w:rPr>
          <w:rFonts w:ascii="宋体" w:hAnsi="宋体"/>
          <w:b/>
          <w:bCs/>
          <w:szCs w:val="21"/>
          <w:highlight w:val="none"/>
        </w:rPr>
        <w:t xml:space="preserve">3. </w:t>
      </w:r>
      <w:r>
        <w:rPr>
          <w:rFonts w:hint="eastAsia" w:ascii="宋体" w:hAnsi="宋体"/>
          <w:b/>
          <w:bCs/>
          <w:szCs w:val="21"/>
          <w:highlight w:val="none"/>
        </w:rPr>
        <w:t>开标</w:t>
      </w:r>
    </w:p>
    <w:p w14:paraId="032BA859">
      <w:pPr>
        <w:spacing w:line="276" w:lineRule="auto"/>
        <w:ind w:firstLine="420" w:firstLineChars="200"/>
        <w:rPr>
          <w:rFonts w:ascii="宋体" w:hAnsi="宋体"/>
          <w:szCs w:val="21"/>
          <w:highlight w:val="none"/>
        </w:rPr>
      </w:pPr>
      <w:r>
        <w:rPr>
          <w:rFonts w:hint="eastAsia" w:ascii="宋体" w:hAnsi="宋体"/>
          <w:szCs w:val="21"/>
          <w:highlight w:val="none"/>
        </w:rPr>
        <w:t>详见第二章开标、评标及定标办法。</w:t>
      </w:r>
    </w:p>
    <w:p w14:paraId="28F860E2">
      <w:pPr>
        <w:spacing w:line="276" w:lineRule="auto"/>
        <w:ind w:firstLine="422" w:firstLineChars="200"/>
        <w:rPr>
          <w:rFonts w:ascii="宋体" w:hAnsi="宋体"/>
          <w:b/>
          <w:bCs/>
          <w:szCs w:val="21"/>
          <w:highlight w:val="none"/>
        </w:rPr>
      </w:pPr>
      <w:r>
        <w:rPr>
          <w:rFonts w:hint="eastAsia" w:ascii="宋体" w:hAnsi="宋体"/>
          <w:b/>
          <w:bCs/>
          <w:szCs w:val="21"/>
          <w:highlight w:val="none"/>
        </w:rPr>
        <w:t>24．评标过程的保密</w:t>
      </w:r>
    </w:p>
    <w:p w14:paraId="30F06EE4">
      <w:pPr>
        <w:spacing w:line="276" w:lineRule="auto"/>
        <w:ind w:firstLine="420" w:firstLineChars="200"/>
        <w:rPr>
          <w:rFonts w:ascii="宋体" w:hAnsi="宋体"/>
          <w:szCs w:val="21"/>
          <w:highlight w:val="none"/>
        </w:rPr>
      </w:pPr>
      <w:r>
        <w:rPr>
          <w:rFonts w:hint="eastAsia" w:ascii="宋体" w:hAnsi="宋体"/>
          <w:szCs w:val="21"/>
          <w:highlight w:val="none"/>
        </w:rPr>
        <w:t>24.1 开标后，直至中标公示为止，凡属于对投标文件的审查、澄清、评价和比较有关的资料以及中标候选人的推荐情况，与评标有关的其他任何情况均严格保密。</w:t>
      </w:r>
    </w:p>
    <w:p w14:paraId="38B8C8D1">
      <w:pPr>
        <w:spacing w:line="276" w:lineRule="auto"/>
        <w:ind w:firstLine="420" w:firstLineChars="200"/>
        <w:rPr>
          <w:rFonts w:ascii="宋体" w:hAnsi="宋体"/>
          <w:szCs w:val="21"/>
          <w:highlight w:val="none"/>
        </w:rPr>
      </w:pPr>
      <w:r>
        <w:rPr>
          <w:rFonts w:hint="eastAsia" w:ascii="宋体" w:hAnsi="宋体"/>
          <w:szCs w:val="21"/>
          <w:highlight w:val="none"/>
        </w:rPr>
        <w:t>24.2 在投标文件的评审和比较、中标候选人推荐以及授予合同的过程中，投标人向招标人和评标委员会施加不公正影响的任何行为，都将会导致其投标被拒绝。</w:t>
      </w:r>
    </w:p>
    <w:p w14:paraId="2A8D2AC5">
      <w:pPr>
        <w:spacing w:line="276" w:lineRule="auto"/>
        <w:ind w:firstLine="422" w:firstLineChars="200"/>
        <w:rPr>
          <w:rFonts w:ascii="宋体" w:hAnsi="宋体"/>
          <w:b/>
          <w:bCs/>
          <w:szCs w:val="21"/>
          <w:highlight w:val="none"/>
        </w:rPr>
      </w:pPr>
      <w:r>
        <w:rPr>
          <w:rFonts w:hint="eastAsia" w:ascii="宋体" w:hAnsi="宋体"/>
          <w:b/>
          <w:bCs/>
          <w:szCs w:val="21"/>
          <w:highlight w:val="none"/>
        </w:rPr>
        <w:t>25．投标文件的澄清，计算错误的修正</w:t>
      </w:r>
    </w:p>
    <w:p w14:paraId="3E9F308A">
      <w:pPr>
        <w:spacing w:line="276" w:lineRule="auto"/>
        <w:ind w:firstLine="420" w:firstLineChars="200"/>
        <w:rPr>
          <w:rFonts w:ascii="宋体" w:hAnsi="宋体"/>
          <w:szCs w:val="21"/>
          <w:highlight w:val="none"/>
        </w:rPr>
      </w:pPr>
      <w:r>
        <w:rPr>
          <w:rFonts w:hint="eastAsia" w:ascii="宋体" w:hAnsi="宋体"/>
          <w:szCs w:val="21"/>
          <w:highlight w:val="none"/>
        </w:rPr>
        <w:t>详见招标文件第二章开标、评标及定标办法。</w:t>
      </w:r>
    </w:p>
    <w:p w14:paraId="4EBDDBE7">
      <w:pPr>
        <w:spacing w:line="276" w:lineRule="auto"/>
        <w:ind w:firstLine="422" w:firstLineChars="200"/>
        <w:rPr>
          <w:rFonts w:ascii="宋体" w:hAnsi="宋体"/>
          <w:b/>
          <w:bCs/>
          <w:szCs w:val="21"/>
          <w:highlight w:val="none"/>
        </w:rPr>
      </w:pPr>
      <w:r>
        <w:rPr>
          <w:rFonts w:hint="eastAsia" w:ascii="宋体" w:hAnsi="宋体"/>
          <w:b/>
          <w:bCs/>
          <w:szCs w:val="21"/>
          <w:highlight w:val="none"/>
        </w:rPr>
        <w:t>26．投标文件的评审、比较和否决</w:t>
      </w:r>
    </w:p>
    <w:p w14:paraId="7B2CF601">
      <w:pPr>
        <w:spacing w:line="276" w:lineRule="auto"/>
        <w:ind w:firstLine="420" w:firstLineChars="200"/>
        <w:rPr>
          <w:rFonts w:ascii="宋体" w:hAnsi="宋体"/>
          <w:bCs/>
          <w:szCs w:val="21"/>
          <w:highlight w:val="none"/>
        </w:rPr>
      </w:pPr>
      <w:r>
        <w:rPr>
          <w:rFonts w:hint="eastAsia" w:ascii="宋体" w:hAnsi="宋体"/>
          <w:szCs w:val="21"/>
          <w:highlight w:val="none"/>
        </w:rPr>
        <w:t>详见招标文件第二章开标、评标及定标办法。</w:t>
      </w:r>
    </w:p>
    <w:p w14:paraId="538D1A03">
      <w:pPr>
        <w:spacing w:line="276" w:lineRule="auto"/>
        <w:ind w:firstLine="422" w:firstLineChars="200"/>
        <w:rPr>
          <w:rFonts w:ascii="宋体" w:hAnsi="宋体"/>
          <w:b/>
          <w:bCs/>
          <w:szCs w:val="21"/>
          <w:highlight w:val="none"/>
        </w:rPr>
      </w:pPr>
      <w:r>
        <w:rPr>
          <w:rFonts w:hint="eastAsia" w:ascii="宋体" w:hAnsi="宋体"/>
          <w:b/>
          <w:bCs/>
          <w:szCs w:val="21"/>
          <w:highlight w:val="none"/>
        </w:rPr>
        <w:t>27．中标通知书</w:t>
      </w:r>
    </w:p>
    <w:p w14:paraId="6DD6CBD9">
      <w:pPr>
        <w:spacing w:line="276" w:lineRule="auto"/>
        <w:ind w:firstLine="420" w:firstLineChars="200"/>
        <w:rPr>
          <w:rFonts w:ascii="宋体" w:hAnsi="宋体"/>
          <w:szCs w:val="21"/>
          <w:highlight w:val="none"/>
        </w:rPr>
      </w:pPr>
      <w:r>
        <w:rPr>
          <w:rFonts w:hint="eastAsia" w:ascii="宋体" w:hAnsi="宋体"/>
          <w:szCs w:val="21"/>
          <w:highlight w:val="none"/>
        </w:rPr>
        <w:t>27.1招标人将在</w:t>
      </w:r>
      <w:r>
        <w:rPr>
          <w:rFonts w:hint="eastAsia" w:ascii="宋体" w:eastAsia="宋体" w:cs="宋体"/>
          <w:bCs/>
          <w:sz w:val="24"/>
          <w:szCs w:val="24"/>
          <w:highlight w:val="none"/>
          <w:u w:val="single"/>
          <w:lang w:bidi="ar-SA"/>
        </w:rPr>
        <w:t xml:space="preserve">       </w:t>
      </w:r>
      <w:r>
        <w:rPr>
          <w:rFonts w:hint="eastAsia" w:ascii="宋体" w:hAnsi="宋体"/>
          <w:szCs w:val="21"/>
          <w:highlight w:val="none"/>
        </w:rPr>
        <w:t>交易平台、广东省招标投标监管网和中国招标投标公共服务平台公示中标候选人，公示期为三天。</w:t>
      </w:r>
    </w:p>
    <w:p w14:paraId="16074C94">
      <w:pPr>
        <w:spacing w:line="276" w:lineRule="auto"/>
        <w:ind w:firstLine="420" w:firstLineChars="200"/>
        <w:rPr>
          <w:rFonts w:ascii="宋体" w:hAnsi="宋体"/>
          <w:szCs w:val="21"/>
          <w:highlight w:val="none"/>
        </w:rPr>
      </w:pPr>
      <w:r>
        <w:rPr>
          <w:rFonts w:hint="eastAsia" w:ascii="宋体" w:hAnsi="宋体"/>
          <w:szCs w:val="21"/>
          <w:highlight w:val="none"/>
        </w:rPr>
        <w:t>27.2招标人应当自确定中标人后，向招标投标监管机构提交招标投标情况的书面报告；经招投标监管机构备案后，方可发出中标通知书。</w:t>
      </w:r>
    </w:p>
    <w:p w14:paraId="04DF15E0">
      <w:pPr>
        <w:spacing w:line="276" w:lineRule="auto"/>
        <w:ind w:firstLine="420" w:firstLineChars="200"/>
        <w:rPr>
          <w:rFonts w:ascii="宋体" w:hAnsi="宋体"/>
          <w:szCs w:val="21"/>
          <w:highlight w:val="none"/>
        </w:rPr>
      </w:pPr>
      <w:r>
        <w:rPr>
          <w:rFonts w:hint="eastAsia" w:ascii="宋体" w:hAnsi="宋体"/>
          <w:szCs w:val="21"/>
          <w:highlight w:val="none"/>
        </w:rPr>
        <w:t>27.3中标人必须在收到中标通知书后24小时之内以书面形式回复招标人，确认收到。</w:t>
      </w:r>
    </w:p>
    <w:p w14:paraId="3FD22995">
      <w:pPr>
        <w:spacing w:line="276" w:lineRule="auto"/>
        <w:ind w:firstLine="420" w:firstLineChars="200"/>
        <w:rPr>
          <w:rFonts w:ascii="宋体" w:hAnsi="宋体"/>
          <w:szCs w:val="21"/>
          <w:highlight w:val="none"/>
        </w:rPr>
      </w:pPr>
      <w:r>
        <w:rPr>
          <w:rFonts w:hint="eastAsia" w:ascii="宋体" w:hAnsi="宋体"/>
          <w:szCs w:val="21"/>
          <w:highlight w:val="none"/>
        </w:rPr>
        <w:t>27.4在产生中标候选人后，招标人将中标候选人的投标文件商务部分文件的所有内容（包括报价清单、人员、业绩、奖项等资料）在</w:t>
      </w:r>
      <w:r>
        <w:rPr>
          <w:rFonts w:hint="eastAsia" w:ascii="宋体" w:eastAsia="宋体" w:cs="宋体"/>
          <w:bCs/>
          <w:sz w:val="24"/>
          <w:szCs w:val="24"/>
          <w:highlight w:val="none"/>
          <w:u w:val="single"/>
          <w:lang w:bidi="ar-SA"/>
        </w:rPr>
        <w:t xml:space="preserve">       </w:t>
      </w:r>
      <w:r>
        <w:rPr>
          <w:rFonts w:hint="eastAsia" w:ascii="宋体" w:hAnsi="宋体"/>
          <w:szCs w:val="21"/>
          <w:highlight w:val="none"/>
        </w:rPr>
        <w:t>交易平台和广东省招标投标监管网公开。</w:t>
      </w:r>
    </w:p>
    <w:p w14:paraId="4FB7DE94">
      <w:pPr>
        <w:spacing w:line="276" w:lineRule="auto"/>
        <w:ind w:firstLine="422" w:firstLineChars="200"/>
        <w:rPr>
          <w:rFonts w:ascii="宋体" w:hAnsi="宋体"/>
          <w:b/>
          <w:bCs/>
          <w:szCs w:val="21"/>
          <w:highlight w:val="none"/>
        </w:rPr>
      </w:pPr>
      <w:r>
        <w:rPr>
          <w:rFonts w:hint="eastAsia" w:ascii="宋体" w:hAnsi="宋体"/>
          <w:b/>
          <w:bCs/>
          <w:szCs w:val="21"/>
          <w:highlight w:val="none"/>
        </w:rPr>
        <w:t>28．合同协议书的签订</w:t>
      </w:r>
    </w:p>
    <w:p w14:paraId="3152D6BC">
      <w:pPr>
        <w:spacing w:line="276" w:lineRule="auto"/>
        <w:ind w:firstLine="420" w:firstLineChars="200"/>
        <w:rPr>
          <w:rFonts w:ascii="宋体" w:hAnsi="宋体"/>
          <w:szCs w:val="21"/>
          <w:highlight w:val="none"/>
        </w:rPr>
      </w:pPr>
      <w:r>
        <w:rPr>
          <w:rFonts w:hint="eastAsia" w:ascii="宋体" w:hAnsi="宋体"/>
          <w:szCs w:val="21"/>
          <w:highlight w:val="none"/>
        </w:rPr>
        <w:t>28.1 招标人与中标人将于中标通知书发出之日起30日内，按照招标文件和中标人的投标文件商定和签订合同，招标人和中标人不得再行订立背离合同实质性内容的其他协议。</w:t>
      </w:r>
    </w:p>
    <w:p w14:paraId="7F429582">
      <w:pPr>
        <w:spacing w:line="276" w:lineRule="auto"/>
        <w:ind w:firstLine="420" w:firstLineChars="200"/>
        <w:rPr>
          <w:rFonts w:ascii="宋体" w:hAnsi="宋体"/>
          <w:szCs w:val="21"/>
          <w:highlight w:val="none"/>
        </w:rPr>
      </w:pPr>
      <w:r>
        <w:rPr>
          <w:rFonts w:hint="eastAsia" w:ascii="宋体" w:hAnsi="宋体"/>
          <w:szCs w:val="21"/>
          <w:highlight w:val="none"/>
        </w:rPr>
        <w:t>28.2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43245A43">
      <w:pPr>
        <w:spacing w:line="276" w:lineRule="auto"/>
        <w:ind w:firstLine="420" w:firstLineChars="200"/>
        <w:rPr>
          <w:rFonts w:ascii="宋体" w:hAnsi="宋体"/>
          <w:szCs w:val="21"/>
          <w:highlight w:val="none"/>
        </w:rPr>
      </w:pPr>
      <w:r>
        <w:rPr>
          <w:rFonts w:hint="eastAsia" w:ascii="宋体" w:hAnsi="宋体"/>
          <w:szCs w:val="21"/>
          <w:highlight w:val="none"/>
        </w:rPr>
        <w:t>28.3非经招标人同意，中标人在投标过程中使用的银行名称及帐号至完成竣工结算不得变更，否则招标人有权停止工程款项的拔付及至解除合同，由此造成的一切责任由中标人承担。</w:t>
      </w:r>
    </w:p>
    <w:p w14:paraId="3C9554E5">
      <w:pPr>
        <w:spacing w:line="276" w:lineRule="auto"/>
        <w:ind w:firstLine="420" w:firstLineChars="200"/>
        <w:rPr>
          <w:rFonts w:ascii="宋体" w:hAnsi="宋体"/>
          <w:szCs w:val="21"/>
          <w:highlight w:val="none"/>
        </w:rPr>
      </w:pPr>
      <w:r>
        <w:rPr>
          <w:rFonts w:hint="eastAsia" w:ascii="宋体" w:hAnsi="宋体"/>
          <w:szCs w:val="21"/>
          <w:highlight w:val="none"/>
        </w:rPr>
        <w:t>28.4招标人支付工程款时，中标人应按规定开具发票。</w:t>
      </w:r>
    </w:p>
    <w:p w14:paraId="48732CC1">
      <w:pPr>
        <w:spacing w:line="276" w:lineRule="auto"/>
        <w:ind w:firstLine="422" w:firstLineChars="200"/>
        <w:rPr>
          <w:rFonts w:ascii="宋体" w:hAnsi="宋体"/>
          <w:b/>
          <w:bCs/>
          <w:szCs w:val="21"/>
          <w:highlight w:val="none"/>
        </w:rPr>
      </w:pPr>
      <w:r>
        <w:rPr>
          <w:rFonts w:hint="eastAsia" w:ascii="宋体" w:hAnsi="宋体"/>
          <w:b/>
          <w:bCs/>
          <w:szCs w:val="21"/>
          <w:highlight w:val="none"/>
        </w:rPr>
        <w:t>29．履约担保</w:t>
      </w:r>
    </w:p>
    <w:p w14:paraId="4E1B84F4">
      <w:pPr>
        <w:snapToGrid w:val="0"/>
        <w:spacing w:line="276" w:lineRule="auto"/>
        <w:ind w:firstLine="420" w:firstLineChars="200"/>
        <w:rPr>
          <w:rFonts w:ascii="宋体" w:hAnsi="宋体"/>
          <w:szCs w:val="21"/>
          <w:highlight w:val="none"/>
        </w:rPr>
      </w:pPr>
      <w:r>
        <w:rPr>
          <w:rFonts w:hint="eastAsia" w:ascii="宋体" w:hAnsi="宋体"/>
          <w:szCs w:val="21"/>
          <w:highlight w:val="none"/>
        </w:rPr>
        <w:t>29.1 在收到中标通知书后的15日内，中标人应按本须知前附表第20项的规定向招标人提交履约担保。</w:t>
      </w:r>
    </w:p>
    <w:p w14:paraId="2CBA5B30">
      <w:pPr>
        <w:snapToGrid w:val="0"/>
        <w:spacing w:line="276" w:lineRule="auto"/>
        <w:ind w:firstLine="420" w:firstLineChars="200"/>
        <w:rPr>
          <w:rFonts w:ascii="宋体" w:hAnsi="宋体"/>
          <w:szCs w:val="21"/>
          <w:highlight w:val="none"/>
        </w:rPr>
      </w:pPr>
      <w:r>
        <w:rPr>
          <w:rFonts w:hint="eastAsia" w:ascii="宋体" w:hAnsi="宋体"/>
          <w:szCs w:val="21"/>
          <w:highlight w:val="none"/>
        </w:rPr>
        <w:t>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4C440A2C">
      <w:pPr>
        <w:spacing w:line="276" w:lineRule="auto"/>
        <w:ind w:firstLine="422" w:firstLineChars="200"/>
        <w:rPr>
          <w:rFonts w:ascii="宋体" w:hAnsi="宋体"/>
          <w:b/>
          <w:bCs/>
          <w:szCs w:val="21"/>
          <w:highlight w:val="none"/>
        </w:rPr>
      </w:pPr>
      <w:r>
        <w:rPr>
          <w:rFonts w:hint="eastAsia" w:ascii="宋体" w:hAnsi="宋体"/>
          <w:b/>
          <w:bCs/>
          <w:szCs w:val="21"/>
          <w:highlight w:val="none"/>
        </w:rPr>
        <w:t>30．合同生效</w:t>
      </w:r>
    </w:p>
    <w:p w14:paraId="27263FEC">
      <w:pPr>
        <w:spacing w:line="276" w:lineRule="auto"/>
        <w:ind w:firstLine="420" w:firstLineChars="200"/>
        <w:rPr>
          <w:rFonts w:ascii="宋体" w:hAnsi="宋体"/>
          <w:szCs w:val="21"/>
          <w:highlight w:val="none"/>
        </w:rPr>
      </w:pPr>
      <w:r>
        <w:rPr>
          <w:rFonts w:hint="eastAsia" w:ascii="宋体" w:hAnsi="宋体"/>
          <w:szCs w:val="21"/>
          <w:highlight w:val="none"/>
        </w:rPr>
        <w:t>30.1在合同双方全权代表在合同协议书上签字，并分别加盖双方单位的公章后，合同正式生效。</w:t>
      </w:r>
    </w:p>
    <w:p w14:paraId="518DC2A9">
      <w:pPr>
        <w:spacing w:line="276" w:lineRule="auto"/>
        <w:ind w:firstLine="422" w:firstLineChars="200"/>
        <w:rPr>
          <w:rFonts w:ascii="宋体" w:hAnsi="宋体"/>
          <w:b/>
          <w:bCs/>
          <w:szCs w:val="21"/>
          <w:highlight w:val="none"/>
        </w:rPr>
      </w:pPr>
      <w:r>
        <w:rPr>
          <w:rFonts w:hint="eastAsia" w:ascii="宋体" w:hAnsi="宋体"/>
          <w:b/>
          <w:bCs/>
          <w:szCs w:val="21"/>
          <w:highlight w:val="none"/>
        </w:rPr>
        <w:t>31．其它费用</w:t>
      </w:r>
    </w:p>
    <w:p w14:paraId="1E5671B9">
      <w:pPr>
        <w:pStyle w:val="24"/>
        <w:spacing w:after="0" w:line="276" w:lineRule="auto"/>
        <w:ind w:firstLine="422" w:firstLineChars="200"/>
        <w:rPr>
          <w:rFonts w:ascii="宋体" w:hAnsi="宋体"/>
          <w:b/>
          <w:bCs/>
          <w:sz w:val="21"/>
          <w:szCs w:val="21"/>
          <w:highlight w:val="none"/>
        </w:rPr>
      </w:pPr>
      <w:r>
        <w:rPr>
          <w:rFonts w:hint="eastAsia" w:ascii="宋体" w:hAnsi="宋体"/>
          <w:b/>
          <w:bCs/>
          <w:sz w:val="21"/>
          <w:szCs w:val="21"/>
          <w:highlight w:val="none"/>
        </w:rPr>
        <w:t>32．腐败与欺诈行为</w:t>
      </w:r>
    </w:p>
    <w:p w14:paraId="2F9A7777">
      <w:pPr>
        <w:pStyle w:val="24"/>
        <w:spacing w:after="0" w:line="276" w:lineRule="auto"/>
        <w:ind w:firstLine="420" w:firstLineChars="200"/>
        <w:rPr>
          <w:rFonts w:ascii="宋体" w:hAnsi="宋体"/>
          <w:sz w:val="21"/>
          <w:szCs w:val="21"/>
          <w:highlight w:val="none"/>
        </w:rPr>
      </w:pPr>
      <w:r>
        <w:rPr>
          <w:rFonts w:hint="eastAsia" w:ascii="宋体" w:hAnsi="宋体"/>
          <w:sz w:val="21"/>
          <w:szCs w:val="21"/>
          <w:highlight w:val="none"/>
        </w:rPr>
        <w:t>在招标和合同实施期间，招标人要求投标人和承包人遵守最高的道德标准。</w:t>
      </w:r>
    </w:p>
    <w:p w14:paraId="70C6BBD1">
      <w:pPr>
        <w:pStyle w:val="24"/>
        <w:spacing w:after="0" w:line="276" w:lineRule="auto"/>
        <w:ind w:firstLine="420" w:firstLineChars="200"/>
        <w:rPr>
          <w:rFonts w:ascii="宋体" w:hAnsi="宋体"/>
          <w:sz w:val="21"/>
          <w:szCs w:val="21"/>
          <w:highlight w:val="none"/>
        </w:rPr>
      </w:pPr>
      <w:r>
        <w:rPr>
          <w:rFonts w:hint="eastAsia" w:ascii="宋体" w:hAnsi="宋体"/>
          <w:sz w:val="21"/>
          <w:szCs w:val="21"/>
          <w:highlight w:val="none"/>
        </w:rPr>
        <w:t>32．1对本条款的规定，特定义如下词汇：</w:t>
      </w:r>
    </w:p>
    <w:p w14:paraId="1EB4187D">
      <w:pPr>
        <w:pStyle w:val="24"/>
        <w:spacing w:after="0" w:line="276" w:lineRule="auto"/>
        <w:ind w:firstLine="420" w:firstLineChars="200"/>
        <w:rPr>
          <w:rFonts w:ascii="宋体" w:hAnsi="宋体"/>
          <w:sz w:val="21"/>
          <w:szCs w:val="21"/>
          <w:highlight w:val="none"/>
        </w:rPr>
      </w:pPr>
      <w:r>
        <w:rPr>
          <w:rFonts w:hint="eastAsia" w:ascii="宋体" w:hAnsi="宋体"/>
          <w:sz w:val="21"/>
          <w:szCs w:val="21"/>
          <w:highlight w:val="none"/>
        </w:rPr>
        <w:t>1）“腐败行为”是指在招标或合同执行期间，通过提供、给予、接受或索要任何有价值的东西，从而影响招标人有关人员工作的行为；</w:t>
      </w:r>
    </w:p>
    <w:p w14:paraId="01CFBBA8">
      <w:pPr>
        <w:pStyle w:val="24"/>
        <w:spacing w:after="0" w:line="276" w:lineRule="auto"/>
        <w:ind w:firstLine="420" w:firstLineChars="200"/>
        <w:rPr>
          <w:rFonts w:ascii="宋体" w:hAnsi="宋体"/>
          <w:sz w:val="21"/>
          <w:szCs w:val="21"/>
          <w:highlight w:val="none"/>
        </w:rPr>
      </w:pPr>
      <w:r>
        <w:rPr>
          <w:rFonts w:hint="eastAsia" w:ascii="宋体" w:hAnsi="宋体"/>
          <w:sz w:val="21"/>
          <w:szCs w:val="21"/>
          <w:highlight w:val="none"/>
        </w:rPr>
        <w:t>2）“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14:paraId="27D0471E">
      <w:pPr>
        <w:pStyle w:val="24"/>
        <w:spacing w:after="0" w:line="276" w:lineRule="auto"/>
        <w:ind w:firstLine="420" w:firstLineChars="200"/>
        <w:rPr>
          <w:rFonts w:ascii="宋体" w:hAnsi="宋体"/>
          <w:sz w:val="21"/>
          <w:szCs w:val="21"/>
          <w:highlight w:val="none"/>
        </w:rPr>
      </w:pPr>
      <w:r>
        <w:rPr>
          <w:rFonts w:ascii="宋体" w:hAnsi="宋体"/>
          <w:sz w:val="21"/>
          <w:szCs w:val="21"/>
          <w:highlight w:val="none"/>
        </w:rPr>
        <w:t xml:space="preserve">32.2 </w:t>
      </w:r>
      <w:r>
        <w:rPr>
          <w:rFonts w:hint="eastAsia" w:ascii="宋体" w:hAnsi="宋体"/>
          <w:sz w:val="21"/>
          <w:szCs w:val="21"/>
          <w:highlight w:val="none"/>
        </w:rPr>
        <w:t>如果投标人被认定在本招标的竞争中有腐败或欺诈行为，则会被取消投标资格。</w:t>
      </w:r>
    </w:p>
    <w:p w14:paraId="30B5B852">
      <w:pPr>
        <w:pStyle w:val="24"/>
        <w:spacing w:after="0" w:line="276" w:lineRule="auto"/>
        <w:ind w:firstLine="420" w:firstLineChars="200"/>
        <w:rPr>
          <w:rFonts w:ascii="宋体" w:hAnsi="宋体"/>
          <w:sz w:val="21"/>
          <w:szCs w:val="21"/>
          <w:highlight w:val="none"/>
        </w:rPr>
      </w:pPr>
      <w:r>
        <w:rPr>
          <w:rFonts w:hint="eastAsia" w:ascii="宋体" w:hAnsi="宋体"/>
          <w:sz w:val="21"/>
          <w:szCs w:val="21"/>
          <w:highlight w:val="none"/>
        </w:rPr>
        <w:t>32.3投标人如在本项目中存在串通投标、弄虚作假、行贿情形的，中标无效，行政监督部门将对其违法行为进行政处罚并通报。该投标人将被招标人列入黑名单并限制其参与招标人后续项目的投标。</w:t>
      </w:r>
    </w:p>
    <w:p w14:paraId="41BB16A5">
      <w:pPr>
        <w:spacing w:line="276" w:lineRule="auto"/>
        <w:ind w:firstLine="472" w:firstLineChars="224"/>
        <w:rPr>
          <w:rFonts w:ascii="宋体" w:hAnsi="宋体"/>
          <w:b/>
          <w:szCs w:val="21"/>
          <w:highlight w:val="none"/>
        </w:rPr>
      </w:pPr>
      <w:r>
        <w:rPr>
          <w:rFonts w:hint="eastAsia" w:ascii="宋体" w:hAnsi="宋体"/>
          <w:b/>
          <w:szCs w:val="21"/>
          <w:highlight w:val="none"/>
        </w:rPr>
        <w:t>33. 投标人信誉的要求</w:t>
      </w:r>
    </w:p>
    <w:p w14:paraId="016EA8FF">
      <w:pPr>
        <w:spacing w:line="276" w:lineRule="auto"/>
        <w:ind w:firstLine="470" w:firstLineChars="224"/>
        <w:rPr>
          <w:rFonts w:ascii="宋体" w:hAnsi="宋体"/>
          <w:szCs w:val="21"/>
          <w:highlight w:val="none"/>
        </w:rPr>
      </w:pPr>
      <w:r>
        <w:rPr>
          <w:rFonts w:hint="eastAsia" w:ascii="宋体" w:hAnsi="宋体"/>
          <w:szCs w:val="21"/>
          <w:highlight w:val="none"/>
        </w:rPr>
        <w:t>存在下列情形之一的，招标人可以限制其投标（需在招标文件中明确评定方法）</w:t>
      </w:r>
    </w:p>
    <w:p w14:paraId="2D999FCC">
      <w:pPr>
        <w:spacing w:line="276" w:lineRule="auto"/>
        <w:ind w:firstLine="470" w:firstLineChars="224"/>
        <w:rPr>
          <w:rFonts w:ascii="宋体" w:hAnsi="宋体"/>
          <w:szCs w:val="21"/>
          <w:highlight w:val="none"/>
        </w:rPr>
      </w:pPr>
      <w:r>
        <w:rPr>
          <w:rFonts w:hint="eastAsia" w:ascii="宋体" w:hAnsi="宋体"/>
          <w:szCs w:val="21"/>
          <w:highlight w:val="none"/>
        </w:rPr>
        <w:t>（1）被住房城乡建设行政主管部门在全国建筑市场监管一体化工作平台列入建筑市场主体“黑名单”；</w:t>
      </w:r>
    </w:p>
    <w:p w14:paraId="396A0137">
      <w:pPr>
        <w:pStyle w:val="24"/>
        <w:spacing w:after="0" w:line="276" w:lineRule="auto"/>
        <w:ind w:firstLine="420" w:firstLineChars="200"/>
        <w:rPr>
          <w:rFonts w:ascii="宋体" w:hAnsi="宋体"/>
          <w:sz w:val="21"/>
          <w:szCs w:val="21"/>
          <w:highlight w:val="none"/>
        </w:rPr>
      </w:pPr>
      <w:r>
        <w:rPr>
          <w:rFonts w:hint="eastAsia" w:ascii="宋体" w:hAnsi="宋体"/>
          <w:sz w:val="21"/>
          <w:szCs w:val="21"/>
          <w:highlight w:val="none"/>
        </w:rPr>
        <w:t>（2）被发改委、人力资源社会保障、质检总局等有关部门、单位在“信用中国”网站中列入联合惩戒失信黑名单。</w:t>
      </w:r>
    </w:p>
    <w:p w14:paraId="5AF40E54">
      <w:pPr>
        <w:pStyle w:val="97"/>
        <w:spacing w:after="0" w:line="276" w:lineRule="auto"/>
        <w:ind w:firstLine="420" w:firstLineChars="200"/>
        <w:rPr>
          <w:rStyle w:val="66"/>
          <w:rFonts w:ascii="宋体" w:hAnsi="宋体"/>
          <w:sz w:val="21"/>
          <w:szCs w:val="21"/>
          <w:highlight w:val="none"/>
        </w:rPr>
      </w:pPr>
    </w:p>
    <w:p w14:paraId="18F7D6F4">
      <w:pPr>
        <w:pStyle w:val="116"/>
        <w:spacing w:line="460" w:lineRule="exact"/>
        <w:outlineLvl w:val="0"/>
        <w:rPr>
          <w:rStyle w:val="66"/>
          <w:rFonts w:ascii="宋体" w:hAnsi="宋体"/>
          <w:bCs/>
          <w:highlight w:val="none"/>
        </w:rPr>
      </w:pPr>
      <w:r>
        <w:rPr>
          <w:rStyle w:val="66"/>
          <w:rFonts w:ascii="宋体" w:hAnsi="宋体"/>
          <w:b w:val="0"/>
          <w:sz w:val="24"/>
          <w:highlight w:val="none"/>
        </w:rPr>
        <w:br w:type="page"/>
      </w:r>
      <w:bookmarkStart w:id="11" w:name="_Toc105014629"/>
      <w:r>
        <w:rPr>
          <w:rStyle w:val="66"/>
          <w:rFonts w:ascii="宋体" w:hAnsi="宋体"/>
          <w:bCs/>
          <w:highlight w:val="none"/>
        </w:rPr>
        <w:t>第二章  开标、评标及定标办法</w:t>
      </w:r>
      <w:bookmarkEnd w:id="11"/>
    </w:p>
    <w:p w14:paraId="55527C51">
      <w:pPr>
        <w:pStyle w:val="123"/>
        <w:spacing w:line="460" w:lineRule="exact"/>
        <w:outlineLvl w:val="1"/>
        <w:rPr>
          <w:rStyle w:val="66"/>
          <w:rFonts w:ascii="宋体" w:hAnsi="宋体"/>
          <w:b/>
          <w:color w:val="auto"/>
          <w:highlight w:val="none"/>
        </w:rPr>
      </w:pPr>
      <w:bookmarkStart w:id="12" w:name="_Toc105014630"/>
      <w:r>
        <w:rPr>
          <w:rStyle w:val="66"/>
          <w:rFonts w:ascii="宋体" w:hAnsi="宋体"/>
          <w:b/>
          <w:color w:val="auto"/>
          <w:highlight w:val="none"/>
        </w:rPr>
        <w:t>一、开标、评标及定标办法修改表</w:t>
      </w:r>
      <w:bookmarkEnd w:id="12"/>
    </w:p>
    <w:p w14:paraId="334819CF">
      <w:pPr>
        <w:pStyle w:val="97"/>
        <w:spacing w:after="0" w:line="460" w:lineRule="exact"/>
        <w:rPr>
          <w:rStyle w:val="66"/>
          <w:rFonts w:ascii="宋体" w:hAnsi="宋体"/>
          <w:b/>
          <w:sz w:val="21"/>
          <w:szCs w:val="21"/>
          <w:highlight w:val="none"/>
        </w:rPr>
      </w:pPr>
      <w:r>
        <w:rPr>
          <w:rStyle w:val="66"/>
          <w:rFonts w:ascii="宋体" w:hAnsi="宋体"/>
          <w:b/>
          <w:sz w:val="21"/>
          <w:szCs w:val="21"/>
          <w:highlight w:val="none"/>
        </w:rPr>
        <w:t>声明：</w:t>
      </w:r>
      <w:r>
        <w:rPr>
          <w:rStyle w:val="66"/>
          <w:rFonts w:hint="eastAsia" w:ascii="宋体" w:hAnsi="宋体"/>
          <w:b/>
          <w:sz w:val="21"/>
          <w:szCs w:val="21"/>
          <w:highlight w:val="none"/>
        </w:rPr>
        <w:t>本开标、评标及定标办法使用GZZB2018-3招标文件范本的开标、评标及定标办法通用条款，与该通用条款不同之处，均在本表中列明，并以现文为准，原文不再有效。本招标文件中不再转录开标、评标及定标办法通用条款，请投标人自行到广州市住房和城乡建设局网站（网址：http://zfcj.gz.gov.cn/）下载GZZB2018-3范本查阅</w:t>
      </w:r>
      <w:r>
        <w:rPr>
          <w:rStyle w:val="66"/>
          <w:rFonts w:ascii="宋体" w:hAnsi="宋体"/>
          <w:b/>
          <w:sz w:val="21"/>
          <w:szCs w:val="21"/>
          <w:highlight w:val="none"/>
        </w:rPr>
        <w:t>。</w:t>
      </w:r>
    </w:p>
    <w:p w14:paraId="185A6BBD">
      <w:pPr>
        <w:spacing w:line="360" w:lineRule="auto"/>
        <w:ind w:firstLine="422" w:firstLineChars="200"/>
        <w:rPr>
          <w:rFonts w:hint="eastAsia" w:ascii="宋体" w:eastAsia="宋体" w:cs="宋体"/>
          <w:b/>
          <w:szCs w:val="21"/>
          <w:highlight w:val="none"/>
          <w:lang w:bidi="ar-SA"/>
        </w:rPr>
      </w:pPr>
      <w:r>
        <w:rPr>
          <w:rFonts w:hint="eastAsia" w:ascii="宋体" w:eastAsia="宋体" w:cs="宋体"/>
          <w:b/>
          <w:szCs w:val="21"/>
          <w:highlight w:val="none"/>
          <w:lang w:bidi="ar-SA"/>
        </w:rPr>
        <w:t>条款号：35.8</w:t>
      </w:r>
      <w:r>
        <w:rPr>
          <w:rFonts w:hint="eastAsia" w:ascii="宋体" w:eastAsia="宋体" w:cs="宋体"/>
          <w:b/>
          <w:szCs w:val="21"/>
          <w:highlight w:val="none"/>
          <w:lang w:bidi="ar-SA"/>
        </w:rPr>
        <w:tab/>
      </w:r>
      <w:r>
        <w:rPr>
          <w:rFonts w:hint="eastAsia" w:ascii="宋体" w:eastAsia="宋体" w:cs="宋体"/>
          <w:b/>
          <w:szCs w:val="21"/>
          <w:highlight w:val="none"/>
          <w:lang w:bidi="ar-SA"/>
        </w:rPr>
        <w:t>修改类型：修改</w:t>
      </w:r>
    </w:p>
    <w:p w14:paraId="694541F1">
      <w:pPr>
        <w:spacing w:line="360" w:lineRule="auto"/>
        <w:ind w:firstLine="422" w:firstLineChars="200"/>
        <w:rPr>
          <w:rFonts w:hint="eastAsia" w:ascii="宋体" w:eastAsia="宋体" w:cs="宋体"/>
          <w:b/>
          <w:szCs w:val="21"/>
          <w:highlight w:val="none"/>
          <w:lang w:bidi="ar-SA"/>
        </w:rPr>
      </w:pPr>
      <w:r>
        <w:rPr>
          <w:rFonts w:hint="eastAsia" w:ascii="宋体" w:eastAsia="宋体" w:cs="宋体"/>
          <w:b/>
          <w:szCs w:val="21"/>
          <w:highlight w:val="none"/>
          <w:lang w:bidi="ar-SA"/>
        </w:rPr>
        <w:t>原文：</w:t>
      </w:r>
      <w:r>
        <w:rPr>
          <w:rFonts w:hint="eastAsia" w:ascii="宋体" w:eastAsia="宋体" w:cs="宋体"/>
          <w:szCs w:val="21"/>
          <w:highlight w:val="none"/>
          <w:lang w:bidi="ar-SA"/>
        </w:rPr>
        <w:t>35.8 《广州市工程建设项目招标投标管理办法》（穗府办规〔2017〕5号）；</w:t>
      </w:r>
    </w:p>
    <w:p w14:paraId="290931CE">
      <w:pPr>
        <w:pBdr>
          <w:bottom w:val="single" w:color="auto" w:sz="6" w:space="1"/>
        </w:pBdr>
        <w:spacing w:line="360" w:lineRule="auto"/>
        <w:ind w:firstLine="422" w:firstLineChars="200"/>
        <w:rPr>
          <w:rFonts w:hint="eastAsia" w:ascii="宋体" w:eastAsia="宋体" w:cs="宋体"/>
          <w:szCs w:val="21"/>
          <w:highlight w:val="none"/>
          <w:lang w:bidi="ar-SA"/>
        </w:rPr>
      </w:pPr>
      <w:r>
        <w:rPr>
          <w:rFonts w:hint="eastAsia" w:ascii="宋体" w:eastAsia="宋体" w:cs="宋体"/>
          <w:b/>
          <w:szCs w:val="21"/>
          <w:highlight w:val="none"/>
          <w:lang w:bidi="ar-SA"/>
        </w:rPr>
        <w:t>现文：</w:t>
      </w:r>
      <w:r>
        <w:rPr>
          <w:rFonts w:hint="eastAsia" w:ascii="宋体" w:eastAsia="宋体" w:cs="宋体"/>
          <w:szCs w:val="21"/>
          <w:highlight w:val="none"/>
          <w:lang w:bidi="ar-SA"/>
        </w:rPr>
        <w:t>35.8《广州市工程建设项目招标投标管理办法》（穗建规字〔2023〕12号）；</w:t>
      </w:r>
    </w:p>
    <w:p w14:paraId="78E6030C">
      <w:pPr>
        <w:spacing w:line="460" w:lineRule="exact"/>
        <w:ind w:firstLine="422" w:firstLineChars="200"/>
        <w:rPr>
          <w:rStyle w:val="66"/>
          <w:rFonts w:ascii="宋体" w:hAnsi="宋体"/>
          <w:b/>
          <w:szCs w:val="21"/>
          <w:highlight w:val="none"/>
        </w:rPr>
      </w:pPr>
      <w:r>
        <w:rPr>
          <w:rStyle w:val="66"/>
          <w:rFonts w:ascii="宋体" w:hAnsi="宋体"/>
          <w:b/>
          <w:szCs w:val="21"/>
          <w:highlight w:val="none"/>
        </w:rPr>
        <w:t>条款号：</w:t>
      </w:r>
      <w:r>
        <w:rPr>
          <w:rStyle w:val="66"/>
          <w:rFonts w:ascii="宋体" w:hAnsi="宋体"/>
          <w:szCs w:val="21"/>
          <w:highlight w:val="none"/>
        </w:rPr>
        <w:t>36.1</w:t>
      </w:r>
      <w:r>
        <w:rPr>
          <w:rStyle w:val="66"/>
          <w:rFonts w:ascii="宋体" w:hAnsi="宋体"/>
          <w:b/>
          <w:szCs w:val="21"/>
          <w:highlight w:val="none"/>
        </w:rPr>
        <w:t xml:space="preserve">          修改类型：修改</w:t>
      </w:r>
    </w:p>
    <w:p w14:paraId="584BBF65">
      <w:pPr>
        <w:spacing w:line="460" w:lineRule="exact"/>
        <w:ind w:firstLine="422" w:firstLineChars="200"/>
        <w:rPr>
          <w:rStyle w:val="66"/>
          <w:rFonts w:ascii="宋体" w:hAnsi="宋体"/>
          <w:b/>
          <w:szCs w:val="21"/>
          <w:highlight w:val="none"/>
        </w:rPr>
      </w:pPr>
      <w:r>
        <w:rPr>
          <w:rStyle w:val="66"/>
          <w:rFonts w:ascii="宋体" w:hAnsi="宋体"/>
          <w:b/>
          <w:szCs w:val="21"/>
          <w:highlight w:val="none"/>
        </w:rPr>
        <w:t>原文：</w:t>
      </w:r>
      <w:r>
        <w:rPr>
          <w:rStyle w:val="66"/>
          <w:rFonts w:ascii="宋体" w:hAnsi="宋体"/>
          <w:szCs w:val="21"/>
          <w:highlight w:val="none"/>
        </w:rPr>
        <w:t>36.1 招标人按投标须知前附表第18项所规定的时间和地点公开开标，并邀请所有投标人参加。截标后，开标开始时间因故推迟的，相关评标信息仍以原定的开标开始时间的信息为准。</w:t>
      </w:r>
    </w:p>
    <w:p w14:paraId="18B07DD3">
      <w:pPr>
        <w:pBdr>
          <w:bottom w:val="single" w:color="000000" w:sz="6" w:space="1"/>
        </w:pBdr>
        <w:spacing w:line="460" w:lineRule="exact"/>
        <w:ind w:firstLine="422" w:firstLineChars="200"/>
        <w:rPr>
          <w:rStyle w:val="66"/>
          <w:rFonts w:ascii="宋体" w:hAnsi="宋体"/>
          <w:szCs w:val="21"/>
          <w:highlight w:val="none"/>
        </w:rPr>
      </w:pPr>
      <w:r>
        <w:rPr>
          <w:rStyle w:val="66"/>
          <w:rFonts w:ascii="宋体" w:hAnsi="宋体"/>
          <w:b/>
          <w:szCs w:val="21"/>
          <w:highlight w:val="none"/>
        </w:rPr>
        <w:t>现文：</w:t>
      </w:r>
      <w:r>
        <w:rPr>
          <w:rStyle w:val="66"/>
          <w:rFonts w:ascii="宋体" w:hAnsi="宋体"/>
          <w:szCs w:val="21"/>
          <w:highlight w:val="none"/>
        </w:rPr>
        <w:t>36.1 招标人按投标须知前附表第18项所规定的时间和地点公开开标，并邀请所有投标人参加。截标后，开标开始时间因故推迟的，相关评标信息仍以原定的开标开始时间的信息为准。</w:t>
      </w:r>
      <w:r>
        <w:rPr>
          <w:rStyle w:val="66"/>
          <w:rFonts w:ascii="宋体" w:hAnsi="宋体"/>
          <w:szCs w:val="21"/>
          <w:highlight w:val="none"/>
          <w:u w:val="single"/>
        </w:rPr>
        <w:t>若投标人不参加开标会的，其投标文件在开标现场的投标人或招标人代表、招标代理机构代表及交易中心代表见证下公开开启、解密、公布，并视同该投标人认可开标结果。</w:t>
      </w:r>
    </w:p>
    <w:p w14:paraId="7EAFD051">
      <w:pPr>
        <w:spacing w:line="460" w:lineRule="exact"/>
        <w:ind w:firstLine="422" w:firstLineChars="200"/>
        <w:rPr>
          <w:rStyle w:val="66"/>
          <w:rFonts w:ascii="宋体" w:hAnsi="宋体"/>
          <w:b/>
          <w:szCs w:val="21"/>
          <w:highlight w:val="none"/>
        </w:rPr>
      </w:pPr>
      <w:r>
        <w:rPr>
          <w:rStyle w:val="66"/>
          <w:rFonts w:ascii="宋体" w:hAnsi="宋体"/>
          <w:b/>
          <w:szCs w:val="21"/>
          <w:highlight w:val="none"/>
        </w:rPr>
        <w:t>条款号：</w:t>
      </w:r>
      <w:r>
        <w:rPr>
          <w:rStyle w:val="66"/>
          <w:rFonts w:ascii="宋体" w:hAnsi="宋体"/>
          <w:szCs w:val="21"/>
          <w:highlight w:val="none"/>
        </w:rPr>
        <w:t>36.3</w:t>
      </w:r>
      <w:r>
        <w:rPr>
          <w:rStyle w:val="66"/>
          <w:rFonts w:ascii="宋体" w:hAnsi="宋体"/>
          <w:b/>
          <w:szCs w:val="21"/>
          <w:highlight w:val="none"/>
        </w:rPr>
        <w:t xml:space="preserve">          修改类型：删除</w:t>
      </w:r>
    </w:p>
    <w:p w14:paraId="50C6C1F2">
      <w:pPr>
        <w:pBdr>
          <w:bottom w:val="single" w:color="000000" w:sz="6" w:space="1"/>
        </w:pBdr>
        <w:spacing w:line="460" w:lineRule="exact"/>
        <w:ind w:firstLine="422" w:firstLineChars="200"/>
        <w:rPr>
          <w:rStyle w:val="66"/>
          <w:rFonts w:ascii="宋体" w:hAnsi="宋体"/>
          <w:szCs w:val="21"/>
          <w:highlight w:val="none"/>
        </w:rPr>
      </w:pPr>
      <w:r>
        <w:rPr>
          <w:rStyle w:val="66"/>
          <w:rFonts w:ascii="宋体" w:hAnsi="宋体"/>
          <w:b/>
          <w:szCs w:val="21"/>
          <w:highlight w:val="none"/>
        </w:rPr>
        <w:t>原文：</w:t>
      </w:r>
      <w:r>
        <w:rPr>
          <w:rStyle w:val="66"/>
          <w:rFonts w:ascii="宋体" w:hAnsi="宋体"/>
          <w:szCs w:val="21"/>
          <w:highlight w:val="none"/>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6AB62769">
      <w:pPr>
        <w:spacing w:line="460" w:lineRule="exact"/>
        <w:ind w:firstLine="422" w:firstLineChars="200"/>
        <w:rPr>
          <w:rStyle w:val="66"/>
          <w:rFonts w:ascii="宋体" w:hAnsi="宋体"/>
          <w:b/>
          <w:szCs w:val="21"/>
          <w:highlight w:val="none"/>
        </w:rPr>
      </w:pPr>
      <w:r>
        <w:rPr>
          <w:rStyle w:val="66"/>
          <w:rFonts w:ascii="宋体" w:hAnsi="宋体"/>
          <w:b/>
          <w:szCs w:val="21"/>
          <w:highlight w:val="none"/>
        </w:rPr>
        <w:t>条款号：36.5.1          修改类型：修改</w:t>
      </w:r>
    </w:p>
    <w:p w14:paraId="582D15B6">
      <w:pPr>
        <w:spacing w:line="460" w:lineRule="exact"/>
        <w:ind w:firstLine="422" w:firstLineChars="200"/>
        <w:rPr>
          <w:rStyle w:val="66"/>
          <w:rFonts w:ascii="宋体" w:hAnsi="宋体"/>
          <w:szCs w:val="21"/>
          <w:highlight w:val="none"/>
        </w:rPr>
      </w:pPr>
      <w:r>
        <w:rPr>
          <w:rStyle w:val="66"/>
          <w:rFonts w:ascii="宋体" w:hAnsi="宋体"/>
          <w:b/>
          <w:szCs w:val="21"/>
          <w:highlight w:val="none"/>
        </w:rPr>
        <w:t>原文：</w:t>
      </w:r>
      <w:r>
        <w:rPr>
          <w:rStyle w:val="66"/>
          <w:rFonts w:ascii="宋体" w:hAnsi="宋体"/>
          <w:szCs w:val="21"/>
          <w:highlight w:val="none"/>
        </w:rPr>
        <w:t>36.5.1在投标截止时间后半小时内，投标人通过</w:t>
      </w:r>
      <w:r>
        <w:rPr>
          <w:rFonts w:hint="eastAsia" w:ascii="宋体" w:eastAsia="宋体" w:cs="宋体"/>
          <w:bCs/>
          <w:szCs w:val="21"/>
          <w:highlight w:val="none"/>
          <w:u w:val="single"/>
          <w:lang w:bidi="ar-SA"/>
        </w:rPr>
        <w:t xml:space="preserve">        </w:t>
      </w:r>
      <w:r>
        <w:rPr>
          <w:rStyle w:val="66"/>
          <w:rFonts w:ascii="宋体" w:hAnsi="宋体"/>
          <w:szCs w:val="21"/>
          <w:highlight w:val="none"/>
        </w:rPr>
        <w:t>交易平台对已递交的电子投标文件进行解密。投标人完成解密后，再由招标人进行解密（如有项目负责人签到环节，应在项目负责人签到完成后，招标人再进行解密）。解密完成后，公布招标项目名称、投标人名称、投标保证金的递交情况、投标报价、工期及其他内容；</w:t>
      </w:r>
    </w:p>
    <w:p w14:paraId="33BFEDE1">
      <w:pPr>
        <w:pBdr>
          <w:bottom w:val="single" w:color="000000" w:sz="6" w:space="1"/>
        </w:pBdr>
        <w:spacing w:line="460" w:lineRule="exact"/>
        <w:ind w:firstLine="422" w:firstLineChars="200"/>
        <w:rPr>
          <w:rStyle w:val="66"/>
          <w:rFonts w:ascii="宋体" w:hAnsi="宋体"/>
          <w:szCs w:val="21"/>
          <w:highlight w:val="none"/>
        </w:rPr>
      </w:pPr>
      <w:r>
        <w:rPr>
          <w:rStyle w:val="66"/>
          <w:rFonts w:ascii="宋体" w:hAnsi="宋体"/>
          <w:b/>
          <w:szCs w:val="21"/>
          <w:highlight w:val="none"/>
        </w:rPr>
        <w:t>现文：</w:t>
      </w:r>
      <w:r>
        <w:rPr>
          <w:rStyle w:val="66"/>
          <w:rFonts w:ascii="宋体" w:hAnsi="宋体"/>
          <w:szCs w:val="21"/>
          <w:highlight w:val="none"/>
        </w:rPr>
        <w:t>36.5.1</w:t>
      </w:r>
      <w:r>
        <w:rPr>
          <w:rStyle w:val="66"/>
          <w:rFonts w:hint="eastAsia" w:ascii="宋体" w:hAnsi="宋体"/>
          <w:szCs w:val="21"/>
          <w:highlight w:val="none"/>
        </w:rPr>
        <w:t>在投标截止时间后半小时内，投标人通过</w:t>
      </w:r>
      <w:r>
        <w:rPr>
          <w:rFonts w:hint="eastAsia" w:ascii="宋体" w:hAnsi="宋体" w:cs="宋体"/>
          <w:szCs w:val="21"/>
          <w:highlight w:val="none"/>
          <w:u w:val="single"/>
        </w:rPr>
        <w:t>广州公共资源交易中心</w:t>
      </w:r>
      <w:r>
        <w:rPr>
          <w:rStyle w:val="66"/>
          <w:rFonts w:hint="eastAsia" w:ascii="宋体" w:hAnsi="宋体"/>
          <w:szCs w:val="21"/>
          <w:highlight w:val="none"/>
        </w:rPr>
        <w:t>交易平台对已递交的电子投标文件进行解密。投标人完成解密后，再由招标人进行解密。解密完成后，公布招标项目名称、投标人名称、投标保证金的递交情况、投标报价、工期及其他内容</w:t>
      </w:r>
      <w:r>
        <w:rPr>
          <w:rStyle w:val="66"/>
          <w:rFonts w:ascii="宋体" w:hAnsi="宋体"/>
          <w:szCs w:val="21"/>
          <w:highlight w:val="none"/>
        </w:rPr>
        <w:t>；</w:t>
      </w:r>
    </w:p>
    <w:p w14:paraId="3D7D516D">
      <w:pPr>
        <w:spacing w:line="460" w:lineRule="exact"/>
        <w:ind w:firstLine="422" w:firstLineChars="200"/>
        <w:rPr>
          <w:rFonts w:ascii="宋体" w:hAnsi="宋体"/>
          <w:b/>
          <w:szCs w:val="21"/>
          <w:highlight w:val="none"/>
        </w:rPr>
      </w:pPr>
      <w:r>
        <w:rPr>
          <w:rFonts w:hint="eastAsia" w:ascii="宋体" w:hAnsi="宋体"/>
          <w:b/>
          <w:szCs w:val="21"/>
          <w:highlight w:val="none"/>
        </w:rPr>
        <w:t>条款号：</w:t>
      </w:r>
      <w:r>
        <w:rPr>
          <w:rFonts w:hint="eastAsia" w:ascii="宋体" w:hAnsi="宋体"/>
          <w:szCs w:val="21"/>
          <w:highlight w:val="none"/>
        </w:rPr>
        <w:t xml:space="preserve">36.5.3           </w:t>
      </w:r>
      <w:r>
        <w:rPr>
          <w:rFonts w:hint="eastAsia" w:ascii="宋体" w:hAnsi="宋体"/>
          <w:b/>
          <w:szCs w:val="21"/>
          <w:highlight w:val="none"/>
        </w:rPr>
        <w:t>修改类型：修改</w:t>
      </w:r>
    </w:p>
    <w:p w14:paraId="340BBBC4">
      <w:pPr>
        <w:spacing w:line="460" w:lineRule="exact"/>
        <w:ind w:firstLine="422" w:firstLineChars="200"/>
        <w:rPr>
          <w:rFonts w:ascii="宋体" w:hAnsi="宋体"/>
          <w:szCs w:val="21"/>
          <w:highlight w:val="none"/>
        </w:rPr>
      </w:pPr>
      <w:r>
        <w:rPr>
          <w:rFonts w:hint="eastAsia" w:ascii="宋体" w:hAnsi="宋体"/>
          <w:b/>
          <w:szCs w:val="21"/>
          <w:highlight w:val="none"/>
        </w:rPr>
        <w:t>原文：</w:t>
      </w:r>
      <w:r>
        <w:rPr>
          <w:rFonts w:hint="eastAsia" w:ascii="宋体" w:hAnsi="宋体"/>
          <w:szCs w:val="21"/>
          <w:highlight w:val="none"/>
        </w:rPr>
        <w:t>36.5.3投标人代表、招标人代表、监标人、记录人等有关人员在开标记录上签字确认；若有关人员不签字的，不影响开标程序；</w:t>
      </w:r>
    </w:p>
    <w:p w14:paraId="3C2D7D42">
      <w:pPr>
        <w:pBdr>
          <w:bottom w:val="single" w:color="auto" w:sz="6" w:space="1"/>
        </w:pBdr>
        <w:spacing w:line="460" w:lineRule="exact"/>
        <w:ind w:firstLine="422" w:firstLineChars="200"/>
        <w:rPr>
          <w:rFonts w:ascii="宋体" w:hAnsi="宋体"/>
          <w:szCs w:val="21"/>
          <w:highlight w:val="none"/>
          <w:u w:val="single"/>
        </w:rPr>
      </w:pPr>
      <w:r>
        <w:rPr>
          <w:rFonts w:hint="eastAsia" w:ascii="宋体" w:hAnsi="宋体"/>
          <w:b/>
          <w:szCs w:val="21"/>
          <w:highlight w:val="none"/>
        </w:rPr>
        <w:t>现文：</w:t>
      </w:r>
      <w:r>
        <w:rPr>
          <w:rFonts w:hint="eastAsia" w:ascii="宋体" w:hAnsi="宋体"/>
          <w:szCs w:val="21"/>
          <w:highlight w:val="none"/>
        </w:rPr>
        <w:t>36.5.3投标人代表、招标人代表、监标人、记录人等有关人员在开标记录上签字确认；若有关人员不签字的，不影响开标程序；</w:t>
      </w:r>
      <w:r>
        <w:rPr>
          <w:rFonts w:hint="eastAsia" w:ascii="宋体" w:hAnsi="宋体"/>
          <w:szCs w:val="21"/>
          <w:highlight w:val="none"/>
          <w:u w:val="single"/>
        </w:rPr>
        <w:t>若投标人不参加开标会的，或不签字确认的，视同该投标人认可开标结果。</w:t>
      </w:r>
    </w:p>
    <w:p w14:paraId="569F6EFA">
      <w:pPr>
        <w:spacing w:line="360" w:lineRule="auto"/>
        <w:ind w:firstLine="472" w:firstLineChars="224"/>
        <w:rPr>
          <w:rFonts w:hint="eastAsia" w:ascii="宋体" w:eastAsia="宋体" w:cs="宋体"/>
          <w:b/>
          <w:szCs w:val="21"/>
          <w:highlight w:val="none"/>
          <w:lang w:bidi="ar-SA"/>
        </w:rPr>
      </w:pPr>
      <w:r>
        <w:rPr>
          <w:rFonts w:hint="eastAsia" w:ascii="宋体" w:eastAsia="宋体" w:cs="宋体"/>
          <w:b/>
          <w:szCs w:val="21"/>
          <w:highlight w:val="none"/>
          <w:lang w:bidi="ar-SA"/>
        </w:rPr>
        <w:t>条款号：</w:t>
      </w:r>
      <w:r>
        <w:rPr>
          <w:rFonts w:hint="eastAsia" w:ascii="宋体" w:eastAsia="宋体" w:cs="宋体"/>
          <w:szCs w:val="21"/>
          <w:highlight w:val="none"/>
          <w:lang w:bidi="ar-SA"/>
        </w:rPr>
        <w:t>37.3</w:t>
      </w:r>
      <w:r>
        <w:rPr>
          <w:rFonts w:hint="eastAsia" w:ascii="宋体" w:eastAsia="宋体" w:cs="宋体"/>
          <w:b/>
          <w:szCs w:val="21"/>
          <w:highlight w:val="none"/>
          <w:lang w:bidi="ar-SA"/>
        </w:rPr>
        <w:tab/>
      </w:r>
      <w:r>
        <w:rPr>
          <w:rFonts w:hint="eastAsia" w:ascii="宋体" w:eastAsia="宋体" w:cs="宋体"/>
          <w:b/>
          <w:szCs w:val="21"/>
          <w:highlight w:val="none"/>
          <w:lang w:bidi="ar-SA"/>
        </w:rPr>
        <w:t>修改类型：修改</w:t>
      </w:r>
    </w:p>
    <w:p w14:paraId="4617398F">
      <w:pPr>
        <w:spacing w:line="360" w:lineRule="auto"/>
        <w:ind w:firstLine="472" w:firstLineChars="224"/>
        <w:rPr>
          <w:rFonts w:hint="eastAsia" w:ascii="宋体" w:eastAsia="宋体" w:cs="宋体"/>
          <w:b/>
          <w:szCs w:val="21"/>
          <w:highlight w:val="none"/>
          <w:lang w:bidi="ar-SA"/>
        </w:rPr>
      </w:pPr>
      <w:r>
        <w:rPr>
          <w:rFonts w:hint="eastAsia" w:ascii="宋体" w:eastAsia="宋体" w:cs="宋体"/>
          <w:b/>
          <w:szCs w:val="21"/>
          <w:highlight w:val="none"/>
          <w:lang w:bidi="ar-SA"/>
        </w:rPr>
        <w:t>原文：</w:t>
      </w:r>
      <w:r>
        <w:rPr>
          <w:rFonts w:hint="eastAsia" w:ascii="宋体" w:eastAsia="宋体" w:cs="宋体"/>
          <w:szCs w:val="21"/>
          <w:highlight w:val="none"/>
          <w:lang w:bidi="ar-SA"/>
        </w:rPr>
        <w:t>37.3评标结束后，评标委员会递交评标报告并依法推荐中标候选人。</w:t>
      </w:r>
    </w:p>
    <w:p w14:paraId="7C0412CC">
      <w:pPr>
        <w:spacing w:line="360" w:lineRule="auto"/>
        <w:ind w:firstLine="472" w:firstLineChars="224"/>
        <w:rPr>
          <w:rFonts w:hint="eastAsia" w:ascii="宋体" w:eastAsia="宋体" w:cs="宋体"/>
          <w:szCs w:val="21"/>
          <w:highlight w:val="none"/>
          <w:u w:val="single"/>
          <w:lang w:bidi="ar-SA"/>
        </w:rPr>
      </w:pPr>
      <w:r>
        <w:rPr>
          <w:rFonts w:hint="eastAsia" w:ascii="宋体" w:eastAsia="宋体" w:cs="宋体"/>
          <w:b/>
          <w:szCs w:val="21"/>
          <w:highlight w:val="none"/>
          <w:lang w:bidi="ar-SA"/>
        </w:rPr>
        <w:t>现文：</w:t>
      </w:r>
      <w:r>
        <w:rPr>
          <w:rFonts w:hint="eastAsia" w:ascii="宋体" w:eastAsia="宋体" w:cs="宋体"/>
          <w:szCs w:val="21"/>
          <w:highlight w:val="none"/>
          <w:lang w:bidi="ar-SA"/>
        </w:rPr>
        <w:t>37.3</w:t>
      </w:r>
      <w:r>
        <w:rPr>
          <w:rFonts w:hint="eastAsia" w:ascii="宋体" w:eastAsia="宋体" w:cs="宋体"/>
          <w:szCs w:val="21"/>
          <w:highlight w:val="none"/>
          <w:u w:val="single"/>
          <w:lang w:bidi="ar-SA"/>
        </w:rPr>
        <w:t>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0C524AE7">
      <w:pPr>
        <w:pBdr>
          <w:bottom w:val="single" w:color="auto" w:sz="6" w:space="1"/>
        </w:pBdr>
        <w:spacing w:line="360" w:lineRule="auto"/>
        <w:ind w:firstLine="470" w:firstLineChars="224"/>
        <w:rPr>
          <w:rFonts w:hint="eastAsia" w:ascii="宋体" w:eastAsia="宋体" w:cs="宋体"/>
          <w:b/>
          <w:szCs w:val="21"/>
          <w:highlight w:val="none"/>
          <w:u w:val="single"/>
          <w:lang w:bidi="ar-SA"/>
        </w:rPr>
      </w:pPr>
      <w:r>
        <w:rPr>
          <w:rFonts w:hint="eastAsia" w:ascii="宋体" w:eastAsia="宋体" w:cs="宋体"/>
          <w:szCs w:val="21"/>
          <w:highlight w:val="none"/>
          <w:u w:val="single"/>
          <w:lang w:bidi="ar-SA"/>
        </w:rPr>
        <w:t>37.4评标结束后，评标委员会递交评标报告并依法推荐中标候选人。</w:t>
      </w:r>
    </w:p>
    <w:p w14:paraId="67A1A596">
      <w:pPr>
        <w:spacing w:line="460" w:lineRule="exact"/>
        <w:ind w:firstLine="422" w:firstLineChars="200"/>
        <w:rPr>
          <w:rFonts w:ascii="宋体" w:hAnsi="宋体" w:cs="宋体"/>
          <w:b/>
          <w:szCs w:val="21"/>
          <w:highlight w:val="none"/>
        </w:rPr>
      </w:pPr>
      <w:r>
        <w:rPr>
          <w:rFonts w:hint="eastAsia" w:ascii="宋体" w:hAnsi="宋体" w:cs="宋体"/>
          <w:b/>
          <w:szCs w:val="21"/>
          <w:highlight w:val="none"/>
        </w:rPr>
        <w:t>条款号：38.1         修改类型：修改</w:t>
      </w:r>
    </w:p>
    <w:p w14:paraId="41F923BF">
      <w:pPr>
        <w:spacing w:line="460" w:lineRule="exact"/>
        <w:ind w:firstLine="422" w:firstLineChars="200"/>
        <w:rPr>
          <w:rFonts w:ascii="宋体" w:hAnsi="宋体" w:cs="宋体"/>
          <w:szCs w:val="21"/>
          <w:highlight w:val="none"/>
        </w:rPr>
      </w:pPr>
      <w:r>
        <w:rPr>
          <w:rFonts w:hint="eastAsia" w:ascii="宋体" w:hAnsi="宋体" w:cs="宋体"/>
          <w:b/>
          <w:szCs w:val="21"/>
          <w:highlight w:val="none"/>
        </w:rPr>
        <w:t>原文：</w:t>
      </w:r>
      <w:r>
        <w:rPr>
          <w:rFonts w:hint="eastAsia" w:ascii="宋体" w:hAnsi="宋体" w:cs="宋体"/>
          <w:szCs w:val="21"/>
          <w:highlight w:val="none"/>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168A2066">
      <w:pPr>
        <w:pBdr>
          <w:bottom w:val="single" w:color="auto" w:sz="6" w:space="1"/>
        </w:pBdr>
        <w:spacing w:line="460" w:lineRule="exact"/>
        <w:ind w:firstLine="422" w:firstLineChars="200"/>
        <w:rPr>
          <w:rFonts w:ascii="宋体" w:hAnsi="宋体" w:cs="宋体"/>
          <w:szCs w:val="21"/>
          <w:highlight w:val="none"/>
        </w:rPr>
      </w:pPr>
      <w:r>
        <w:rPr>
          <w:rFonts w:hint="eastAsia" w:ascii="宋体" w:hAnsi="宋体" w:cs="宋体"/>
          <w:b/>
          <w:szCs w:val="21"/>
          <w:highlight w:val="none"/>
        </w:rPr>
        <w:t>现文：</w:t>
      </w:r>
      <w:r>
        <w:rPr>
          <w:rFonts w:hint="eastAsia" w:ascii="宋体" w:hAnsi="宋体" w:cs="宋体"/>
          <w:szCs w:val="21"/>
          <w:highlight w:val="none"/>
        </w:rPr>
        <w:t>38.1为有助于投标文件的审查、评价和比较，评标期间，经评标委员会或评标委员会专业评审组中两人以上（含两人）以书面形式提出动议，评标委员会或评标委员会专业评审组应当书面发出澄清通知，</w:t>
      </w:r>
      <w:r>
        <w:rPr>
          <w:rFonts w:hint="eastAsia" w:ascii="宋体" w:hAnsi="宋体" w:cs="宋体"/>
          <w:szCs w:val="21"/>
          <w:highlight w:val="none"/>
          <w:u w:val="single"/>
        </w:rPr>
        <w:t>要求投标人对投标文件含义不明确、对同类问题表述不一致、有明显文字和计算错误的内容以及细微偏差的内容作出澄清。</w:t>
      </w:r>
    </w:p>
    <w:p w14:paraId="56718228">
      <w:pPr>
        <w:spacing w:line="460" w:lineRule="exact"/>
        <w:ind w:firstLine="422" w:firstLineChars="200"/>
        <w:rPr>
          <w:rFonts w:ascii="宋体" w:hAnsi="宋体"/>
          <w:b/>
          <w:bCs/>
          <w:szCs w:val="21"/>
          <w:highlight w:val="none"/>
        </w:rPr>
      </w:pPr>
      <w:r>
        <w:rPr>
          <w:rFonts w:hint="eastAsia" w:ascii="宋体" w:hAnsi="宋体"/>
          <w:b/>
          <w:bCs/>
          <w:szCs w:val="21"/>
          <w:highlight w:val="none"/>
        </w:rPr>
        <w:t>条款号：</w:t>
      </w:r>
      <w:r>
        <w:rPr>
          <w:rFonts w:hint="eastAsia" w:ascii="宋体" w:hAnsi="宋体"/>
          <w:b/>
          <w:szCs w:val="21"/>
          <w:highlight w:val="none"/>
        </w:rPr>
        <w:t xml:space="preserve">39.3         </w:t>
      </w:r>
      <w:r>
        <w:rPr>
          <w:rFonts w:hint="eastAsia" w:ascii="宋体" w:hAnsi="宋体"/>
          <w:b/>
          <w:bCs/>
          <w:szCs w:val="21"/>
          <w:highlight w:val="none"/>
        </w:rPr>
        <w:t>修改类型：修改</w:t>
      </w:r>
    </w:p>
    <w:p w14:paraId="1812829B">
      <w:pPr>
        <w:spacing w:line="460" w:lineRule="exact"/>
        <w:ind w:firstLine="422" w:firstLineChars="200"/>
        <w:rPr>
          <w:rFonts w:ascii="宋体" w:hAnsi="宋体"/>
          <w:szCs w:val="21"/>
          <w:highlight w:val="none"/>
        </w:rPr>
      </w:pPr>
      <w:r>
        <w:rPr>
          <w:rFonts w:hint="eastAsia" w:ascii="宋体" w:hAnsi="宋体"/>
          <w:b/>
          <w:bCs/>
          <w:szCs w:val="21"/>
          <w:highlight w:val="none"/>
        </w:rPr>
        <w:t>原文：</w:t>
      </w:r>
      <w:r>
        <w:rPr>
          <w:rFonts w:hint="eastAsia" w:ascii="宋体" w:hAnsi="宋体"/>
          <w:highlight w:val="none"/>
        </w:rPr>
        <w:t>39.3</w:t>
      </w:r>
      <w:r>
        <w:rPr>
          <w:rFonts w:hint="eastAsia" w:ascii="宋体" w:hAnsi="宋体"/>
          <w:szCs w:val="21"/>
          <w:highlight w:val="none"/>
        </w:rPr>
        <w:t>排名第一的中标候选人放弃中标、或因不可抗力提出不能履行合同，或者招标文件规定应当提交履约担保而在规定的期限内未能提交的，招标人可以确定排名第二的中标候选人为中标人。</w:t>
      </w:r>
    </w:p>
    <w:p w14:paraId="2231E013">
      <w:pPr>
        <w:pBdr>
          <w:bottom w:val="single" w:color="000000" w:sz="6" w:space="1"/>
        </w:pBdr>
        <w:spacing w:line="460" w:lineRule="exact"/>
        <w:ind w:firstLine="422" w:firstLineChars="200"/>
        <w:rPr>
          <w:rStyle w:val="66"/>
          <w:rFonts w:ascii="宋体" w:hAnsi="宋体"/>
          <w:b/>
          <w:szCs w:val="21"/>
          <w:highlight w:val="none"/>
        </w:rPr>
      </w:pPr>
      <w:r>
        <w:rPr>
          <w:rFonts w:hint="eastAsia" w:ascii="宋体" w:hAnsi="宋体"/>
          <w:b/>
          <w:bCs/>
          <w:szCs w:val="21"/>
          <w:highlight w:val="none"/>
        </w:rPr>
        <w:t>现文：</w:t>
      </w:r>
      <w:r>
        <w:rPr>
          <w:rFonts w:hint="eastAsia" w:ascii="宋体" w:hAnsi="宋体"/>
          <w:highlight w:val="none"/>
        </w:rPr>
        <w:t>39.3</w:t>
      </w:r>
      <w:r>
        <w:rPr>
          <w:rFonts w:hint="eastAsia" w:ascii="宋体" w:hAnsi="宋体"/>
          <w:szCs w:val="21"/>
          <w:highlight w:val="none"/>
        </w:rPr>
        <w:t>排名第一的中标候选人放弃中标、或因不可抗力提出不能履行合同，或者招标文件规定应当提交履约担保而在规定的期限内未能提交的</w:t>
      </w:r>
      <w:r>
        <w:rPr>
          <w:rFonts w:hint="eastAsia" w:ascii="宋体" w:hAnsi="宋体"/>
          <w:szCs w:val="21"/>
          <w:highlight w:val="none"/>
          <w:u w:val="single"/>
        </w:rPr>
        <w:t>，或经核查发现委派的项目负责人已在其他在建项目中任职的，或者被查实存在影响中标结果的违法行为等情形，不符合中标条件的，</w:t>
      </w:r>
      <w:r>
        <w:rPr>
          <w:rFonts w:hint="eastAsia" w:ascii="宋体" w:hAnsi="宋体"/>
          <w:szCs w:val="21"/>
          <w:highlight w:val="none"/>
        </w:rPr>
        <w:t>招标人可以确定排名第二的中标候选人为中标人。</w:t>
      </w:r>
    </w:p>
    <w:p w14:paraId="511D7A15">
      <w:pPr>
        <w:spacing w:line="360" w:lineRule="auto"/>
        <w:ind w:firstLine="422" w:firstLineChars="200"/>
        <w:rPr>
          <w:rStyle w:val="66"/>
          <w:rFonts w:ascii="宋体" w:hAnsi="宋体"/>
          <w:b/>
          <w:szCs w:val="21"/>
          <w:highlight w:val="none"/>
        </w:rPr>
      </w:pPr>
      <w:r>
        <w:rPr>
          <w:rStyle w:val="66"/>
          <w:rFonts w:ascii="宋体" w:hAnsi="宋体"/>
          <w:b/>
          <w:szCs w:val="21"/>
          <w:highlight w:val="none"/>
        </w:rPr>
        <w:t xml:space="preserve">条款号：可选办法一（适合综合评分法一，技术标与经济标先后分别开启）  </w:t>
      </w:r>
    </w:p>
    <w:p w14:paraId="2447FEA1">
      <w:pPr>
        <w:spacing w:line="360" w:lineRule="auto"/>
        <w:ind w:firstLine="422" w:firstLineChars="200"/>
        <w:rPr>
          <w:rStyle w:val="66"/>
          <w:rFonts w:ascii="宋体" w:hAnsi="宋体"/>
          <w:b/>
          <w:szCs w:val="21"/>
          <w:highlight w:val="none"/>
        </w:rPr>
      </w:pPr>
      <w:r>
        <w:rPr>
          <w:rStyle w:val="66"/>
          <w:rFonts w:ascii="宋体" w:hAnsi="宋体"/>
          <w:b/>
          <w:szCs w:val="21"/>
          <w:highlight w:val="none"/>
        </w:rPr>
        <w:t>修改类型：删除</w:t>
      </w:r>
    </w:p>
    <w:p w14:paraId="2EB012AC">
      <w:pPr>
        <w:pBdr>
          <w:bottom w:val="single" w:color="000000" w:sz="6" w:space="1"/>
        </w:pBdr>
        <w:spacing w:line="360" w:lineRule="auto"/>
        <w:ind w:firstLine="472" w:firstLineChars="224"/>
        <w:rPr>
          <w:rStyle w:val="66"/>
          <w:rFonts w:ascii="宋体" w:hAnsi="宋体"/>
          <w:b/>
          <w:szCs w:val="21"/>
          <w:highlight w:val="none"/>
        </w:rPr>
      </w:pPr>
      <w:r>
        <w:rPr>
          <w:rStyle w:val="66"/>
          <w:rFonts w:ascii="宋体" w:hAnsi="宋体"/>
          <w:b/>
          <w:szCs w:val="21"/>
          <w:highlight w:val="none"/>
        </w:rPr>
        <w:t>原文：详见《广州市建设工程施工公开招标项目招标文件范本GZZB2018-3》</w:t>
      </w:r>
    </w:p>
    <w:p w14:paraId="0EFF4EBA">
      <w:pPr>
        <w:spacing w:line="360" w:lineRule="auto"/>
        <w:ind w:firstLine="472" w:firstLineChars="224"/>
        <w:rPr>
          <w:rStyle w:val="66"/>
          <w:rFonts w:hint="eastAsia" w:ascii="宋体" w:hAnsi="宋体"/>
          <w:b/>
          <w:szCs w:val="21"/>
          <w:highlight w:val="none"/>
        </w:rPr>
      </w:pPr>
      <w:r>
        <w:rPr>
          <w:rStyle w:val="66"/>
          <w:rFonts w:ascii="宋体" w:hAnsi="宋体"/>
          <w:b/>
          <w:szCs w:val="21"/>
          <w:highlight w:val="none"/>
        </w:rPr>
        <w:t xml:space="preserve">条款号：可选办法二（适合综合评分法一，技术标与经济标同时开启）  </w:t>
      </w:r>
      <w:r>
        <w:rPr>
          <w:rStyle w:val="66"/>
          <w:rFonts w:hint="eastAsia" w:ascii="宋体" w:hAnsi="宋体"/>
          <w:b/>
          <w:szCs w:val="21"/>
          <w:highlight w:val="none"/>
        </w:rPr>
        <w:t xml:space="preserve"> </w:t>
      </w:r>
    </w:p>
    <w:p w14:paraId="2DFDF21B">
      <w:pPr>
        <w:spacing w:line="360" w:lineRule="auto"/>
        <w:ind w:firstLine="472" w:firstLineChars="224"/>
        <w:rPr>
          <w:rStyle w:val="66"/>
          <w:rFonts w:ascii="宋体" w:hAnsi="宋体"/>
          <w:b/>
          <w:szCs w:val="21"/>
          <w:highlight w:val="none"/>
        </w:rPr>
      </w:pPr>
      <w:r>
        <w:rPr>
          <w:rStyle w:val="66"/>
          <w:rFonts w:ascii="宋体" w:hAnsi="宋体"/>
          <w:b/>
          <w:szCs w:val="21"/>
          <w:highlight w:val="none"/>
        </w:rPr>
        <w:t>修改类型：删除</w:t>
      </w:r>
    </w:p>
    <w:p w14:paraId="307153F5">
      <w:pPr>
        <w:pBdr>
          <w:bottom w:val="single" w:color="000000" w:sz="6" w:space="1"/>
        </w:pBdr>
        <w:spacing w:line="360" w:lineRule="auto"/>
        <w:ind w:firstLine="472" w:firstLineChars="224"/>
        <w:rPr>
          <w:rStyle w:val="66"/>
          <w:rFonts w:ascii="宋体" w:hAnsi="宋体"/>
          <w:b/>
          <w:szCs w:val="21"/>
          <w:highlight w:val="none"/>
        </w:rPr>
      </w:pPr>
      <w:r>
        <w:rPr>
          <w:rStyle w:val="66"/>
          <w:rFonts w:ascii="宋体" w:hAnsi="宋体"/>
          <w:b/>
          <w:szCs w:val="21"/>
          <w:highlight w:val="none"/>
        </w:rPr>
        <w:t>原文：详见《广州市建设工程施工公开招标项目招标文件范本GZZB2018-3》</w:t>
      </w:r>
    </w:p>
    <w:p w14:paraId="3A62B718">
      <w:pPr>
        <w:spacing w:line="360" w:lineRule="auto"/>
        <w:ind w:firstLine="472" w:firstLineChars="224"/>
        <w:rPr>
          <w:rStyle w:val="66"/>
          <w:rFonts w:ascii="宋体" w:hAnsi="宋体"/>
          <w:b/>
          <w:szCs w:val="21"/>
          <w:highlight w:val="none"/>
        </w:rPr>
      </w:pPr>
      <w:r>
        <w:rPr>
          <w:rStyle w:val="66"/>
          <w:rFonts w:ascii="宋体" w:hAnsi="宋体"/>
          <w:b/>
          <w:szCs w:val="21"/>
          <w:highlight w:val="none"/>
        </w:rPr>
        <w:t xml:space="preserve">条款号：可选办法三（适合综合评分法二，技术标与经济标先后分别开启） </w:t>
      </w:r>
    </w:p>
    <w:p w14:paraId="256366C0">
      <w:pPr>
        <w:spacing w:line="360" w:lineRule="auto"/>
        <w:ind w:firstLine="472" w:firstLineChars="224"/>
        <w:rPr>
          <w:rStyle w:val="66"/>
          <w:rFonts w:ascii="宋体" w:hAnsi="宋体"/>
          <w:b/>
          <w:szCs w:val="21"/>
          <w:highlight w:val="none"/>
        </w:rPr>
      </w:pPr>
      <w:r>
        <w:rPr>
          <w:rStyle w:val="66"/>
          <w:rFonts w:ascii="宋体" w:hAnsi="宋体"/>
          <w:b/>
          <w:szCs w:val="21"/>
          <w:highlight w:val="none"/>
        </w:rPr>
        <w:t xml:space="preserve"> 修改类型：删除</w:t>
      </w:r>
    </w:p>
    <w:p w14:paraId="2257E53F">
      <w:pPr>
        <w:pBdr>
          <w:bottom w:val="single" w:color="000000" w:sz="6" w:space="1"/>
        </w:pBdr>
        <w:spacing w:line="360" w:lineRule="auto"/>
        <w:ind w:firstLine="472" w:firstLineChars="224"/>
        <w:rPr>
          <w:rStyle w:val="66"/>
          <w:rFonts w:ascii="宋体" w:hAnsi="宋体"/>
          <w:b/>
          <w:szCs w:val="21"/>
          <w:highlight w:val="none"/>
        </w:rPr>
      </w:pPr>
      <w:r>
        <w:rPr>
          <w:rStyle w:val="66"/>
          <w:rFonts w:ascii="宋体" w:hAnsi="宋体"/>
          <w:b/>
          <w:szCs w:val="21"/>
          <w:highlight w:val="none"/>
        </w:rPr>
        <w:t>原文：详见《广州市建设工程施工公开招标项目招标文件范本GZZB2018-3》</w:t>
      </w:r>
    </w:p>
    <w:p w14:paraId="5F962888">
      <w:pPr>
        <w:spacing w:line="360" w:lineRule="auto"/>
        <w:ind w:firstLine="472" w:firstLineChars="224"/>
        <w:rPr>
          <w:rStyle w:val="66"/>
          <w:rFonts w:ascii="宋体" w:hAnsi="宋体"/>
          <w:b/>
          <w:szCs w:val="21"/>
          <w:highlight w:val="none"/>
        </w:rPr>
      </w:pPr>
      <w:r>
        <w:rPr>
          <w:rStyle w:val="66"/>
          <w:rFonts w:ascii="宋体" w:hAnsi="宋体"/>
          <w:b/>
          <w:szCs w:val="21"/>
          <w:highlight w:val="none"/>
        </w:rPr>
        <w:t xml:space="preserve">条款号：可选办法四（适合综合评分法二，技术标与经济标同时开启）  </w:t>
      </w:r>
    </w:p>
    <w:p w14:paraId="09CBEF26">
      <w:pPr>
        <w:spacing w:line="360" w:lineRule="auto"/>
        <w:ind w:firstLine="472" w:firstLineChars="224"/>
        <w:rPr>
          <w:rStyle w:val="66"/>
          <w:rFonts w:ascii="宋体" w:hAnsi="宋体"/>
          <w:b/>
          <w:szCs w:val="21"/>
          <w:highlight w:val="none"/>
        </w:rPr>
      </w:pPr>
      <w:r>
        <w:rPr>
          <w:rStyle w:val="66"/>
          <w:rFonts w:ascii="宋体" w:hAnsi="宋体"/>
          <w:b/>
          <w:szCs w:val="21"/>
          <w:highlight w:val="none"/>
        </w:rPr>
        <w:t>修改类型：删除</w:t>
      </w:r>
    </w:p>
    <w:p w14:paraId="453C8B8A">
      <w:pPr>
        <w:pBdr>
          <w:bottom w:val="single" w:color="000000" w:sz="6" w:space="1"/>
        </w:pBdr>
        <w:spacing w:line="360" w:lineRule="auto"/>
        <w:ind w:firstLine="472" w:firstLineChars="224"/>
        <w:rPr>
          <w:rStyle w:val="66"/>
          <w:rFonts w:ascii="宋体" w:hAnsi="宋体"/>
          <w:b/>
          <w:szCs w:val="21"/>
          <w:highlight w:val="none"/>
        </w:rPr>
      </w:pPr>
      <w:r>
        <w:rPr>
          <w:rStyle w:val="66"/>
          <w:rFonts w:ascii="宋体" w:hAnsi="宋体"/>
          <w:b/>
          <w:szCs w:val="21"/>
          <w:highlight w:val="none"/>
        </w:rPr>
        <w:t>原文：详见《广州市建设工程施工公开招标项目招标文件范本GZZB2018-3》</w:t>
      </w:r>
    </w:p>
    <w:p w14:paraId="7E60C3D5">
      <w:pPr>
        <w:spacing w:line="360" w:lineRule="auto"/>
        <w:ind w:firstLine="472" w:firstLineChars="224"/>
        <w:rPr>
          <w:rStyle w:val="66"/>
          <w:rFonts w:ascii="宋体" w:hAnsi="宋体"/>
          <w:b/>
          <w:szCs w:val="21"/>
          <w:highlight w:val="none"/>
        </w:rPr>
      </w:pPr>
      <w:r>
        <w:rPr>
          <w:rStyle w:val="66"/>
          <w:rFonts w:ascii="宋体" w:hAnsi="宋体"/>
          <w:b/>
          <w:szCs w:val="21"/>
          <w:highlight w:val="none"/>
        </w:rPr>
        <w:t xml:space="preserve">条款号：可选办法五（适合综合评分法三，技术标与经济标先后分别开启）  </w:t>
      </w:r>
    </w:p>
    <w:p w14:paraId="367EB67F">
      <w:pPr>
        <w:spacing w:line="360" w:lineRule="auto"/>
        <w:ind w:firstLine="472" w:firstLineChars="224"/>
        <w:rPr>
          <w:rStyle w:val="66"/>
          <w:rFonts w:ascii="宋体" w:hAnsi="宋体"/>
          <w:b/>
          <w:szCs w:val="21"/>
          <w:highlight w:val="none"/>
        </w:rPr>
      </w:pPr>
      <w:r>
        <w:rPr>
          <w:rStyle w:val="66"/>
          <w:rFonts w:ascii="宋体" w:hAnsi="宋体"/>
          <w:b/>
          <w:szCs w:val="21"/>
          <w:highlight w:val="none"/>
        </w:rPr>
        <w:t>修改类型：删除</w:t>
      </w:r>
    </w:p>
    <w:p w14:paraId="5B95D538">
      <w:pPr>
        <w:pBdr>
          <w:bottom w:val="single" w:color="000000" w:sz="6" w:space="1"/>
        </w:pBdr>
        <w:spacing w:line="360" w:lineRule="auto"/>
        <w:ind w:firstLine="472" w:firstLineChars="224"/>
        <w:rPr>
          <w:rStyle w:val="66"/>
          <w:rFonts w:ascii="宋体" w:hAnsi="宋体"/>
          <w:b/>
          <w:szCs w:val="21"/>
          <w:highlight w:val="none"/>
        </w:rPr>
      </w:pPr>
      <w:r>
        <w:rPr>
          <w:rStyle w:val="66"/>
          <w:rFonts w:ascii="宋体" w:hAnsi="宋体"/>
          <w:b/>
          <w:szCs w:val="21"/>
          <w:highlight w:val="none"/>
        </w:rPr>
        <w:t>原文：详见《广州市建设工程施工公开招标项目招标文件范本GZZB2018-3》</w:t>
      </w:r>
    </w:p>
    <w:p w14:paraId="00CD18BF">
      <w:pPr>
        <w:spacing w:line="360" w:lineRule="auto"/>
        <w:ind w:firstLine="472" w:firstLineChars="224"/>
        <w:rPr>
          <w:rStyle w:val="66"/>
          <w:rFonts w:ascii="宋体" w:hAnsi="宋体"/>
          <w:b/>
          <w:szCs w:val="21"/>
          <w:highlight w:val="none"/>
        </w:rPr>
      </w:pPr>
      <w:r>
        <w:rPr>
          <w:rStyle w:val="66"/>
          <w:rFonts w:ascii="宋体" w:hAnsi="宋体"/>
          <w:b/>
          <w:szCs w:val="21"/>
          <w:highlight w:val="none"/>
        </w:rPr>
        <w:t>条款号：可选办法</w:t>
      </w:r>
      <w:r>
        <w:rPr>
          <w:rStyle w:val="66"/>
          <w:rFonts w:hint="eastAsia" w:ascii="宋体" w:hAnsi="宋体"/>
          <w:b/>
          <w:szCs w:val="21"/>
          <w:highlight w:val="none"/>
        </w:rPr>
        <w:t>六</w:t>
      </w:r>
      <w:r>
        <w:rPr>
          <w:rStyle w:val="66"/>
          <w:rFonts w:ascii="宋体" w:hAnsi="宋体"/>
          <w:b/>
          <w:szCs w:val="21"/>
          <w:highlight w:val="none"/>
        </w:rPr>
        <w:t xml:space="preserve">（适合综合评分法三，技术标与经济标同时开启） </w:t>
      </w:r>
    </w:p>
    <w:p w14:paraId="20F47ECA">
      <w:pPr>
        <w:spacing w:line="360" w:lineRule="auto"/>
        <w:ind w:firstLine="472" w:firstLineChars="224"/>
        <w:rPr>
          <w:rStyle w:val="66"/>
          <w:rFonts w:ascii="宋体" w:hAnsi="宋体"/>
          <w:b/>
          <w:szCs w:val="21"/>
          <w:highlight w:val="none"/>
        </w:rPr>
      </w:pPr>
      <w:r>
        <w:rPr>
          <w:rStyle w:val="66"/>
          <w:rFonts w:ascii="宋体" w:hAnsi="宋体"/>
          <w:b/>
          <w:szCs w:val="21"/>
          <w:highlight w:val="none"/>
        </w:rPr>
        <w:t xml:space="preserve"> 修改类型：删除</w:t>
      </w:r>
    </w:p>
    <w:p w14:paraId="69B581B2">
      <w:pPr>
        <w:pBdr>
          <w:bottom w:val="single" w:color="000000" w:sz="6" w:space="1"/>
        </w:pBdr>
        <w:spacing w:line="360" w:lineRule="auto"/>
        <w:ind w:firstLine="472" w:firstLineChars="224"/>
        <w:rPr>
          <w:rStyle w:val="66"/>
          <w:rFonts w:ascii="宋体" w:hAnsi="宋体"/>
          <w:b/>
          <w:szCs w:val="21"/>
          <w:highlight w:val="none"/>
        </w:rPr>
      </w:pPr>
      <w:r>
        <w:rPr>
          <w:rStyle w:val="66"/>
          <w:rFonts w:ascii="宋体" w:hAnsi="宋体"/>
          <w:b/>
          <w:szCs w:val="21"/>
          <w:highlight w:val="none"/>
        </w:rPr>
        <w:t>原文：详见《广州市建设工程施工公开招标项目招标文件范本GZZB2018-3》</w:t>
      </w:r>
    </w:p>
    <w:p w14:paraId="24ED4B64">
      <w:pPr>
        <w:spacing w:line="360" w:lineRule="auto"/>
        <w:ind w:firstLine="472" w:firstLineChars="224"/>
        <w:rPr>
          <w:rStyle w:val="66"/>
          <w:rFonts w:ascii="宋体" w:hAnsi="宋体"/>
          <w:b/>
          <w:szCs w:val="21"/>
          <w:highlight w:val="none"/>
        </w:rPr>
      </w:pPr>
      <w:r>
        <w:rPr>
          <w:rStyle w:val="66"/>
          <w:rFonts w:ascii="宋体" w:hAnsi="宋体"/>
          <w:b/>
          <w:szCs w:val="21"/>
          <w:highlight w:val="none"/>
        </w:rPr>
        <w:t>条款号：可选办法八（适合经评审的最低投标价法，技术标与经济标同时开启）</w:t>
      </w:r>
    </w:p>
    <w:p w14:paraId="207B9229">
      <w:pPr>
        <w:spacing w:line="360" w:lineRule="auto"/>
        <w:ind w:firstLine="472" w:firstLineChars="224"/>
        <w:rPr>
          <w:rStyle w:val="66"/>
          <w:rFonts w:ascii="宋体" w:hAnsi="宋体"/>
          <w:b/>
          <w:szCs w:val="21"/>
          <w:highlight w:val="none"/>
        </w:rPr>
      </w:pPr>
      <w:r>
        <w:rPr>
          <w:rStyle w:val="66"/>
          <w:rFonts w:ascii="宋体" w:hAnsi="宋体"/>
          <w:b/>
          <w:szCs w:val="21"/>
          <w:highlight w:val="none"/>
        </w:rPr>
        <w:t>修改类型：删除</w:t>
      </w:r>
    </w:p>
    <w:p w14:paraId="23DC375B">
      <w:pPr>
        <w:pBdr>
          <w:bottom w:val="single" w:color="000000" w:sz="6" w:space="1"/>
        </w:pBdr>
        <w:spacing w:line="360" w:lineRule="auto"/>
        <w:ind w:firstLine="472" w:firstLineChars="224"/>
        <w:rPr>
          <w:rStyle w:val="66"/>
          <w:rFonts w:ascii="宋体" w:hAnsi="宋体"/>
          <w:b/>
          <w:szCs w:val="21"/>
          <w:highlight w:val="none"/>
        </w:rPr>
      </w:pPr>
      <w:r>
        <w:rPr>
          <w:rStyle w:val="66"/>
          <w:rFonts w:ascii="宋体" w:hAnsi="宋体"/>
          <w:b/>
          <w:szCs w:val="21"/>
          <w:highlight w:val="none"/>
        </w:rPr>
        <w:t>原文：详见《广州市建设工程施工公开招标项目招标文件范本GZZB2018-3》</w:t>
      </w:r>
    </w:p>
    <w:p w14:paraId="13EA01D3">
      <w:pPr>
        <w:spacing w:line="460" w:lineRule="exact"/>
        <w:ind w:firstLine="422" w:firstLineChars="200"/>
        <w:rPr>
          <w:rStyle w:val="66"/>
          <w:rFonts w:ascii="宋体" w:hAnsi="宋体"/>
          <w:b/>
          <w:szCs w:val="21"/>
          <w:highlight w:val="none"/>
        </w:rPr>
      </w:pPr>
      <w:r>
        <w:rPr>
          <w:rStyle w:val="66"/>
          <w:rFonts w:ascii="宋体" w:hAnsi="宋体"/>
          <w:b/>
          <w:szCs w:val="21"/>
          <w:highlight w:val="none"/>
        </w:rPr>
        <w:t>条款号：（二）开标评标办法程序和细则  注：           修改类型：删除</w:t>
      </w:r>
    </w:p>
    <w:p w14:paraId="424DFF20">
      <w:pPr>
        <w:pBdr>
          <w:bottom w:val="single" w:color="auto" w:sz="6" w:space="1"/>
        </w:pBdr>
        <w:spacing w:line="360" w:lineRule="auto"/>
        <w:ind w:firstLine="527" w:firstLineChars="250"/>
        <w:rPr>
          <w:rFonts w:hint="eastAsia" w:ascii="宋体" w:eastAsia="宋体" w:cs="宋体"/>
          <w:szCs w:val="21"/>
          <w:highlight w:val="none"/>
          <w:lang w:bidi="ar-SA"/>
        </w:rPr>
      </w:pPr>
      <w:r>
        <w:rPr>
          <w:rStyle w:val="66"/>
          <w:rFonts w:ascii="宋体" w:hAnsi="宋体"/>
          <w:b/>
          <w:szCs w:val="21"/>
          <w:highlight w:val="none"/>
        </w:rPr>
        <w:t>原文：</w:t>
      </w:r>
      <w:r>
        <w:rPr>
          <w:rStyle w:val="66"/>
          <w:rFonts w:ascii="宋体" w:hAnsi="宋体"/>
          <w:b w:val="0"/>
          <w:szCs w:val="21"/>
          <w:highlight w:val="none"/>
        </w:rPr>
        <w:t>注：以下</w:t>
      </w:r>
      <w:r>
        <w:rPr>
          <w:rStyle w:val="66"/>
          <w:rFonts w:hint="eastAsia" w:ascii="宋体" w:hAnsi="宋体"/>
          <w:b w:val="0"/>
          <w:szCs w:val="21"/>
          <w:highlight w:val="none"/>
          <w:lang w:eastAsia="zh-CN"/>
        </w:rPr>
        <w:t>八</w:t>
      </w:r>
      <w:r>
        <w:rPr>
          <w:rStyle w:val="66"/>
          <w:rFonts w:ascii="宋体" w:hAnsi="宋体"/>
          <w:b w:val="0"/>
          <w:szCs w:val="21"/>
          <w:highlight w:val="none"/>
        </w:rPr>
        <w:t>种评标办法所述企业综合诚信评价分数即投标截止当日广州市工程招标代理行业协会网站上公布的企业综合诚信评价60日诚信分。</w:t>
      </w:r>
    </w:p>
    <w:p w14:paraId="33E50974">
      <w:pPr>
        <w:spacing w:line="460" w:lineRule="exact"/>
        <w:ind w:firstLine="422" w:firstLineChars="200"/>
        <w:rPr>
          <w:rStyle w:val="66"/>
          <w:rFonts w:ascii="宋体" w:hAnsi="宋体"/>
          <w:b/>
          <w:szCs w:val="21"/>
          <w:highlight w:val="none"/>
        </w:rPr>
      </w:pPr>
      <w:r>
        <w:rPr>
          <w:rStyle w:val="66"/>
          <w:rFonts w:ascii="宋体" w:hAnsi="宋体"/>
          <w:b/>
          <w:szCs w:val="21"/>
          <w:highlight w:val="none"/>
        </w:rPr>
        <w:t>条款号：40.2          修改类型：修改</w:t>
      </w:r>
    </w:p>
    <w:p w14:paraId="1EC599FB">
      <w:pPr>
        <w:spacing w:line="460" w:lineRule="exact"/>
        <w:ind w:firstLine="422" w:firstLineChars="200"/>
        <w:rPr>
          <w:rStyle w:val="66"/>
          <w:rFonts w:ascii="宋体" w:hAnsi="宋体"/>
          <w:szCs w:val="21"/>
          <w:highlight w:val="none"/>
        </w:rPr>
      </w:pPr>
      <w:r>
        <w:rPr>
          <w:rStyle w:val="66"/>
          <w:rFonts w:ascii="宋体" w:hAnsi="宋体"/>
          <w:b/>
          <w:szCs w:val="21"/>
          <w:highlight w:val="none"/>
        </w:rPr>
        <w:t>原文：</w:t>
      </w:r>
      <w:r>
        <w:rPr>
          <w:rStyle w:val="66"/>
          <w:rFonts w:ascii="宋体" w:hAnsi="宋体"/>
          <w:szCs w:val="21"/>
          <w:highlight w:val="none"/>
        </w:rPr>
        <w:t>40.2</w:t>
      </w:r>
      <w:r>
        <w:rPr>
          <w:rFonts w:hint="eastAsia" w:ascii="宋体" w:hAnsi="宋体" w:cs="宋体"/>
          <w:szCs w:val="21"/>
          <w:highlight w:val="none"/>
        </w:rPr>
        <w:t>由评标委员会对所有已公开开标的投标人进行资格审查</w:t>
      </w:r>
      <w:r>
        <w:rPr>
          <w:rStyle w:val="66"/>
          <w:rFonts w:ascii="宋体" w:hAnsi="宋体"/>
          <w:szCs w:val="21"/>
          <w:highlight w:val="none"/>
        </w:rPr>
        <w:t>；</w:t>
      </w:r>
    </w:p>
    <w:p w14:paraId="1E41EB5A">
      <w:pPr>
        <w:pBdr>
          <w:bottom w:val="single" w:color="000000" w:sz="6" w:space="1"/>
        </w:pBdr>
        <w:spacing w:line="460" w:lineRule="exact"/>
        <w:ind w:firstLine="422" w:firstLineChars="200"/>
        <w:rPr>
          <w:rStyle w:val="66"/>
          <w:rFonts w:ascii="宋体" w:hAnsi="宋体"/>
          <w:szCs w:val="21"/>
          <w:highlight w:val="none"/>
          <w:u w:val="single"/>
        </w:rPr>
      </w:pPr>
      <w:r>
        <w:rPr>
          <w:rStyle w:val="66"/>
          <w:rFonts w:ascii="宋体" w:hAnsi="宋体"/>
          <w:b/>
          <w:szCs w:val="21"/>
          <w:highlight w:val="none"/>
        </w:rPr>
        <w:t>现文：</w:t>
      </w:r>
      <w:r>
        <w:rPr>
          <w:rStyle w:val="66"/>
          <w:rFonts w:hint="eastAsia" w:ascii="宋体" w:hAnsi="宋体"/>
          <w:szCs w:val="21"/>
          <w:highlight w:val="none"/>
        </w:rPr>
        <w:t>4</w:t>
      </w:r>
      <w:r>
        <w:rPr>
          <w:rStyle w:val="66"/>
          <w:rFonts w:ascii="宋体" w:hAnsi="宋体"/>
          <w:szCs w:val="21"/>
          <w:highlight w:val="none"/>
        </w:rPr>
        <w:t>0.2</w:t>
      </w:r>
      <w:r>
        <w:rPr>
          <w:rStyle w:val="66"/>
          <w:rFonts w:hint="eastAsia" w:ascii="宋体" w:hAnsi="宋体"/>
          <w:szCs w:val="21"/>
          <w:highlight w:val="none"/>
        </w:rPr>
        <w:t>由评标委员会对所有已公开开标的投标人进行资格审查，</w:t>
      </w:r>
      <w:r>
        <w:rPr>
          <w:rStyle w:val="66"/>
          <w:rFonts w:hint="eastAsia" w:ascii="宋体" w:hAnsi="宋体"/>
          <w:szCs w:val="21"/>
          <w:highlight w:val="none"/>
          <w:u w:val="single"/>
        </w:rPr>
        <w:t>并编写资格审查报告</w:t>
      </w:r>
      <w:r>
        <w:rPr>
          <w:rStyle w:val="66"/>
          <w:rFonts w:ascii="宋体" w:hAnsi="宋体"/>
          <w:szCs w:val="21"/>
          <w:highlight w:val="none"/>
          <w:u w:val="single"/>
        </w:rPr>
        <w:t>；</w:t>
      </w:r>
    </w:p>
    <w:p w14:paraId="27E89BEF">
      <w:pPr>
        <w:spacing w:line="460" w:lineRule="exact"/>
        <w:ind w:firstLine="422" w:firstLineChars="200"/>
        <w:rPr>
          <w:rStyle w:val="66"/>
          <w:rFonts w:ascii="宋体" w:hAnsi="宋体"/>
          <w:b/>
          <w:szCs w:val="21"/>
          <w:highlight w:val="none"/>
        </w:rPr>
      </w:pPr>
      <w:r>
        <w:rPr>
          <w:rStyle w:val="66"/>
          <w:rFonts w:ascii="宋体" w:hAnsi="宋体"/>
          <w:b/>
          <w:szCs w:val="21"/>
          <w:highlight w:val="none"/>
        </w:rPr>
        <w:t>条款号：41.1          修改类型：修改</w:t>
      </w:r>
    </w:p>
    <w:p w14:paraId="69F7617E">
      <w:pPr>
        <w:spacing w:line="460" w:lineRule="exact"/>
        <w:ind w:firstLine="422" w:firstLineChars="200"/>
        <w:rPr>
          <w:rStyle w:val="66"/>
          <w:rFonts w:ascii="宋体" w:hAnsi="宋体"/>
          <w:szCs w:val="21"/>
          <w:highlight w:val="none"/>
        </w:rPr>
      </w:pPr>
      <w:r>
        <w:rPr>
          <w:rStyle w:val="66"/>
          <w:rFonts w:ascii="宋体" w:hAnsi="宋体"/>
          <w:b/>
          <w:szCs w:val="21"/>
          <w:highlight w:val="none"/>
        </w:rPr>
        <w:t>原文：</w:t>
      </w:r>
      <w:r>
        <w:rPr>
          <w:rStyle w:val="66"/>
          <w:rFonts w:ascii="宋体" w:hAnsi="宋体"/>
          <w:szCs w:val="21"/>
          <w:highlight w:val="none"/>
        </w:rPr>
        <w:t>41.1开标由招标人主持；</w:t>
      </w:r>
    </w:p>
    <w:p w14:paraId="46F279E9">
      <w:pPr>
        <w:pBdr>
          <w:bottom w:val="single" w:color="000000" w:sz="6" w:space="1"/>
        </w:pBdr>
        <w:spacing w:line="460" w:lineRule="exact"/>
        <w:ind w:firstLine="422" w:firstLineChars="200"/>
        <w:rPr>
          <w:rStyle w:val="66"/>
          <w:rFonts w:ascii="宋体" w:hAnsi="宋体"/>
          <w:szCs w:val="21"/>
          <w:highlight w:val="none"/>
          <w:u w:val="single"/>
        </w:rPr>
      </w:pPr>
      <w:r>
        <w:rPr>
          <w:rStyle w:val="66"/>
          <w:rFonts w:ascii="宋体" w:hAnsi="宋体"/>
          <w:b/>
          <w:szCs w:val="21"/>
          <w:highlight w:val="none"/>
        </w:rPr>
        <w:t>现文：</w:t>
      </w:r>
      <w:r>
        <w:rPr>
          <w:rStyle w:val="66"/>
          <w:rFonts w:ascii="宋体" w:hAnsi="宋体"/>
          <w:szCs w:val="21"/>
          <w:highlight w:val="none"/>
        </w:rPr>
        <w:t>41.1</w:t>
      </w:r>
      <w:r>
        <w:rPr>
          <w:rStyle w:val="66"/>
          <w:rFonts w:ascii="宋体" w:hAnsi="宋体"/>
          <w:szCs w:val="21"/>
          <w:highlight w:val="none"/>
          <w:u w:val="single"/>
        </w:rPr>
        <w:t>开标由招标人或招标代理主持；</w:t>
      </w:r>
    </w:p>
    <w:p w14:paraId="21179701">
      <w:pPr>
        <w:spacing w:line="460" w:lineRule="exact"/>
        <w:ind w:firstLine="422" w:firstLineChars="200"/>
        <w:rPr>
          <w:rStyle w:val="66"/>
          <w:rFonts w:ascii="宋体" w:hAnsi="宋体"/>
          <w:b/>
          <w:szCs w:val="21"/>
          <w:highlight w:val="none"/>
        </w:rPr>
      </w:pPr>
      <w:r>
        <w:rPr>
          <w:rStyle w:val="66"/>
          <w:rFonts w:ascii="宋体" w:hAnsi="宋体"/>
          <w:b/>
          <w:szCs w:val="21"/>
          <w:highlight w:val="none"/>
        </w:rPr>
        <w:t>条款号：41.2.1          修改类型：修改</w:t>
      </w:r>
    </w:p>
    <w:p w14:paraId="306B3F9C">
      <w:pPr>
        <w:spacing w:line="460" w:lineRule="exact"/>
        <w:ind w:firstLine="422" w:firstLineChars="200"/>
        <w:rPr>
          <w:rStyle w:val="66"/>
          <w:rFonts w:ascii="宋体" w:hAnsi="宋体"/>
          <w:b/>
          <w:szCs w:val="21"/>
          <w:highlight w:val="none"/>
        </w:rPr>
      </w:pPr>
      <w:r>
        <w:rPr>
          <w:rStyle w:val="66"/>
          <w:rFonts w:ascii="宋体" w:hAnsi="宋体"/>
          <w:b/>
          <w:szCs w:val="21"/>
          <w:highlight w:val="none"/>
        </w:rPr>
        <w:t>原文：</w:t>
      </w:r>
      <w:r>
        <w:rPr>
          <w:rStyle w:val="66"/>
          <w:rFonts w:ascii="宋体" w:hAnsi="宋体"/>
          <w:szCs w:val="21"/>
          <w:highlight w:val="none"/>
        </w:rPr>
        <w:t>41.2.1投标截止期前，各投标人递交投标文件（包括技术标投标文件、经济标投标文件）至交易平台。有关投标文件提交的事项详见第一章投标须知。</w:t>
      </w:r>
    </w:p>
    <w:p w14:paraId="17ADB935">
      <w:pPr>
        <w:pBdr>
          <w:bottom w:val="single" w:color="000000" w:sz="6" w:space="1"/>
        </w:pBdr>
        <w:spacing w:line="460" w:lineRule="exact"/>
        <w:ind w:firstLine="422" w:firstLineChars="200"/>
        <w:rPr>
          <w:rStyle w:val="66"/>
          <w:rFonts w:ascii="宋体" w:hAnsi="宋体"/>
          <w:szCs w:val="21"/>
          <w:highlight w:val="none"/>
        </w:rPr>
      </w:pPr>
      <w:r>
        <w:rPr>
          <w:rStyle w:val="66"/>
          <w:rFonts w:ascii="宋体" w:hAnsi="宋体"/>
          <w:b/>
          <w:szCs w:val="21"/>
          <w:highlight w:val="none"/>
        </w:rPr>
        <w:t>现文：</w:t>
      </w:r>
      <w:r>
        <w:rPr>
          <w:rStyle w:val="66"/>
          <w:rFonts w:ascii="宋体" w:hAnsi="宋体"/>
          <w:szCs w:val="21"/>
          <w:highlight w:val="none"/>
        </w:rPr>
        <w:t>41.2.1投标截止期前，各投标人递交投标文件（包括技术标投标文件</w:t>
      </w:r>
      <w:r>
        <w:rPr>
          <w:rStyle w:val="66"/>
          <w:rFonts w:hint="eastAsia" w:ascii="宋体" w:hAnsi="宋体"/>
          <w:szCs w:val="21"/>
          <w:highlight w:val="none"/>
          <w:u w:val="single"/>
        </w:rPr>
        <w:t>（含资格审查文件）</w:t>
      </w:r>
      <w:r>
        <w:rPr>
          <w:rStyle w:val="66"/>
          <w:rFonts w:ascii="宋体" w:hAnsi="宋体"/>
          <w:szCs w:val="21"/>
          <w:highlight w:val="none"/>
          <w:u w:val="single"/>
        </w:rPr>
        <w:t>、</w:t>
      </w:r>
      <w:r>
        <w:rPr>
          <w:rStyle w:val="66"/>
          <w:rFonts w:ascii="宋体" w:hAnsi="宋体"/>
          <w:szCs w:val="21"/>
          <w:highlight w:val="none"/>
        </w:rPr>
        <w:t>经济标投标文件）至</w:t>
      </w:r>
      <w:r>
        <w:rPr>
          <w:rStyle w:val="66"/>
          <w:rFonts w:ascii="宋体" w:hAnsi="宋体"/>
          <w:szCs w:val="21"/>
          <w:highlight w:val="none"/>
          <w:u w:val="single"/>
        </w:rPr>
        <w:t>广州公共资源交易中心</w:t>
      </w:r>
      <w:r>
        <w:rPr>
          <w:rStyle w:val="66"/>
          <w:rFonts w:ascii="宋体" w:hAnsi="宋体"/>
          <w:szCs w:val="21"/>
          <w:highlight w:val="none"/>
        </w:rPr>
        <w:t>交易平台。有关投标文件提交的事项详见第一章投标须知。</w:t>
      </w:r>
    </w:p>
    <w:p w14:paraId="598BC673">
      <w:pPr>
        <w:spacing w:line="460" w:lineRule="exact"/>
        <w:ind w:firstLine="422" w:firstLineChars="200"/>
        <w:rPr>
          <w:rFonts w:ascii="宋体" w:hAnsi="宋体" w:cs="宋体"/>
          <w:b/>
          <w:szCs w:val="21"/>
          <w:highlight w:val="none"/>
        </w:rPr>
      </w:pPr>
      <w:r>
        <w:rPr>
          <w:rFonts w:hint="eastAsia" w:ascii="宋体" w:hAnsi="宋体" w:cs="宋体"/>
          <w:b/>
          <w:szCs w:val="21"/>
          <w:highlight w:val="none"/>
        </w:rPr>
        <w:t>条款号：41.2.2           修改类型：删除</w:t>
      </w:r>
    </w:p>
    <w:p w14:paraId="4B1FC04A">
      <w:pPr>
        <w:pBdr>
          <w:bottom w:val="single" w:color="000000" w:sz="6" w:space="1"/>
        </w:pBdr>
        <w:spacing w:line="460" w:lineRule="exact"/>
        <w:ind w:firstLine="422" w:firstLineChars="200"/>
        <w:rPr>
          <w:rFonts w:ascii="宋体" w:hAnsi="宋体" w:cs="宋体"/>
          <w:bCs/>
          <w:szCs w:val="21"/>
          <w:highlight w:val="none"/>
          <w:u w:val="single"/>
        </w:rPr>
      </w:pPr>
      <w:r>
        <w:rPr>
          <w:rFonts w:hint="eastAsia" w:ascii="宋体" w:hAnsi="宋体" w:cs="宋体"/>
          <w:b/>
          <w:szCs w:val="21"/>
          <w:highlight w:val="none"/>
        </w:rPr>
        <w:t>原文：</w:t>
      </w:r>
      <w:r>
        <w:rPr>
          <w:rFonts w:hint="eastAsia" w:ascii="宋体" w:hAnsi="宋体" w:cs="宋体"/>
          <w:szCs w:val="21"/>
          <w:highlight w:val="none"/>
        </w:rPr>
        <w:t>41.2.2开标前，首先由招标人随机抽取确定该工程计算评标参考价的等分点值X；</w:t>
      </w:r>
    </w:p>
    <w:p w14:paraId="2A20214C">
      <w:pPr>
        <w:spacing w:line="460" w:lineRule="exact"/>
        <w:ind w:firstLine="422" w:firstLineChars="200"/>
        <w:rPr>
          <w:rFonts w:ascii="宋体" w:hAnsi="宋体" w:cs="宋体"/>
          <w:b/>
          <w:szCs w:val="21"/>
          <w:highlight w:val="none"/>
        </w:rPr>
      </w:pPr>
      <w:r>
        <w:rPr>
          <w:rFonts w:hint="eastAsia" w:ascii="宋体" w:hAnsi="宋体" w:cs="宋体"/>
          <w:b/>
          <w:szCs w:val="21"/>
          <w:highlight w:val="none"/>
        </w:rPr>
        <w:t>条款号：41.2.3           修改类型：修改</w:t>
      </w:r>
    </w:p>
    <w:p w14:paraId="630173BF">
      <w:pPr>
        <w:spacing w:line="460" w:lineRule="exact"/>
        <w:ind w:firstLine="424" w:firstLineChars="201"/>
        <w:rPr>
          <w:rFonts w:ascii="宋体" w:hAnsi="宋体" w:cs="宋体"/>
          <w:szCs w:val="21"/>
          <w:highlight w:val="none"/>
        </w:rPr>
      </w:pPr>
      <w:r>
        <w:rPr>
          <w:rFonts w:hint="eastAsia" w:ascii="宋体" w:hAnsi="宋体" w:cs="宋体"/>
          <w:b/>
          <w:szCs w:val="21"/>
          <w:highlight w:val="none"/>
        </w:rPr>
        <w:t>原文：</w:t>
      </w:r>
      <w:r>
        <w:rPr>
          <w:rFonts w:hint="eastAsia" w:ascii="宋体" w:hAnsi="宋体" w:cs="宋体"/>
          <w:szCs w:val="21"/>
          <w:highlight w:val="none"/>
        </w:rPr>
        <w:t>41.2.3开标时，投标人代表有权出席开标会，也可以自主决定不参加开标会，若投标人代表对开标过程提出异议，该投标人代表须同时出示本人身份证原件。</w:t>
      </w:r>
    </w:p>
    <w:p w14:paraId="726B1500">
      <w:pPr>
        <w:pBdr>
          <w:bottom w:val="single" w:color="000000" w:sz="6" w:space="1"/>
        </w:pBdr>
        <w:spacing w:line="460" w:lineRule="exact"/>
        <w:ind w:firstLine="422" w:firstLineChars="200"/>
        <w:rPr>
          <w:rFonts w:ascii="宋体" w:hAnsi="宋体" w:cs="宋体"/>
          <w:bCs/>
          <w:szCs w:val="21"/>
          <w:highlight w:val="none"/>
          <w:u w:val="single"/>
        </w:rPr>
      </w:pPr>
      <w:r>
        <w:rPr>
          <w:rFonts w:hint="eastAsia" w:ascii="宋体" w:hAnsi="宋体" w:cs="宋体"/>
          <w:b/>
          <w:szCs w:val="21"/>
          <w:highlight w:val="none"/>
        </w:rPr>
        <w:t>现文：</w:t>
      </w:r>
      <w:r>
        <w:rPr>
          <w:rFonts w:hint="eastAsia" w:ascii="宋体" w:hAnsi="宋体" w:cs="宋体"/>
          <w:bCs/>
          <w:szCs w:val="21"/>
          <w:highlight w:val="none"/>
        </w:rPr>
        <w:t>41.2.3开标时，投标人代表有权参加现场开标或</w:t>
      </w:r>
      <w:r>
        <w:rPr>
          <w:rFonts w:hint="eastAsia" w:ascii="宋体" w:hAnsi="宋体" w:cs="宋体"/>
          <w:bCs/>
          <w:szCs w:val="21"/>
          <w:highlight w:val="none"/>
          <w:u w:val="single"/>
        </w:rPr>
        <w:t>在线开标</w:t>
      </w:r>
      <w:r>
        <w:rPr>
          <w:rFonts w:hint="eastAsia" w:ascii="宋体" w:hAnsi="宋体" w:cs="宋体"/>
          <w:bCs/>
          <w:szCs w:val="21"/>
          <w:highlight w:val="none"/>
        </w:rPr>
        <w:t>，也可以自主决定不参加开标，若投标人代表对开标过程有异议的，</w:t>
      </w:r>
      <w:r>
        <w:rPr>
          <w:rFonts w:hint="eastAsia" w:ascii="宋体" w:hAnsi="宋体" w:cs="宋体"/>
          <w:bCs/>
          <w:szCs w:val="21"/>
          <w:highlight w:val="none"/>
          <w:u w:val="single"/>
        </w:rPr>
        <w:t>参加现场开标的应当在开标现场提出，同时出示本人身份证原件，招标人应当当场作出答复，并制作记录；参加在线开标的，投标人应通过交易平台在线提出，招标人应通过交易平台答复，答复后方可结束开标。</w:t>
      </w:r>
    </w:p>
    <w:p w14:paraId="4DEB3F40">
      <w:pPr>
        <w:spacing w:line="460" w:lineRule="exact"/>
        <w:ind w:firstLine="422" w:firstLineChars="200"/>
        <w:rPr>
          <w:rFonts w:ascii="宋体" w:hAnsi="宋体" w:cs="宋体"/>
          <w:b/>
          <w:szCs w:val="21"/>
          <w:highlight w:val="none"/>
        </w:rPr>
      </w:pPr>
      <w:r>
        <w:rPr>
          <w:rFonts w:hint="eastAsia" w:ascii="宋体" w:hAnsi="宋体" w:cs="宋体"/>
          <w:b/>
          <w:szCs w:val="21"/>
          <w:highlight w:val="none"/>
        </w:rPr>
        <w:t>条款号：</w:t>
      </w:r>
      <w:r>
        <w:rPr>
          <w:rFonts w:ascii="宋体" w:hAnsi="宋体" w:cs="宋体"/>
          <w:b/>
          <w:szCs w:val="21"/>
          <w:highlight w:val="none"/>
        </w:rPr>
        <w:t>42.</w:t>
      </w:r>
      <w:r>
        <w:rPr>
          <w:rFonts w:hint="eastAsia" w:ascii="宋体" w:hAnsi="宋体" w:cs="宋体"/>
          <w:b/>
          <w:szCs w:val="21"/>
          <w:highlight w:val="none"/>
        </w:rPr>
        <w:t>2             修改类型：修改</w:t>
      </w:r>
    </w:p>
    <w:p w14:paraId="12ABFA74">
      <w:pPr>
        <w:spacing w:line="460" w:lineRule="exact"/>
        <w:ind w:firstLine="424" w:firstLineChars="201"/>
        <w:rPr>
          <w:rFonts w:ascii="宋体" w:hAnsi="宋体" w:cs="宋体"/>
          <w:szCs w:val="21"/>
          <w:highlight w:val="none"/>
        </w:rPr>
      </w:pPr>
      <w:r>
        <w:rPr>
          <w:rFonts w:hint="eastAsia" w:ascii="宋体" w:hAnsi="宋体" w:cs="宋体"/>
          <w:b/>
          <w:szCs w:val="21"/>
          <w:highlight w:val="none"/>
        </w:rPr>
        <w:t>原文：</w:t>
      </w:r>
      <w:r>
        <w:rPr>
          <w:rFonts w:hint="eastAsia" w:ascii="宋体" w:hAnsi="宋体" w:cs="宋体"/>
          <w:szCs w:val="21"/>
          <w:highlight w:val="none"/>
        </w:rPr>
        <w:t>42.2评标委员会的组成：方式。</w:t>
      </w:r>
    </w:p>
    <w:p w14:paraId="4F5DE095">
      <w:pPr>
        <w:spacing w:line="460" w:lineRule="exact"/>
        <w:ind w:firstLine="422" w:firstLineChars="201"/>
        <w:rPr>
          <w:rFonts w:ascii="宋体" w:hAnsi="宋体" w:cs="宋体"/>
          <w:szCs w:val="21"/>
          <w:highlight w:val="none"/>
        </w:rPr>
      </w:pPr>
      <w:r>
        <w:rPr>
          <w:rFonts w:hint="eastAsia" w:ascii="宋体" w:hAnsi="宋体" w:cs="宋体"/>
          <w:szCs w:val="21"/>
          <w:highlight w:val="none"/>
        </w:rPr>
        <w:t>方式一：评标委员会为综合评标委员会，负责资格审查及评标工作。</w:t>
      </w:r>
    </w:p>
    <w:p w14:paraId="646340BD">
      <w:pPr>
        <w:spacing w:line="460" w:lineRule="exact"/>
        <w:ind w:firstLine="422" w:firstLineChars="201"/>
        <w:rPr>
          <w:rFonts w:ascii="宋体" w:hAnsi="宋体" w:cs="宋体"/>
          <w:szCs w:val="21"/>
          <w:highlight w:val="none"/>
        </w:rPr>
      </w:pPr>
      <w:r>
        <w:rPr>
          <w:rFonts w:hint="eastAsia" w:ascii="宋体" w:hAnsi="宋体" w:cs="宋体"/>
          <w:szCs w:val="21"/>
          <w:highlight w:val="none"/>
        </w:rPr>
        <w:t>方式二：评标委员会由技术评审组和经济评审组组成。其中：资格审查及技术评审由技术评标组负责，经济评审由经济评审组负责。</w:t>
      </w:r>
    </w:p>
    <w:p w14:paraId="40B258F1">
      <w:pPr>
        <w:pBdr>
          <w:bottom w:val="single" w:color="000000" w:sz="6" w:space="1"/>
        </w:pBdr>
        <w:spacing w:line="460" w:lineRule="exact"/>
        <w:ind w:firstLine="422" w:firstLineChars="200"/>
        <w:rPr>
          <w:rFonts w:ascii="宋体" w:hAnsi="宋体" w:cs="宋体"/>
          <w:szCs w:val="21"/>
          <w:highlight w:val="none"/>
          <w:u w:val="single"/>
        </w:rPr>
      </w:pPr>
      <w:r>
        <w:rPr>
          <w:rFonts w:hint="eastAsia" w:ascii="宋体" w:hAnsi="宋体" w:cs="宋体"/>
          <w:b/>
          <w:szCs w:val="21"/>
          <w:highlight w:val="none"/>
        </w:rPr>
        <w:t>现文：</w:t>
      </w:r>
      <w:r>
        <w:rPr>
          <w:rFonts w:ascii="宋体" w:hAnsi="宋体" w:cs="宋体"/>
          <w:szCs w:val="21"/>
          <w:highlight w:val="none"/>
        </w:rPr>
        <w:t>42.2</w:t>
      </w:r>
      <w:r>
        <w:rPr>
          <w:rFonts w:hint="eastAsia" w:ascii="宋体" w:hAnsi="宋体" w:cs="宋体"/>
          <w:szCs w:val="21"/>
          <w:highlight w:val="none"/>
        </w:rPr>
        <w:t>评标委员会的组成：方式</w:t>
      </w:r>
      <w:r>
        <w:rPr>
          <w:rFonts w:hint="eastAsia" w:ascii="宋体" w:hAnsi="宋体" w:cs="宋体"/>
          <w:szCs w:val="21"/>
          <w:highlight w:val="none"/>
          <w:u w:val="single"/>
        </w:rPr>
        <w:t>一</w:t>
      </w:r>
      <w:r>
        <w:rPr>
          <w:rFonts w:hint="eastAsia" w:ascii="宋体" w:hAnsi="宋体" w:cs="宋体"/>
          <w:szCs w:val="21"/>
          <w:highlight w:val="none"/>
        </w:rPr>
        <w:t>。</w:t>
      </w:r>
    </w:p>
    <w:p w14:paraId="08C85C29">
      <w:pPr>
        <w:pBdr>
          <w:bottom w:val="single" w:color="000000" w:sz="6" w:space="1"/>
        </w:pBdr>
        <w:spacing w:line="460" w:lineRule="exact"/>
        <w:ind w:firstLine="420" w:firstLineChars="200"/>
        <w:rPr>
          <w:rFonts w:ascii="宋体" w:hAnsi="宋体" w:cs="宋体"/>
          <w:szCs w:val="21"/>
          <w:highlight w:val="none"/>
          <w:u w:val="single"/>
        </w:rPr>
      </w:pPr>
      <w:r>
        <w:rPr>
          <w:rFonts w:hint="eastAsia" w:ascii="宋体" w:hAnsi="宋体" w:cs="宋体"/>
          <w:szCs w:val="21"/>
          <w:highlight w:val="none"/>
        </w:rPr>
        <w:t>方式一：评标委员会为综合评标委员会，负责资格审查及评标工作。</w:t>
      </w:r>
    </w:p>
    <w:p w14:paraId="4E2DD1C0">
      <w:pPr>
        <w:spacing w:line="460" w:lineRule="exact"/>
        <w:ind w:firstLine="422" w:firstLineChars="200"/>
        <w:rPr>
          <w:rFonts w:ascii="宋体" w:hAnsi="宋体" w:cs="宋体"/>
          <w:b/>
          <w:szCs w:val="21"/>
          <w:highlight w:val="none"/>
        </w:rPr>
      </w:pPr>
      <w:r>
        <w:rPr>
          <w:rFonts w:hint="eastAsia" w:ascii="宋体" w:hAnsi="宋体" w:cs="宋体"/>
          <w:b/>
          <w:szCs w:val="21"/>
          <w:highlight w:val="none"/>
        </w:rPr>
        <w:t>条款号：</w:t>
      </w:r>
      <w:r>
        <w:rPr>
          <w:rFonts w:ascii="宋体" w:hAnsi="宋体" w:cs="宋体"/>
          <w:b/>
          <w:szCs w:val="21"/>
          <w:highlight w:val="none"/>
        </w:rPr>
        <w:t>4</w:t>
      </w:r>
      <w:r>
        <w:rPr>
          <w:rFonts w:hint="eastAsia" w:ascii="宋体" w:hAnsi="宋体" w:cs="宋体"/>
          <w:b/>
          <w:szCs w:val="21"/>
          <w:highlight w:val="none"/>
        </w:rPr>
        <w:t>3</w:t>
      </w:r>
      <w:r>
        <w:rPr>
          <w:rFonts w:ascii="宋体" w:hAnsi="宋体" w:cs="宋体"/>
          <w:b/>
          <w:szCs w:val="21"/>
          <w:highlight w:val="none"/>
        </w:rPr>
        <w:t>.</w:t>
      </w:r>
      <w:r>
        <w:rPr>
          <w:rFonts w:hint="eastAsia" w:ascii="宋体" w:hAnsi="宋体" w:cs="宋体"/>
          <w:b/>
          <w:szCs w:val="21"/>
          <w:highlight w:val="none"/>
        </w:rPr>
        <w:t>1              修改类型：修改</w:t>
      </w:r>
    </w:p>
    <w:p w14:paraId="2A55F764">
      <w:pPr>
        <w:pBdr>
          <w:bottom w:val="single" w:color="000000" w:sz="6" w:space="1"/>
        </w:pBdr>
        <w:spacing w:line="460" w:lineRule="exact"/>
        <w:ind w:firstLine="422" w:firstLineChars="200"/>
        <w:rPr>
          <w:rFonts w:ascii="宋体" w:hAnsi="宋体" w:cs="宋体"/>
          <w:szCs w:val="21"/>
          <w:highlight w:val="none"/>
        </w:rPr>
      </w:pPr>
      <w:r>
        <w:rPr>
          <w:rFonts w:hint="eastAsia" w:ascii="宋体" w:hAnsi="宋体" w:cs="宋体"/>
          <w:b/>
          <w:szCs w:val="21"/>
          <w:highlight w:val="none"/>
        </w:rPr>
        <w:t>原文：</w:t>
      </w:r>
      <w:r>
        <w:rPr>
          <w:rFonts w:hint="eastAsia" w:ascii="宋体" w:hAnsi="宋体" w:cs="宋体"/>
          <w:szCs w:val="21"/>
          <w:highlight w:val="none"/>
        </w:rPr>
        <w:t>43.1</w:t>
      </w:r>
      <w:r>
        <w:rPr>
          <w:rFonts w:hint="eastAsia" w:ascii="宋体" w:hAnsi="宋体" w:cs="宋体"/>
          <w:bCs/>
          <w:szCs w:val="21"/>
          <w:highlight w:val="none"/>
        </w:rPr>
        <w:t>资格审查文件中全部符合附表一《资格审查表》中情形的，为资格审查合格；否则为资格审查不合格。如评标委员会成员的评审意见不一致时，以评标委员会过半数成员的意见作为评标委员会对该情形的认定结论。</w:t>
      </w:r>
    </w:p>
    <w:p w14:paraId="05BF4F7D">
      <w:pPr>
        <w:pBdr>
          <w:bottom w:val="single" w:color="000000" w:sz="6" w:space="1"/>
        </w:pBdr>
        <w:spacing w:line="460" w:lineRule="exact"/>
        <w:ind w:firstLine="422" w:firstLineChars="200"/>
        <w:rPr>
          <w:rFonts w:ascii="宋体" w:hAnsi="宋体" w:cs="宋体"/>
          <w:bCs/>
          <w:szCs w:val="21"/>
          <w:highlight w:val="none"/>
          <w:u w:val="single"/>
        </w:rPr>
      </w:pPr>
      <w:r>
        <w:rPr>
          <w:rFonts w:hint="eastAsia" w:ascii="宋体" w:hAnsi="宋体" w:cs="宋体"/>
          <w:b/>
          <w:szCs w:val="21"/>
          <w:highlight w:val="none"/>
        </w:rPr>
        <w:t>现文：</w:t>
      </w:r>
      <w:r>
        <w:rPr>
          <w:rFonts w:hint="eastAsia" w:ascii="宋体" w:hAnsi="宋体" w:cs="宋体"/>
          <w:szCs w:val="21"/>
          <w:highlight w:val="none"/>
        </w:rPr>
        <w:t>43.1</w:t>
      </w:r>
      <w:r>
        <w:rPr>
          <w:rFonts w:hint="eastAsia" w:ascii="宋体" w:hAnsi="宋体" w:cs="宋体"/>
          <w:bCs/>
          <w:szCs w:val="21"/>
          <w:highlight w:val="none"/>
        </w:rPr>
        <w:t>资格审查文件中全部符合附表一《资格审查表》中情形的，为资格审查合格；否则为资格审查不合格。如评标委员会成员的评审意见不一致时，以评标委员会过半数成员的意见作为评标委员会对该情形的认定结论。</w:t>
      </w:r>
      <w:r>
        <w:rPr>
          <w:rFonts w:hint="eastAsia" w:ascii="宋体" w:hAnsi="宋体" w:cs="宋体"/>
          <w:bCs/>
          <w:szCs w:val="21"/>
          <w:highlight w:val="none"/>
          <w:u w:val="single"/>
        </w:rPr>
        <w:t>评委发现资格审查文件中含义不明确、对同类问题表述不一致、有明显文字和计算错误的，应当要求投标人作必要的澄清、说明后再判定投标人是否通过资格审查，不得直接认定其不通过资格审查。</w:t>
      </w:r>
    </w:p>
    <w:p w14:paraId="308F71A6">
      <w:pPr>
        <w:spacing w:line="460" w:lineRule="exact"/>
        <w:ind w:firstLine="422" w:firstLineChars="200"/>
        <w:rPr>
          <w:rFonts w:ascii="宋体" w:hAnsi="宋体" w:cs="宋体"/>
          <w:b/>
          <w:szCs w:val="21"/>
          <w:highlight w:val="none"/>
        </w:rPr>
      </w:pPr>
      <w:r>
        <w:rPr>
          <w:rFonts w:hint="eastAsia" w:ascii="宋体" w:hAnsi="宋体" w:cs="宋体"/>
          <w:b/>
          <w:szCs w:val="21"/>
          <w:highlight w:val="none"/>
        </w:rPr>
        <w:t>条款号：44.1              修改类型：修改</w:t>
      </w:r>
    </w:p>
    <w:p w14:paraId="1D93EEB1">
      <w:pPr>
        <w:pBdr>
          <w:bottom w:val="single" w:color="000000" w:sz="6" w:space="1"/>
        </w:pBdr>
        <w:spacing w:line="460" w:lineRule="exact"/>
        <w:ind w:firstLine="422" w:firstLineChars="200"/>
        <w:rPr>
          <w:rFonts w:ascii="宋体" w:hAnsi="宋体" w:cs="宋体"/>
          <w:szCs w:val="21"/>
          <w:highlight w:val="none"/>
        </w:rPr>
      </w:pPr>
      <w:r>
        <w:rPr>
          <w:rFonts w:hint="eastAsia" w:ascii="宋体" w:hAnsi="宋体" w:cs="宋体"/>
          <w:b/>
          <w:szCs w:val="21"/>
          <w:highlight w:val="none"/>
        </w:rPr>
        <w:t>原文：</w:t>
      </w:r>
      <w:r>
        <w:rPr>
          <w:rFonts w:hint="eastAsia" w:ascii="宋体" w:hAnsi="宋体" w:cs="宋体"/>
          <w:szCs w:val="21"/>
          <w:highlight w:val="none"/>
        </w:rPr>
        <w:t>44.1</w:t>
      </w:r>
      <w:r>
        <w:rPr>
          <w:rFonts w:hint="eastAsia" w:ascii="宋体" w:hAnsi="宋体" w:cs="宋体"/>
          <w:bCs/>
          <w:kern w:val="0"/>
          <w:szCs w:val="21"/>
          <w:highlight w:val="none"/>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的评审意见不一致时，以评标委员会过半数成员的意见作为评标委员会对该情形的认定结论。若通过技术标有效性审查的投标人不足</w:t>
      </w:r>
      <w:r>
        <w:rPr>
          <w:rFonts w:ascii="宋体" w:hAnsi="宋体" w:cs="宋体"/>
          <w:bCs/>
          <w:kern w:val="0"/>
          <w:szCs w:val="21"/>
          <w:highlight w:val="none"/>
        </w:rPr>
        <w:t>3名（当N个标段同时招标且不允许兼中时，若通过技术标有效性审查投标人不足N+2名），则本项目招标失败。</w:t>
      </w:r>
    </w:p>
    <w:p w14:paraId="05407CB6">
      <w:pPr>
        <w:pBdr>
          <w:bottom w:val="single" w:color="000000" w:sz="6" w:space="1"/>
        </w:pBdr>
        <w:spacing w:line="460" w:lineRule="exact"/>
        <w:ind w:firstLine="422" w:firstLineChars="200"/>
        <w:rPr>
          <w:rFonts w:ascii="仿宋" w:hAnsi="仿宋" w:eastAsia="仿宋" w:cs="宋体"/>
          <w:b/>
          <w:bCs/>
          <w:kern w:val="0"/>
          <w:sz w:val="22"/>
          <w:highlight w:val="none"/>
          <w:u w:val="single"/>
        </w:rPr>
      </w:pPr>
      <w:r>
        <w:rPr>
          <w:rFonts w:hint="eastAsia" w:ascii="宋体" w:hAnsi="宋体" w:cs="宋体"/>
          <w:b/>
          <w:szCs w:val="21"/>
          <w:highlight w:val="none"/>
        </w:rPr>
        <w:t>现文：</w:t>
      </w:r>
      <w:r>
        <w:rPr>
          <w:rFonts w:hint="eastAsia" w:ascii="宋体" w:hAnsi="宋体" w:cs="宋体"/>
          <w:szCs w:val="21"/>
          <w:highlight w:val="none"/>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w:t>
      </w:r>
      <w:r>
        <w:rPr>
          <w:rFonts w:hint="eastAsia" w:ascii="宋体" w:hAnsi="宋体" w:cs="宋体"/>
          <w:szCs w:val="21"/>
          <w:highlight w:val="none"/>
          <w:u w:val="single"/>
        </w:rPr>
        <w:t>评委发现投标文件中含义不明确、对同类问题表述不一致、有明显文字和计算错误的，应当要求投标人作必要的澄清、说明后再判定投标人是否通过有效性审查，不得直接否决投标。</w:t>
      </w:r>
    </w:p>
    <w:p w14:paraId="24E27F35">
      <w:pPr>
        <w:spacing w:line="460" w:lineRule="exact"/>
        <w:ind w:firstLine="422" w:firstLineChars="200"/>
        <w:rPr>
          <w:rFonts w:ascii="宋体" w:hAnsi="宋体" w:cs="宋体"/>
          <w:b/>
          <w:szCs w:val="21"/>
          <w:highlight w:val="none"/>
        </w:rPr>
      </w:pPr>
      <w:r>
        <w:rPr>
          <w:rFonts w:hint="eastAsia" w:ascii="宋体" w:hAnsi="宋体" w:cs="宋体"/>
          <w:b/>
          <w:szCs w:val="21"/>
          <w:highlight w:val="none"/>
        </w:rPr>
        <w:t>条款号：</w:t>
      </w:r>
      <w:r>
        <w:rPr>
          <w:rFonts w:ascii="宋体" w:hAnsi="宋体" w:cs="宋体"/>
          <w:b/>
          <w:szCs w:val="21"/>
          <w:highlight w:val="none"/>
        </w:rPr>
        <w:t>4</w:t>
      </w:r>
      <w:r>
        <w:rPr>
          <w:rFonts w:hint="eastAsia" w:ascii="宋体" w:hAnsi="宋体" w:cs="宋体"/>
          <w:b/>
          <w:szCs w:val="21"/>
          <w:highlight w:val="none"/>
        </w:rPr>
        <w:t>5</w:t>
      </w:r>
      <w:r>
        <w:rPr>
          <w:rFonts w:ascii="宋体" w:hAnsi="宋体" w:cs="宋体"/>
          <w:b/>
          <w:szCs w:val="21"/>
          <w:highlight w:val="none"/>
        </w:rPr>
        <w:t>.</w:t>
      </w:r>
      <w:r>
        <w:rPr>
          <w:rFonts w:hint="eastAsia" w:ascii="宋体" w:hAnsi="宋体" w:cs="宋体"/>
          <w:b/>
          <w:szCs w:val="21"/>
          <w:highlight w:val="none"/>
        </w:rPr>
        <w:t>1               修改类型：修改</w:t>
      </w:r>
    </w:p>
    <w:p w14:paraId="0C7F9613">
      <w:pPr>
        <w:pStyle w:val="24"/>
        <w:tabs>
          <w:tab w:val="left" w:pos="7380"/>
        </w:tabs>
        <w:spacing w:after="0" w:line="400" w:lineRule="exact"/>
        <w:ind w:firstLine="422" w:firstLineChars="200"/>
        <w:rPr>
          <w:rFonts w:ascii="宋体" w:hAnsi="宋体" w:cs="宋体"/>
          <w:kern w:val="2"/>
          <w:sz w:val="21"/>
          <w:szCs w:val="21"/>
          <w:highlight w:val="none"/>
        </w:rPr>
      </w:pPr>
      <w:r>
        <w:rPr>
          <w:rFonts w:hint="eastAsia" w:ascii="宋体" w:hAnsi="宋体" w:cs="宋体"/>
          <w:b/>
          <w:sz w:val="21"/>
          <w:szCs w:val="21"/>
          <w:highlight w:val="none"/>
        </w:rPr>
        <w:t>原文：</w:t>
      </w:r>
      <w:r>
        <w:rPr>
          <w:rFonts w:hint="eastAsia" w:ascii="宋体" w:hAnsi="宋体"/>
          <w:kern w:val="2"/>
          <w:sz w:val="21"/>
          <w:szCs w:val="21"/>
          <w:highlight w:val="none"/>
        </w:rPr>
        <w:t>45.1</w:t>
      </w:r>
      <w:r>
        <w:rPr>
          <w:rFonts w:hint="eastAsia" w:ascii="宋体" w:hAnsi="宋体" w:cs="宋体"/>
          <w:kern w:val="2"/>
          <w:sz w:val="21"/>
          <w:szCs w:val="21"/>
          <w:highlight w:val="none"/>
        </w:rPr>
        <w:t>若通过技术标有效性审查的投标人中所有投标报价均大于等于最高投标限价*D%（D的取值范围为[94,100],由招标人自主确定）的（具体金额为：</w:t>
      </w:r>
      <w:r>
        <w:rPr>
          <w:rFonts w:hint="eastAsia" w:ascii="宋体" w:eastAsia="宋体" w:cs="宋体"/>
          <w:szCs w:val="21"/>
          <w:highlight w:val="none"/>
          <w:u w:val="single"/>
          <w:lang w:bidi="ar-SA"/>
        </w:rPr>
        <w:t xml:space="preserve">      </w:t>
      </w:r>
      <w:r>
        <w:rPr>
          <w:rFonts w:hint="eastAsia" w:ascii="宋体" w:hAnsi="宋体" w:cs="宋体"/>
          <w:kern w:val="2"/>
          <w:sz w:val="21"/>
          <w:szCs w:val="21"/>
          <w:highlight w:val="none"/>
        </w:rPr>
        <w:t>元），则本项目招标失败，由招标人依法重新招标。</w:t>
      </w:r>
    </w:p>
    <w:p w14:paraId="76F2043A">
      <w:pPr>
        <w:pBdr>
          <w:bottom w:val="single" w:color="000000" w:sz="6" w:space="1"/>
        </w:pBdr>
        <w:spacing w:line="460" w:lineRule="exact"/>
        <w:ind w:firstLine="422" w:firstLineChars="200"/>
        <w:rPr>
          <w:rFonts w:ascii="宋体" w:hAnsi="宋体" w:cs="宋体"/>
          <w:bCs/>
          <w:szCs w:val="21"/>
          <w:highlight w:val="none"/>
          <w:u w:val="single"/>
        </w:rPr>
      </w:pPr>
      <w:r>
        <w:rPr>
          <w:rFonts w:hint="eastAsia" w:ascii="宋体" w:hAnsi="宋体" w:cs="宋体"/>
          <w:b/>
          <w:szCs w:val="21"/>
          <w:highlight w:val="none"/>
        </w:rPr>
        <w:t>现文：</w:t>
      </w:r>
      <w:r>
        <w:rPr>
          <w:rFonts w:hint="eastAsia" w:ascii="宋体" w:hAnsi="宋体" w:cs="宋体"/>
          <w:szCs w:val="21"/>
          <w:highlight w:val="none"/>
        </w:rPr>
        <w:t>45.1若通过技术标有效性审查的投标人中所有投标报价均大于等于最高投标限价，则本项目招标失败，由招标人依法重新招标。</w:t>
      </w:r>
    </w:p>
    <w:p w14:paraId="7CAA46C7">
      <w:pPr>
        <w:spacing w:line="460" w:lineRule="exact"/>
        <w:ind w:firstLine="422" w:firstLineChars="200"/>
        <w:rPr>
          <w:rFonts w:ascii="宋体" w:hAnsi="宋体" w:cs="宋体"/>
          <w:b/>
          <w:szCs w:val="21"/>
          <w:highlight w:val="none"/>
        </w:rPr>
      </w:pPr>
      <w:r>
        <w:rPr>
          <w:rFonts w:hint="eastAsia" w:ascii="宋体" w:hAnsi="宋体" w:cs="宋体"/>
          <w:b/>
          <w:szCs w:val="21"/>
          <w:highlight w:val="none"/>
        </w:rPr>
        <w:t>条款号：45.2修改类型：修改</w:t>
      </w:r>
    </w:p>
    <w:p w14:paraId="21D542F9">
      <w:pPr>
        <w:spacing w:line="360" w:lineRule="auto"/>
        <w:ind w:firstLine="422" w:firstLineChars="200"/>
        <w:rPr>
          <w:rFonts w:ascii="宋体" w:hAnsi="宋体"/>
          <w:szCs w:val="21"/>
          <w:highlight w:val="none"/>
        </w:rPr>
      </w:pPr>
      <w:r>
        <w:rPr>
          <w:rFonts w:hint="eastAsia" w:ascii="宋体" w:hAnsi="宋体" w:cs="宋体"/>
          <w:b/>
          <w:szCs w:val="21"/>
          <w:highlight w:val="none"/>
        </w:rPr>
        <w:t>原文：</w:t>
      </w:r>
      <w:r>
        <w:rPr>
          <w:rFonts w:hint="eastAsia" w:ascii="宋体" w:hAnsi="宋体"/>
          <w:szCs w:val="21"/>
          <w:highlight w:val="none"/>
        </w:rPr>
        <w:t>45.2按方法</w:t>
      </w:r>
      <w:r>
        <w:rPr>
          <w:rFonts w:hint="eastAsia" w:ascii="宋体" w:cs="宋体"/>
          <w:szCs w:val="21"/>
          <w:highlight w:val="none"/>
          <w:u w:val="single"/>
          <w:lang w:bidi="ar-SA"/>
        </w:rPr>
        <w:t xml:space="preserve">    </w:t>
      </w:r>
      <w:r>
        <w:rPr>
          <w:rFonts w:hint="eastAsia" w:ascii="宋体" w:hAnsi="宋体"/>
          <w:szCs w:val="21"/>
          <w:highlight w:val="none"/>
        </w:rPr>
        <w:t>计算评标参考价：</w:t>
      </w:r>
    </w:p>
    <w:p w14:paraId="5F21FC1B">
      <w:pPr>
        <w:spacing w:line="360" w:lineRule="auto"/>
        <w:ind w:firstLine="422" w:firstLineChars="200"/>
        <w:rPr>
          <w:rFonts w:ascii="宋体" w:hAnsi="宋体"/>
          <w:b/>
          <w:bCs/>
          <w:kern w:val="0"/>
          <w:szCs w:val="21"/>
          <w:highlight w:val="none"/>
        </w:rPr>
      </w:pPr>
      <w:r>
        <w:rPr>
          <w:rFonts w:hint="eastAsia" w:ascii="宋体" w:hAnsi="宋体" w:cs="仿宋"/>
          <w:b/>
          <w:bCs/>
          <w:kern w:val="0"/>
          <w:szCs w:val="21"/>
          <w:highlight w:val="none"/>
        </w:rPr>
        <w:t>方法一：加权平均法</w:t>
      </w:r>
    </w:p>
    <w:p w14:paraId="600342A9">
      <w:pPr>
        <w:spacing w:line="360" w:lineRule="auto"/>
        <w:ind w:firstLine="420" w:firstLineChars="200"/>
        <w:rPr>
          <w:rFonts w:ascii="宋体" w:hAnsi="宋体" w:cs="仿宋"/>
          <w:szCs w:val="21"/>
          <w:highlight w:val="none"/>
        </w:rPr>
      </w:pPr>
      <w:r>
        <w:rPr>
          <w:rFonts w:hint="eastAsia" w:ascii="宋体" w:hAnsi="宋体" w:cs="仿宋"/>
          <w:szCs w:val="21"/>
          <w:highlight w:val="none"/>
        </w:rPr>
        <w:t>技术标或技术标加诚信得分（具体由招标人自定）前</w:t>
      </w:r>
      <w:r>
        <w:rPr>
          <w:rFonts w:ascii="宋体" w:hAnsi="宋体" w:cs="仿宋"/>
          <w:szCs w:val="21"/>
          <w:highlight w:val="none"/>
        </w:rPr>
        <w:t>N</w:t>
      </w:r>
      <w:r>
        <w:rPr>
          <w:rFonts w:hint="eastAsia" w:ascii="宋体" w:hAnsi="宋体" w:cs="仿宋"/>
          <w:szCs w:val="21"/>
          <w:highlight w:val="none"/>
        </w:rPr>
        <w:t>名（N≥5，具体由招标人自定）的经济报价加权平均，计算评标参考价。公式如下：</w:t>
      </w:r>
    </w:p>
    <w:p w14:paraId="16D35091">
      <w:pPr>
        <w:spacing w:line="360" w:lineRule="auto"/>
        <w:ind w:firstLine="420" w:firstLineChars="200"/>
        <w:rPr>
          <w:rFonts w:ascii="宋体" w:hAnsi="宋体" w:cs="仿宋"/>
          <w:szCs w:val="21"/>
          <w:highlight w:val="none"/>
        </w:rPr>
      </w:pPr>
      <w:r>
        <w:rPr>
          <w:rFonts w:hint="eastAsia" w:ascii="宋体" w:hAnsi="宋体" w:cs="仿宋"/>
          <w:szCs w:val="21"/>
          <w:highlight w:val="none"/>
        </w:rPr>
        <w:t>评标参考价</w:t>
      </w:r>
      <w:r>
        <w:rPr>
          <w:rFonts w:ascii="宋体" w:hAnsi="宋体" w:cs="仿宋"/>
          <w:szCs w:val="21"/>
          <w:highlight w:val="none"/>
        </w:rPr>
        <w:t>=</w:t>
      </w:r>
      <w:r>
        <w:rPr>
          <w:rFonts w:hint="eastAsia" w:ascii="宋体" w:hAnsi="宋体" w:cs="仿宋"/>
          <w:szCs w:val="21"/>
          <w:highlight w:val="none"/>
        </w:rPr>
        <w:t>Σ（投标人的投标报价</w:t>
      </w:r>
      <w:r>
        <w:rPr>
          <w:rFonts w:ascii="宋体" w:hAnsi="宋体" w:cs="仿宋"/>
          <w:szCs w:val="21"/>
          <w:highlight w:val="none"/>
        </w:rPr>
        <w:t>*</w:t>
      </w:r>
      <w:r>
        <w:rPr>
          <w:rFonts w:hint="eastAsia" w:ascii="宋体" w:hAnsi="宋体" w:cs="仿宋"/>
          <w:szCs w:val="21"/>
          <w:highlight w:val="none"/>
        </w:rPr>
        <w:t>报价权重）。</w:t>
      </w:r>
    </w:p>
    <w:p w14:paraId="3A8495B6">
      <w:pPr>
        <w:spacing w:line="360" w:lineRule="auto"/>
        <w:ind w:firstLine="420" w:firstLineChars="200"/>
        <w:rPr>
          <w:rFonts w:ascii="宋体" w:hAnsi="宋体" w:cs="仿宋"/>
          <w:szCs w:val="21"/>
          <w:highlight w:val="none"/>
        </w:rPr>
      </w:pPr>
      <w:r>
        <w:rPr>
          <w:rFonts w:hint="eastAsia" w:ascii="宋体" w:hAnsi="宋体" w:cs="仿宋"/>
          <w:szCs w:val="21"/>
          <w:highlight w:val="none"/>
        </w:rPr>
        <w:t>其中：报价权重的计算方法为：将</w:t>
      </w:r>
      <w:r>
        <w:rPr>
          <w:rFonts w:ascii="宋体" w:hAnsi="宋体" w:cs="仿宋"/>
          <w:szCs w:val="21"/>
          <w:highlight w:val="none"/>
        </w:rPr>
        <w:t>N</w:t>
      </w:r>
      <w:r>
        <w:rPr>
          <w:rFonts w:hint="eastAsia" w:ascii="宋体" w:hAnsi="宋体" w:cs="仿宋"/>
          <w:szCs w:val="21"/>
          <w:highlight w:val="none"/>
        </w:rPr>
        <w:t>名投标人按技术分由高至低进行排序，第一名投标人的权重为（</w:t>
      </w:r>
      <w:r>
        <w:rPr>
          <w:rFonts w:ascii="宋体" w:hAnsi="宋体" w:cs="仿宋"/>
          <w:szCs w:val="21"/>
          <w:highlight w:val="none"/>
        </w:rPr>
        <w:fldChar w:fldCharType="begin"/>
      </w:r>
      <w:r>
        <w:rPr>
          <w:rFonts w:ascii="宋体" w:hAnsi="宋体" w:cs="仿宋"/>
          <w:szCs w:val="21"/>
          <w:highlight w:val="none"/>
        </w:rPr>
        <w:instrText xml:space="preserve">QUOTE </w:instrText>
      </w:r>
      <w:r>
        <w:rPr>
          <w:rFonts w:ascii="宋体" w:hAnsi="宋体"/>
          <w:szCs w:val="21"/>
          <w:highlight w:val="none"/>
        </w:rPr>
        <w:drawing>
          <wp:inline distT="0" distB="0" distL="114300" distR="114300">
            <wp:extent cx="381000" cy="447675"/>
            <wp:effectExtent l="0" t="0" r="0" b="8889"/>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19">
                      <a:clrChange>
                        <a:clrFrom>
                          <a:srgbClr val="FFFFFF"/>
                        </a:clrFrom>
                        <a:clrTo>
                          <a:srgbClr val="FFFFFF">
                            <a:alpha val="0"/>
                          </a:srgbClr>
                        </a:clrTo>
                      </a:clrChange>
                    </a:blip>
                    <a:stretch>
                      <a:fillRect/>
                    </a:stretch>
                  </pic:blipFill>
                  <pic:spPr>
                    <a:xfrm>
                      <a:off x="0" y="0"/>
                      <a:ext cx="381000" cy="447675"/>
                    </a:xfrm>
                    <a:prstGeom prst="rect">
                      <a:avLst/>
                    </a:prstGeom>
                    <a:noFill/>
                    <a:ln cap="flat" cmpd="sng">
                      <a:noFill/>
                      <a:prstDash val="solid"/>
                      <a:round/>
                    </a:ln>
                  </pic:spPr>
                </pic:pic>
              </a:graphicData>
            </a:graphic>
          </wp:inline>
        </w:drawing>
      </w:r>
      <w:r>
        <w:rPr>
          <w:rFonts w:ascii="宋体" w:hAnsi="宋体" w:cs="仿宋"/>
          <w:szCs w:val="21"/>
          <w:highlight w:val="none"/>
        </w:rPr>
        <w:fldChar w:fldCharType="separate"/>
      </w:r>
      <w:r>
        <w:rPr>
          <w:rFonts w:ascii="宋体" w:hAnsi="宋体"/>
          <w:szCs w:val="21"/>
          <w:highlight w:val="none"/>
        </w:rPr>
        <w:drawing>
          <wp:inline distT="0" distB="0" distL="114300" distR="114300">
            <wp:extent cx="381000" cy="447675"/>
            <wp:effectExtent l="0" t="0" r="0" b="8889"/>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9">
                      <a:clrChange>
                        <a:clrFrom>
                          <a:srgbClr val="FFFFFF"/>
                        </a:clrFrom>
                        <a:clrTo>
                          <a:srgbClr val="FFFFFF">
                            <a:alpha val="0"/>
                          </a:srgbClr>
                        </a:clrTo>
                      </a:clrChange>
                    </a:blip>
                    <a:stretch>
                      <a:fillRect/>
                    </a:stretch>
                  </pic:blipFill>
                  <pic:spPr>
                    <a:xfrm>
                      <a:off x="0" y="0"/>
                      <a:ext cx="381000" cy="447675"/>
                    </a:xfrm>
                    <a:prstGeom prst="rect">
                      <a:avLst/>
                    </a:prstGeom>
                    <a:noFill/>
                    <a:ln cap="flat" cmpd="sng">
                      <a:noFill/>
                      <a:prstDash val="solid"/>
                      <a:round/>
                    </a:ln>
                  </pic:spPr>
                </pic:pic>
              </a:graphicData>
            </a:graphic>
          </wp:inline>
        </w:drawing>
      </w:r>
      <w:r>
        <w:rPr>
          <w:rFonts w:ascii="宋体" w:hAnsi="宋体" w:cs="仿宋"/>
          <w:szCs w:val="21"/>
          <w:highlight w:val="none"/>
        </w:rPr>
        <w:fldChar w:fldCharType="end"/>
      </w:r>
      <w:r>
        <w:rPr>
          <w:rFonts w:hint="eastAsia" w:ascii="宋体" w:hAnsi="宋体" w:cs="仿宋"/>
          <w:szCs w:val="21"/>
          <w:highlight w:val="none"/>
        </w:rPr>
        <w:t>），第二名投标人的权重为（</w:t>
      </w:r>
      <w:r>
        <w:rPr>
          <w:rFonts w:ascii="宋体" w:hAnsi="宋体" w:cs="仿宋"/>
          <w:szCs w:val="21"/>
          <w:highlight w:val="none"/>
        </w:rPr>
        <w:fldChar w:fldCharType="begin"/>
      </w:r>
      <w:r>
        <w:rPr>
          <w:rFonts w:ascii="宋体" w:hAnsi="宋体" w:cs="仿宋"/>
          <w:szCs w:val="21"/>
          <w:highlight w:val="none"/>
        </w:rPr>
        <w:instrText xml:space="preserve">QUOTE </w:instrText>
      </w:r>
      <w:r>
        <w:rPr>
          <w:rFonts w:ascii="宋体" w:hAnsi="宋体"/>
          <w:position w:val="-23"/>
          <w:szCs w:val="21"/>
          <w:highlight w:val="none"/>
        </w:rPr>
        <w:drawing>
          <wp:inline distT="0" distB="0" distL="114300" distR="114300">
            <wp:extent cx="323850" cy="40005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20">
                      <a:clrChange>
                        <a:clrFrom>
                          <a:srgbClr val="FFFFFF"/>
                        </a:clrFrom>
                        <a:clrTo>
                          <a:srgbClr val="FFFFFF">
                            <a:alpha val="0"/>
                          </a:srgbClr>
                        </a:clrTo>
                      </a:clrChange>
                    </a:blip>
                    <a:stretch>
                      <a:fillRect/>
                    </a:stretch>
                  </pic:blipFill>
                  <pic:spPr>
                    <a:xfrm>
                      <a:off x="0" y="0"/>
                      <a:ext cx="323850" cy="400050"/>
                    </a:xfrm>
                    <a:prstGeom prst="rect">
                      <a:avLst/>
                    </a:prstGeom>
                    <a:noFill/>
                    <a:ln cap="flat" cmpd="sng">
                      <a:noFill/>
                      <a:prstDash val="solid"/>
                      <a:round/>
                    </a:ln>
                  </pic:spPr>
                </pic:pic>
              </a:graphicData>
            </a:graphic>
          </wp:inline>
        </w:drawing>
      </w:r>
      <w:r>
        <w:rPr>
          <w:rFonts w:ascii="宋体" w:hAnsi="宋体" w:cs="仿宋"/>
          <w:szCs w:val="21"/>
          <w:highlight w:val="none"/>
        </w:rPr>
        <w:fldChar w:fldCharType="separate"/>
      </w:r>
      <w:r>
        <w:rPr>
          <w:rFonts w:ascii="宋体" w:hAnsi="宋体"/>
          <w:position w:val="-23"/>
          <w:szCs w:val="21"/>
          <w:highlight w:val="none"/>
        </w:rPr>
        <w:drawing>
          <wp:inline distT="0" distB="0" distL="114300" distR="114300">
            <wp:extent cx="323850" cy="40005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20">
                      <a:clrChange>
                        <a:clrFrom>
                          <a:srgbClr val="FFFFFF"/>
                        </a:clrFrom>
                        <a:clrTo>
                          <a:srgbClr val="FFFFFF">
                            <a:alpha val="0"/>
                          </a:srgbClr>
                        </a:clrTo>
                      </a:clrChange>
                    </a:blip>
                    <a:stretch>
                      <a:fillRect/>
                    </a:stretch>
                  </pic:blipFill>
                  <pic:spPr>
                    <a:xfrm>
                      <a:off x="0" y="0"/>
                      <a:ext cx="323850" cy="400050"/>
                    </a:xfrm>
                    <a:prstGeom prst="rect">
                      <a:avLst/>
                    </a:prstGeom>
                    <a:noFill/>
                    <a:ln cap="flat" cmpd="sng">
                      <a:noFill/>
                      <a:prstDash val="solid"/>
                      <a:round/>
                    </a:ln>
                  </pic:spPr>
                </pic:pic>
              </a:graphicData>
            </a:graphic>
          </wp:inline>
        </w:drawing>
      </w:r>
      <w:r>
        <w:rPr>
          <w:rFonts w:ascii="宋体" w:hAnsi="宋体" w:cs="仿宋"/>
          <w:szCs w:val="21"/>
          <w:highlight w:val="none"/>
        </w:rPr>
        <w:fldChar w:fldCharType="end"/>
      </w:r>
      <w:r>
        <w:rPr>
          <w:rFonts w:hint="eastAsia" w:ascii="宋体" w:hAnsi="宋体" w:cs="仿宋"/>
          <w:szCs w:val="21"/>
          <w:highlight w:val="none"/>
        </w:rPr>
        <w:t>），以此类推，最后一名投标人的权重为（</w:t>
      </w:r>
      <w:r>
        <w:rPr>
          <w:rFonts w:ascii="宋体" w:hAnsi="宋体" w:cs="仿宋"/>
          <w:szCs w:val="21"/>
          <w:highlight w:val="none"/>
        </w:rPr>
        <w:fldChar w:fldCharType="begin"/>
      </w:r>
      <w:r>
        <w:rPr>
          <w:rFonts w:ascii="宋体" w:hAnsi="宋体" w:cs="仿宋"/>
          <w:szCs w:val="21"/>
          <w:highlight w:val="none"/>
        </w:rPr>
        <w:instrText xml:space="preserve">QUOTE </w:instrText>
      </w:r>
      <w:r>
        <w:rPr>
          <w:rFonts w:ascii="宋体" w:hAnsi="宋体"/>
          <w:position w:val="-23"/>
          <w:szCs w:val="21"/>
          <w:highlight w:val="none"/>
        </w:rPr>
        <w:drawing>
          <wp:inline distT="0" distB="0" distL="114300" distR="114300">
            <wp:extent cx="323850" cy="40005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21">
                      <a:clrChange>
                        <a:clrFrom>
                          <a:srgbClr val="FFFFFF"/>
                        </a:clrFrom>
                        <a:clrTo>
                          <a:srgbClr val="FFFFFF">
                            <a:alpha val="0"/>
                          </a:srgbClr>
                        </a:clrTo>
                      </a:clrChange>
                    </a:blip>
                    <a:stretch>
                      <a:fillRect/>
                    </a:stretch>
                  </pic:blipFill>
                  <pic:spPr>
                    <a:xfrm>
                      <a:off x="0" y="0"/>
                      <a:ext cx="323850" cy="400050"/>
                    </a:xfrm>
                    <a:prstGeom prst="rect">
                      <a:avLst/>
                    </a:prstGeom>
                    <a:noFill/>
                    <a:ln cap="flat" cmpd="sng">
                      <a:noFill/>
                      <a:prstDash val="solid"/>
                      <a:round/>
                    </a:ln>
                  </pic:spPr>
                </pic:pic>
              </a:graphicData>
            </a:graphic>
          </wp:inline>
        </w:drawing>
      </w:r>
      <w:r>
        <w:rPr>
          <w:rFonts w:ascii="宋体" w:hAnsi="宋体" w:cs="仿宋"/>
          <w:szCs w:val="21"/>
          <w:highlight w:val="none"/>
        </w:rPr>
        <w:fldChar w:fldCharType="separate"/>
      </w:r>
      <w:r>
        <w:rPr>
          <w:rFonts w:ascii="宋体" w:hAnsi="宋体"/>
          <w:position w:val="-23"/>
          <w:szCs w:val="21"/>
          <w:highlight w:val="none"/>
        </w:rPr>
        <w:drawing>
          <wp:inline distT="0" distB="0" distL="114300" distR="114300">
            <wp:extent cx="323850" cy="40005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21">
                      <a:clrChange>
                        <a:clrFrom>
                          <a:srgbClr val="FFFFFF"/>
                        </a:clrFrom>
                        <a:clrTo>
                          <a:srgbClr val="FFFFFF">
                            <a:alpha val="0"/>
                          </a:srgbClr>
                        </a:clrTo>
                      </a:clrChange>
                    </a:blip>
                    <a:stretch>
                      <a:fillRect/>
                    </a:stretch>
                  </pic:blipFill>
                  <pic:spPr>
                    <a:xfrm>
                      <a:off x="0" y="0"/>
                      <a:ext cx="323850" cy="400050"/>
                    </a:xfrm>
                    <a:prstGeom prst="rect">
                      <a:avLst/>
                    </a:prstGeom>
                    <a:noFill/>
                    <a:ln cap="flat" cmpd="sng">
                      <a:noFill/>
                      <a:prstDash val="solid"/>
                      <a:round/>
                    </a:ln>
                  </pic:spPr>
                </pic:pic>
              </a:graphicData>
            </a:graphic>
          </wp:inline>
        </w:drawing>
      </w:r>
      <w:r>
        <w:rPr>
          <w:rFonts w:ascii="宋体" w:hAnsi="宋体" w:cs="仿宋"/>
          <w:szCs w:val="21"/>
          <w:highlight w:val="none"/>
        </w:rPr>
        <w:fldChar w:fldCharType="end"/>
      </w:r>
      <w:r>
        <w:rPr>
          <w:rFonts w:hint="eastAsia" w:ascii="宋体" w:hAnsi="宋体" w:cs="仿宋"/>
          <w:szCs w:val="21"/>
          <w:highlight w:val="none"/>
        </w:rPr>
        <w:t>）。</w:t>
      </w:r>
    </w:p>
    <w:p w14:paraId="2265D244">
      <w:pPr>
        <w:spacing w:line="360" w:lineRule="auto"/>
        <w:ind w:firstLine="422" w:firstLineChars="200"/>
        <w:rPr>
          <w:rFonts w:ascii="宋体" w:hAnsi="宋体"/>
          <w:b/>
          <w:bCs/>
          <w:kern w:val="0"/>
          <w:szCs w:val="21"/>
          <w:highlight w:val="none"/>
        </w:rPr>
      </w:pPr>
      <w:r>
        <w:rPr>
          <w:rFonts w:hint="eastAsia" w:ascii="宋体" w:hAnsi="宋体" w:cs="仿宋"/>
          <w:b/>
          <w:bCs/>
          <w:kern w:val="0"/>
          <w:szCs w:val="21"/>
          <w:highlight w:val="none"/>
        </w:rPr>
        <w:t>方法二：区间抽取法</w:t>
      </w:r>
    </w:p>
    <w:p w14:paraId="723AA413">
      <w:pPr>
        <w:snapToGrid w:val="0"/>
        <w:spacing w:line="360" w:lineRule="auto"/>
        <w:ind w:firstLine="420" w:firstLineChars="200"/>
        <w:rPr>
          <w:rFonts w:ascii="宋体" w:hAnsi="宋体"/>
          <w:kern w:val="0"/>
          <w:szCs w:val="21"/>
          <w:highlight w:val="none"/>
        </w:rPr>
      </w:pPr>
      <w:r>
        <w:rPr>
          <w:rFonts w:hint="eastAsia" w:ascii="宋体" w:hAnsi="宋体" w:cs="仿宋"/>
          <w:szCs w:val="21"/>
          <w:highlight w:val="none"/>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2EC47628">
      <w:pPr>
        <w:snapToGrid w:val="0"/>
        <w:spacing w:line="360" w:lineRule="auto"/>
        <w:ind w:firstLine="420" w:firstLineChars="200"/>
        <w:rPr>
          <w:rFonts w:ascii="宋体" w:hAnsi="宋体"/>
          <w:kern w:val="0"/>
          <w:szCs w:val="21"/>
          <w:highlight w:val="none"/>
          <w:vertAlign w:val="subscript"/>
        </w:rPr>
      </w:pPr>
      <w:r>
        <w:rPr>
          <w:rFonts w:hint="eastAsia" w:ascii="宋体" w:hAnsi="宋体" w:cs="仿宋"/>
          <w:kern w:val="0"/>
          <w:szCs w:val="21"/>
          <w:highlight w:val="none"/>
        </w:rPr>
        <w:t>评标参考价</w:t>
      </w:r>
      <w:r>
        <w:rPr>
          <w:rFonts w:ascii="宋体" w:hAnsi="宋体" w:cs="仿宋"/>
          <w:kern w:val="0"/>
          <w:szCs w:val="21"/>
          <w:highlight w:val="none"/>
        </w:rPr>
        <w:t>=</w:t>
      </w:r>
      <w:r>
        <w:rPr>
          <w:rFonts w:hint="eastAsia" w:ascii="宋体" w:hAnsi="宋体" w:cs="仿宋"/>
          <w:kern w:val="0"/>
          <w:szCs w:val="21"/>
          <w:highlight w:val="none"/>
        </w:rPr>
        <w:t>（</w:t>
      </w:r>
      <w:r>
        <w:rPr>
          <w:rFonts w:ascii="宋体" w:hAnsi="宋体" w:cs="仿宋"/>
          <w:kern w:val="0"/>
          <w:szCs w:val="21"/>
          <w:highlight w:val="none"/>
        </w:rPr>
        <w:t>Q</w:t>
      </w:r>
      <w:r>
        <w:rPr>
          <w:rFonts w:hint="eastAsia" w:ascii="宋体" w:hAnsi="宋体" w:cs="仿宋"/>
          <w:kern w:val="0"/>
          <w:szCs w:val="21"/>
          <w:highlight w:val="none"/>
          <w:vertAlign w:val="subscript"/>
        </w:rPr>
        <w:t>高</w:t>
      </w:r>
      <w:r>
        <w:rPr>
          <w:rFonts w:ascii="宋体" w:hAnsi="宋体" w:cs="仿宋"/>
          <w:kern w:val="0"/>
          <w:szCs w:val="21"/>
          <w:highlight w:val="none"/>
        </w:rPr>
        <w:t>-Q</w:t>
      </w:r>
      <w:r>
        <w:rPr>
          <w:rFonts w:hint="eastAsia" w:ascii="宋体" w:hAnsi="宋体" w:cs="仿宋"/>
          <w:kern w:val="0"/>
          <w:szCs w:val="21"/>
          <w:highlight w:val="none"/>
          <w:vertAlign w:val="subscript"/>
        </w:rPr>
        <w:t>低</w:t>
      </w:r>
      <w:r>
        <w:rPr>
          <w:rFonts w:hint="eastAsia" w:ascii="宋体" w:hAnsi="宋体" w:cs="仿宋"/>
          <w:kern w:val="0"/>
          <w:szCs w:val="21"/>
          <w:highlight w:val="none"/>
        </w:rPr>
        <w:t>）</w:t>
      </w:r>
      <w:r>
        <w:rPr>
          <w:rFonts w:ascii="宋体" w:hAnsi="宋体" w:cs="仿宋"/>
          <w:kern w:val="0"/>
          <w:szCs w:val="21"/>
          <w:highlight w:val="none"/>
        </w:rPr>
        <w:t>/100*</w:t>
      </w:r>
      <w:r>
        <w:rPr>
          <w:rFonts w:hint="eastAsia" w:ascii="宋体" w:hAnsi="宋体" w:cs="仿宋"/>
          <w:kern w:val="0"/>
          <w:szCs w:val="21"/>
          <w:highlight w:val="none"/>
        </w:rPr>
        <w:t>Ｘ</w:t>
      </w:r>
      <w:r>
        <w:rPr>
          <w:rFonts w:ascii="宋体" w:hAnsi="宋体" w:cs="仿宋"/>
          <w:kern w:val="0"/>
          <w:szCs w:val="21"/>
          <w:highlight w:val="none"/>
        </w:rPr>
        <w:t>+Q</w:t>
      </w:r>
      <w:r>
        <w:rPr>
          <w:rFonts w:hint="eastAsia" w:ascii="宋体" w:hAnsi="宋体" w:cs="仿宋"/>
          <w:kern w:val="0"/>
          <w:szCs w:val="21"/>
          <w:highlight w:val="none"/>
          <w:vertAlign w:val="subscript"/>
        </w:rPr>
        <w:t>低</w:t>
      </w:r>
    </w:p>
    <w:p w14:paraId="238FFDC9">
      <w:pPr>
        <w:snapToGrid w:val="0"/>
        <w:spacing w:line="360" w:lineRule="auto"/>
        <w:ind w:firstLine="420" w:firstLineChars="200"/>
        <w:rPr>
          <w:rFonts w:ascii="宋体" w:hAnsi="宋体"/>
          <w:szCs w:val="21"/>
          <w:highlight w:val="none"/>
        </w:rPr>
      </w:pPr>
      <w:r>
        <w:rPr>
          <w:rFonts w:ascii="宋体" w:hAnsi="宋体" w:cs="仿宋"/>
          <w:szCs w:val="21"/>
          <w:highlight w:val="none"/>
        </w:rPr>
        <w:t>Q</w:t>
      </w:r>
      <w:r>
        <w:rPr>
          <w:rFonts w:hint="eastAsia" w:ascii="宋体" w:hAnsi="宋体" w:cs="仿宋"/>
          <w:szCs w:val="21"/>
          <w:highlight w:val="none"/>
          <w:vertAlign w:val="subscript"/>
        </w:rPr>
        <w:t>低</w:t>
      </w:r>
      <w:r>
        <w:rPr>
          <w:rFonts w:hint="eastAsia" w:ascii="宋体" w:hAnsi="宋体" w:cs="仿宋"/>
          <w:szCs w:val="21"/>
          <w:highlight w:val="none"/>
        </w:rPr>
        <w:t>：为达到或超过技术标及格分数线的投标人最低报价与工程成本警示价两者中的较高值；</w:t>
      </w:r>
    </w:p>
    <w:p w14:paraId="543A6976">
      <w:pPr>
        <w:spacing w:line="360" w:lineRule="auto"/>
        <w:ind w:firstLine="420" w:firstLineChars="200"/>
        <w:rPr>
          <w:rFonts w:ascii="宋体" w:hAnsi="宋体" w:cs="仿宋"/>
          <w:szCs w:val="21"/>
          <w:highlight w:val="none"/>
        </w:rPr>
      </w:pPr>
      <w:r>
        <w:rPr>
          <w:rFonts w:ascii="宋体" w:hAnsi="宋体" w:cs="仿宋"/>
          <w:kern w:val="0"/>
          <w:szCs w:val="21"/>
          <w:highlight w:val="none"/>
        </w:rPr>
        <w:t>Q</w:t>
      </w:r>
      <w:r>
        <w:rPr>
          <w:rFonts w:hint="eastAsia" w:ascii="宋体" w:hAnsi="宋体" w:cs="仿宋"/>
          <w:kern w:val="0"/>
          <w:szCs w:val="21"/>
          <w:highlight w:val="none"/>
          <w:vertAlign w:val="subscript"/>
        </w:rPr>
        <w:t>高</w:t>
      </w:r>
      <w:r>
        <w:rPr>
          <w:rFonts w:hint="eastAsia" w:ascii="宋体" w:hAnsi="宋体" w:cs="仿宋"/>
          <w:szCs w:val="21"/>
          <w:highlight w:val="none"/>
        </w:rPr>
        <w:t>：为（最高投标限价</w:t>
      </w:r>
      <w:r>
        <w:rPr>
          <w:rFonts w:ascii="宋体" w:hAnsi="宋体" w:cs="仿宋"/>
          <w:szCs w:val="21"/>
          <w:highlight w:val="none"/>
        </w:rPr>
        <w:t>*D%</w:t>
      </w:r>
      <w:r>
        <w:rPr>
          <w:rFonts w:hint="eastAsia" w:ascii="宋体" w:hAnsi="宋体" w:cs="仿宋"/>
          <w:szCs w:val="21"/>
          <w:highlight w:val="none"/>
        </w:rPr>
        <w:t>）（</w:t>
      </w:r>
      <w:r>
        <w:rPr>
          <w:rFonts w:ascii="宋体" w:hAnsi="宋体" w:cs="仿宋"/>
          <w:szCs w:val="21"/>
          <w:highlight w:val="none"/>
        </w:rPr>
        <w:t>D</w:t>
      </w:r>
      <w:r>
        <w:rPr>
          <w:rFonts w:hint="eastAsia" w:ascii="宋体" w:hAnsi="宋体" w:cs="仿宋"/>
          <w:szCs w:val="21"/>
          <w:highlight w:val="none"/>
        </w:rPr>
        <w:t>的取值范围为</w:t>
      </w:r>
      <w:r>
        <w:rPr>
          <w:rFonts w:ascii="宋体" w:hAnsi="宋体" w:cs="仿宋"/>
          <w:szCs w:val="21"/>
          <w:highlight w:val="none"/>
        </w:rPr>
        <w:t>[94,100],</w:t>
      </w:r>
      <w:r>
        <w:rPr>
          <w:rFonts w:hint="eastAsia" w:ascii="宋体" w:hAnsi="宋体" w:cs="仿宋"/>
          <w:szCs w:val="21"/>
          <w:highlight w:val="none"/>
        </w:rPr>
        <w:t>由招标人自定）</w:t>
      </w:r>
    </w:p>
    <w:p w14:paraId="0F4CD237">
      <w:pPr>
        <w:spacing w:line="460" w:lineRule="exact"/>
        <w:ind w:firstLine="420" w:firstLineChars="200"/>
        <w:rPr>
          <w:rFonts w:ascii="宋体" w:hAnsi="宋体" w:cs="宋体"/>
          <w:szCs w:val="21"/>
          <w:highlight w:val="none"/>
        </w:rPr>
      </w:pPr>
      <w:r>
        <w:rPr>
          <w:rFonts w:ascii="宋体" w:hAnsi="宋体" w:cs="仿宋"/>
          <w:szCs w:val="21"/>
          <w:highlight w:val="none"/>
        </w:rPr>
        <w:t>X:</w:t>
      </w:r>
      <w:r>
        <w:rPr>
          <w:rFonts w:hint="eastAsia" w:ascii="宋体" w:hAnsi="宋体" w:cs="仿宋"/>
          <w:szCs w:val="21"/>
          <w:highlight w:val="none"/>
        </w:rPr>
        <w:t>为等分点值，在开标前从</w:t>
      </w:r>
      <w:r>
        <w:rPr>
          <w:rFonts w:ascii="宋体" w:hAnsi="宋体" w:cs="仿宋"/>
          <w:szCs w:val="21"/>
          <w:highlight w:val="none"/>
        </w:rPr>
        <w:t>[0,100]</w:t>
      </w:r>
      <w:r>
        <w:rPr>
          <w:rFonts w:hint="eastAsia" w:ascii="宋体" w:hAnsi="宋体" w:cs="仿宋"/>
          <w:szCs w:val="21"/>
          <w:highlight w:val="none"/>
        </w:rPr>
        <w:t>整数中随机抽取</w:t>
      </w:r>
    </w:p>
    <w:p w14:paraId="69C443D7">
      <w:pPr>
        <w:spacing w:line="460" w:lineRule="exact"/>
        <w:ind w:firstLine="422" w:firstLineChars="200"/>
        <w:rPr>
          <w:rFonts w:ascii="宋体" w:hAnsi="宋体" w:cs="宋体"/>
          <w:b/>
          <w:szCs w:val="21"/>
          <w:highlight w:val="none"/>
        </w:rPr>
      </w:pPr>
      <w:r>
        <w:rPr>
          <w:rFonts w:hint="eastAsia" w:ascii="宋体" w:hAnsi="宋体" w:cs="宋体"/>
          <w:b/>
          <w:szCs w:val="21"/>
          <w:highlight w:val="none"/>
        </w:rPr>
        <w:t>现文：</w:t>
      </w:r>
      <w:r>
        <w:rPr>
          <w:rFonts w:hint="eastAsia" w:ascii="宋体" w:hAnsi="宋体"/>
          <w:szCs w:val="21"/>
          <w:highlight w:val="none"/>
        </w:rPr>
        <w:t>45.2按方法</w:t>
      </w:r>
      <w:r>
        <w:rPr>
          <w:rFonts w:hint="eastAsia" w:ascii="宋体" w:hAnsi="宋体"/>
          <w:szCs w:val="21"/>
          <w:highlight w:val="none"/>
          <w:u w:val="single"/>
        </w:rPr>
        <w:t xml:space="preserve"> 一 </w:t>
      </w:r>
      <w:r>
        <w:rPr>
          <w:rFonts w:hint="eastAsia" w:ascii="宋体" w:hAnsi="宋体"/>
          <w:szCs w:val="21"/>
          <w:highlight w:val="none"/>
        </w:rPr>
        <w:t>计算评标参考价：</w:t>
      </w:r>
    </w:p>
    <w:p w14:paraId="44C02DA8">
      <w:pPr>
        <w:widowControl w:val="0"/>
        <w:spacing w:line="460" w:lineRule="exact"/>
        <w:ind w:firstLine="422" w:firstLineChars="201"/>
        <w:textAlignment w:val="auto"/>
        <w:rPr>
          <w:rFonts w:ascii="宋体" w:hAnsi="宋体" w:cs="宋体"/>
          <w:szCs w:val="21"/>
          <w:highlight w:val="none"/>
        </w:rPr>
      </w:pPr>
      <w:r>
        <w:rPr>
          <w:rFonts w:hint="eastAsia" w:ascii="宋体" w:hAnsi="宋体" w:cs="宋体"/>
          <w:szCs w:val="21"/>
          <w:highlight w:val="none"/>
        </w:rPr>
        <w:t>方法一：加权平均法</w:t>
      </w:r>
    </w:p>
    <w:p w14:paraId="55D30A3F">
      <w:pPr>
        <w:spacing w:line="400" w:lineRule="exact"/>
        <w:ind w:firstLine="420" w:firstLineChars="200"/>
        <w:rPr>
          <w:rFonts w:ascii="宋体" w:hAnsi="宋体" w:cs="宋体"/>
          <w:szCs w:val="21"/>
          <w:highlight w:val="none"/>
        </w:rPr>
      </w:pPr>
      <w:r>
        <w:rPr>
          <w:rFonts w:hint="eastAsia" w:ascii="宋体" w:hAnsi="宋体" w:cs="宋体"/>
          <w:szCs w:val="21"/>
          <w:highlight w:val="none"/>
          <w:u w:val="single"/>
        </w:rPr>
        <w:t>技术得分前N名（若通过技术标有效性审查的投标人大于等于5家时，N=5；若通过技术标有效性审查的投标人小于5家时，N=通过技术标有效性审查的投标人家数；若技术分相同</w:t>
      </w:r>
      <w:r>
        <w:rPr>
          <w:rFonts w:ascii="宋体" w:hAnsi="宋体" w:cs="宋体"/>
          <w:szCs w:val="21"/>
          <w:highlight w:val="none"/>
          <w:u w:val="single"/>
        </w:rPr>
        <w:t>,</w:t>
      </w:r>
      <w:r>
        <w:rPr>
          <w:rFonts w:hint="eastAsia" w:ascii="宋体" w:hAnsi="宋体" w:cs="宋体"/>
          <w:szCs w:val="21"/>
          <w:highlight w:val="none"/>
          <w:u w:val="single"/>
        </w:rPr>
        <w:t>则以报价较低的排前</w:t>
      </w:r>
      <w:r>
        <w:rPr>
          <w:rFonts w:hint="eastAsia"/>
          <w:highlight w:val="none"/>
          <w:u w:val="single"/>
        </w:rPr>
        <w:t>，如仍存在相同情况，由评标委员会对出现该情况的投标人通过记名投票方式，以得票多的排前确定排序</w:t>
      </w:r>
      <w:r>
        <w:rPr>
          <w:rFonts w:hint="eastAsia" w:ascii="宋体" w:hAnsi="宋体" w:cs="宋体"/>
          <w:szCs w:val="21"/>
          <w:highlight w:val="none"/>
          <w:u w:val="single"/>
        </w:rPr>
        <w:t>）</w:t>
      </w:r>
      <w:r>
        <w:rPr>
          <w:rFonts w:hint="eastAsia" w:ascii="宋体" w:hAnsi="宋体" w:cs="宋体"/>
          <w:szCs w:val="21"/>
          <w:highlight w:val="none"/>
        </w:rPr>
        <w:t>的经济报价加权平均，计算评标参考价。公式如下：</w:t>
      </w:r>
    </w:p>
    <w:p w14:paraId="48F9DB3F">
      <w:pPr>
        <w:spacing w:line="400" w:lineRule="exact"/>
        <w:ind w:firstLine="420" w:firstLineChars="200"/>
        <w:rPr>
          <w:rFonts w:ascii="宋体" w:hAnsi="宋体" w:cs="宋体"/>
          <w:szCs w:val="21"/>
          <w:highlight w:val="none"/>
        </w:rPr>
      </w:pPr>
      <w:r>
        <w:rPr>
          <w:rFonts w:hint="eastAsia" w:ascii="宋体" w:hAnsi="宋体" w:cs="宋体"/>
          <w:szCs w:val="21"/>
          <w:highlight w:val="none"/>
        </w:rPr>
        <w:t>评标参考价</w:t>
      </w:r>
      <w:r>
        <w:rPr>
          <w:rFonts w:ascii="宋体" w:hAnsi="宋体" w:cs="宋体"/>
          <w:szCs w:val="21"/>
          <w:highlight w:val="none"/>
        </w:rPr>
        <w:t>=</w:t>
      </w:r>
      <w:r>
        <w:rPr>
          <w:rFonts w:hint="eastAsia" w:ascii="宋体" w:hAnsi="宋体" w:cs="宋体"/>
          <w:szCs w:val="21"/>
          <w:highlight w:val="none"/>
        </w:rPr>
        <w:t>Σ（投标人的投标报价</w:t>
      </w:r>
      <w:r>
        <w:rPr>
          <w:rFonts w:ascii="宋体" w:hAnsi="宋体" w:cs="宋体"/>
          <w:szCs w:val="21"/>
          <w:highlight w:val="none"/>
        </w:rPr>
        <w:t>*</w:t>
      </w:r>
      <w:r>
        <w:rPr>
          <w:rFonts w:hint="eastAsia" w:ascii="宋体" w:hAnsi="宋体" w:cs="宋体"/>
          <w:szCs w:val="21"/>
          <w:highlight w:val="none"/>
        </w:rPr>
        <w:t>报价权重）。</w:t>
      </w:r>
    </w:p>
    <w:p w14:paraId="113937DE">
      <w:pPr>
        <w:spacing w:line="360" w:lineRule="auto"/>
        <w:ind w:firstLine="420" w:firstLineChars="200"/>
        <w:rPr>
          <w:rFonts w:ascii="宋体" w:hAnsi="宋体" w:cs="宋体"/>
          <w:szCs w:val="21"/>
          <w:highlight w:val="none"/>
        </w:rPr>
      </w:pPr>
      <w:r>
        <w:rPr>
          <w:rFonts w:hint="eastAsia" w:ascii="宋体" w:hAnsi="宋体" w:cs="仿宋"/>
          <w:szCs w:val="21"/>
          <w:highlight w:val="none"/>
        </w:rPr>
        <w:t>其中：报价权重的计算方法为：将</w:t>
      </w:r>
      <w:r>
        <w:rPr>
          <w:rFonts w:ascii="宋体" w:hAnsi="宋体" w:cs="仿宋"/>
          <w:szCs w:val="21"/>
          <w:highlight w:val="none"/>
        </w:rPr>
        <w:t>N</w:t>
      </w:r>
      <w:r>
        <w:rPr>
          <w:rFonts w:hint="eastAsia" w:ascii="宋体" w:hAnsi="宋体" w:cs="仿宋"/>
          <w:szCs w:val="21"/>
          <w:highlight w:val="none"/>
        </w:rPr>
        <w:t>名投标人按技术分由高至低进行排序，第一名投标人的权重为（</w:t>
      </w:r>
      <w:r>
        <w:rPr>
          <w:rFonts w:ascii="宋体" w:hAnsi="宋体" w:cs="仿宋"/>
          <w:szCs w:val="21"/>
          <w:highlight w:val="none"/>
        </w:rPr>
        <w:fldChar w:fldCharType="begin"/>
      </w:r>
      <w:r>
        <w:rPr>
          <w:rFonts w:ascii="宋体" w:hAnsi="宋体" w:cs="仿宋"/>
          <w:szCs w:val="21"/>
          <w:highlight w:val="none"/>
        </w:rPr>
        <w:instrText xml:space="preserve">QUOTE </w:instrText>
      </w:r>
      <w:r>
        <w:rPr>
          <w:rFonts w:ascii="宋体" w:hAnsi="宋体"/>
          <w:szCs w:val="21"/>
          <w:highlight w:val="none"/>
        </w:rPr>
        <w:drawing>
          <wp:inline distT="0" distB="0" distL="114300" distR="114300">
            <wp:extent cx="381000" cy="447675"/>
            <wp:effectExtent l="0" t="0" r="0" b="8889"/>
            <wp:docPr id="3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7"/>
                    <pic:cNvPicPr>
                      <a:picLocks noChangeAspect="1"/>
                    </pic:cNvPicPr>
                  </pic:nvPicPr>
                  <pic:blipFill>
                    <a:blip r:embed="rId19">
                      <a:clrChange>
                        <a:clrFrom>
                          <a:srgbClr val="FFFFFF"/>
                        </a:clrFrom>
                        <a:clrTo>
                          <a:srgbClr val="FFFFFF">
                            <a:alpha val="0"/>
                          </a:srgbClr>
                        </a:clrTo>
                      </a:clrChange>
                    </a:blip>
                    <a:stretch>
                      <a:fillRect/>
                    </a:stretch>
                  </pic:blipFill>
                  <pic:spPr>
                    <a:xfrm>
                      <a:off x="0" y="0"/>
                      <a:ext cx="381000" cy="447675"/>
                    </a:xfrm>
                    <a:prstGeom prst="rect">
                      <a:avLst/>
                    </a:prstGeom>
                    <a:noFill/>
                    <a:ln cap="flat" cmpd="sng">
                      <a:noFill/>
                      <a:prstDash val="solid"/>
                      <a:round/>
                    </a:ln>
                  </pic:spPr>
                </pic:pic>
              </a:graphicData>
            </a:graphic>
          </wp:inline>
        </w:drawing>
      </w:r>
      <w:r>
        <w:rPr>
          <w:rFonts w:ascii="宋体" w:hAnsi="宋体" w:cs="仿宋"/>
          <w:szCs w:val="21"/>
          <w:highlight w:val="none"/>
        </w:rPr>
        <w:fldChar w:fldCharType="separate"/>
      </w:r>
      <w:r>
        <w:rPr>
          <w:rFonts w:ascii="宋体" w:hAnsi="宋体"/>
          <w:szCs w:val="21"/>
          <w:highlight w:val="none"/>
        </w:rPr>
        <w:drawing>
          <wp:inline distT="0" distB="0" distL="114300" distR="114300">
            <wp:extent cx="381000" cy="447675"/>
            <wp:effectExtent l="0" t="0" r="0" b="8889"/>
            <wp:docPr id="3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8"/>
                    <pic:cNvPicPr>
                      <a:picLocks noChangeAspect="1"/>
                    </pic:cNvPicPr>
                  </pic:nvPicPr>
                  <pic:blipFill>
                    <a:blip r:embed="rId19">
                      <a:clrChange>
                        <a:clrFrom>
                          <a:srgbClr val="FFFFFF"/>
                        </a:clrFrom>
                        <a:clrTo>
                          <a:srgbClr val="FFFFFF">
                            <a:alpha val="0"/>
                          </a:srgbClr>
                        </a:clrTo>
                      </a:clrChange>
                    </a:blip>
                    <a:stretch>
                      <a:fillRect/>
                    </a:stretch>
                  </pic:blipFill>
                  <pic:spPr>
                    <a:xfrm>
                      <a:off x="0" y="0"/>
                      <a:ext cx="381000" cy="447675"/>
                    </a:xfrm>
                    <a:prstGeom prst="rect">
                      <a:avLst/>
                    </a:prstGeom>
                    <a:noFill/>
                    <a:ln cap="flat" cmpd="sng">
                      <a:noFill/>
                      <a:prstDash val="solid"/>
                      <a:round/>
                    </a:ln>
                  </pic:spPr>
                </pic:pic>
              </a:graphicData>
            </a:graphic>
          </wp:inline>
        </w:drawing>
      </w:r>
      <w:r>
        <w:rPr>
          <w:rFonts w:ascii="宋体" w:hAnsi="宋体" w:cs="仿宋"/>
          <w:szCs w:val="21"/>
          <w:highlight w:val="none"/>
        </w:rPr>
        <w:fldChar w:fldCharType="end"/>
      </w:r>
      <w:r>
        <w:rPr>
          <w:rFonts w:hint="eastAsia" w:ascii="宋体" w:hAnsi="宋体" w:cs="仿宋"/>
          <w:szCs w:val="21"/>
          <w:highlight w:val="none"/>
        </w:rPr>
        <w:t>），第二名投标人的权重为（</w:t>
      </w:r>
      <w:r>
        <w:rPr>
          <w:rFonts w:ascii="宋体" w:hAnsi="宋体" w:cs="仿宋"/>
          <w:szCs w:val="21"/>
          <w:highlight w:val="none"/>
        </w:rPr>
        <w:fldChar w:fldCharType="begin"/>
      </w:r>
      <w:r>
        <w:rPr>
          <w:rFonts w:ascii="宋体" w:hAnsi="宋体" w:cs="仿宋"/>
          <w:szCs w:val="21"/>
          <w:highlight w:val="none"/>
        </w:rPr>
        <w:instrText xml:space="preserve">QUOTE </w:instrText>
      </w:r>
      <w:r>
        <w:rPr>
          <w:rFonts w:ascii="宋体" w:hAnsi="宋体"/>
          <w:position w:val="-23"/>
          <w:szCs w:val="21"/>
          <w:highlight w:val="none"/>
        </w:rPr>
        <w:drawing>
          <wp:inline distT="0" distB="0" distL="114300" distR="114300">
            <wp:extent cx="323850" cy="400050"/>
            <wp:effectExtent l="0" t="0" r="0" b="0"/>
            <wp:docPr id="3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9"/>
                    <pic:cNvPicPr>
                      <a:picLocks noChangeAspect="1"/>
                    </pic:cNvPicPr>
                  </pic:nvPicPr>
                  <pic:blipFill>
                    <a:blip r:embed="rId20">
                      <a:clrChange>
                        <a:clrFrom>
                          <a:srgbClr val="FFFFFF"/>
                        </a:clrFrom>
                        <a:clrTo>
                          <a:srgbClr val="FFFFFF">
                            <a:alpha val="0"/>
                          </a:srgbClr>
                        </a:clrTo>
                      </a:clrChange>
                    </a:blip>
                    <a:stretch>
                      <a:fillRect/>
                    </a:stretch>
                  </pic:blipFill>
                  <pic:spPr>
                    <a:xfrm>
                      <a:off x="0" y="0"/>
                      <a:ext cx="323850" cy="400050"/>
                    </a:xfrm>
                    <a:prstGeom prst="rect">
                      <a:avLst/>
                    </a:prstGeom>
                    <a:noFill/>
                    <a:ln cap="flat" cmpd="sng">
                      <a:noFill/>
                      <a:prstDash val="solid"/>
                      <a:round/>
                    </a:ln>
                  </pic:spPr>
                </pic:pic>
              </a:graphicData>
            </a:graphic>
          </wp:inline>
        </w:drawing>
      </w:r>
      <w:r>
        <w:rPr>
          <w:rFonts w:ascii="宋体" w:hAnsi="宋体" w:cs="仿宋"/>
          <w:szCs w:val="21"/>
          <w:highlight w:val="none"/>
        </w:rPr>
        <w:fldChar w:fldCharType="separate"/>
      </w:r>
      <w:r>
        <w:rPr>
          <w:rFonts w:ascii="宋体" w:hAnsi="宋体"/>
          <w:position w:val="-23"/>
          <w:szCs w:val="21"/>
          <w:highlight w:val="none"/>
        </w:rPr>
        <w:drawing>
          <wp:inline distT="0" distB="0" distL="114300" distR="114300">
            <wp:extent cx="323850" cy="400050"/>
            <wp:effectExtent l="0" t="0" r="0" b="0"/>
            <wp:docPr id="3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0"/>
                    <pic:cNvPicPr>
                      <a:picLocks noChangeAspect="1"/>
                    </pic:cNvPicPr>
                  </pic:nvPicPr>
                  <pic:blipFill>
                    <a:blip r:embed="rId20">
                      <a:clrChange>
                        <a:clrFrom>
                          <a:srgbClr val="FFFFFF"/>
                        </a:clrFrom>
                        <a:clrTo>
                          <a:srgbClr val="FFFFFF">
                            <a:alpha val="0"/>
                          </a:srgbClr>
                        </a:clrTo>
                      </a:clrChange>
                    </a:blip>
                    <a:stretch>
                      <a:fillRect/>
                    </a:stretch>
                  </pic:blipFill>
                  <pic:spPr>
                    <a:xfrm>
                      <a:off x="0" y="0"/>
                      <a:ext cx="323850" cy="400050"/>
                    </a:xfrm>
                    <a:prstGeom prst="rect">
                      <a:avLst/>
                    </a:prstGeom>
                    <a:noFill/>
                    <a:ln cap="flat" cmpd="sng">
                      <a:noFill/>
                      <a:prstDash val="solid"/>
                      <a:round/>
                    </a:ln>
                  </pic:spPr>
                </pic:pic>
              </a:graphicData>
            </a:graphic>
          </wp:inline>
        </w:drawing>
      </w:r>
      <w:r>
        <w:rPr>
          <w:rFonts w:ascii="宋体" w:hAnsi="宋体" w:cs="仿宋"/>
          <w:szCs w:val="21"/>
          <w:highlight w:val="none"/>
        </w:rPr>
        <w:fldChar w:fldCharType="end"/>
      </w:r>
      <w:r>
        <w:rPr>
          <w:rFonts w:hint="eastAsia" w:ascii="宋体" w:hAnsi="宋体" w:cs="仿宋"/>
          <w:szCs w:val="21"/>
          <w:highlight w:val="none"/>
        </w:rPr>
        <w:t>），以此类推，最后一名投标人的权重为（</w:t>
      </w:r>
      <w:r>
        <w:rPr>
          <w:rFonts w:ascii="宋体" w:hAnsi="宋体" w:cs="仿宋"/>
          <w:szCs w:val="21"/>
          <w:highlight w:val="none"/>
        </w:rPr>
        <w:fldChar w:fldCharType="begin"/>
      </w:r>
      <w:r>
        <w:rPr>
          <w:rFonts w:ascii="宋体" w:hAnsi="宋体" w:cs="仿宋"/>
          <w:szCs w:val="21"/>
          <w:highlight w:val="none"/>
        </w:rPr>
        <w:instrText xml:space="preserve">QUOTE </w:instrText>
      </w:r>
      <w:r>
        <w:rPr>
          <w:rFonts w:ascii="宋体" w:hAnsi="宋体"/>
          <w:position w:val="-23"/>
          <w:szCs w:val="21"/>
          <w:highlight w:val="none"/>
        </w:rPr>
        <w:drawing>
          <wp:inline distT="0" distB="0" distL="114300" distR="114300">
            <wp:extent cx="323850" cy="400050"/>
            <wp:effectExtent l="0" t="0" r="0" b="0"/>
            <wp:docPr id="3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1"/>
                    <pic:cNvPicPr>
                      <a:picLocks noChangeAspect="1"/>
                    </pic:cNvPicPr>
                  </pic:nvPicPr>
                  <pic:blipFill>
                    <a:blip r:embed="rId21">
                      <a:clrChange>
                        <a:clrFrom>
                          <a:srgbClr val="FFFFFF"/>
                        </a:clrFrom>
                        <a:clrTo>
                          <a:srgbClr val="FFFFFF">
                            <a:alpha val="0"/>
                          </a:srgbClr>
                        </a:clrTo>
                      </a:clrChange>
                    </a:blip>
                    <a:stretch>
                      <a:fillRect/>
                    </a:stretch>
                  </pic:blipFill>
                  <pic:spPr>
                    <a:xfrm>
                      <a:off x="0" y="0"/>
                      <a:ext cx="323850" cy="400050"/>
                    </a:xfrm>
                    <a:prstGeom prst="rect">
                      <a:avLst/>
                    </a:prstGeom>
                    <a:noFill/>
                    <a:ln cap="flat" cmpd="sng">
                      <a:noFill/>
                      <a:prstDash val="solid"/>
                      <a:round/>
                    </a:ln>
                  </pic:spPr>
                </pic:pic>
              </a:graphicData>
            </a:graphic>
          </wp:inline>
        </w:drawing>
      </w:r>
      <w:r>
        <w:rPr>
          <w:rFonts w:ascii="宋体" w:hAnsi="宋体" w:cs="仿宋"/>
          <w:szCs w:val="21"/>
          <w:highlight w:val="none"/>
        </w:rPr>
        <w:fldChar w:fldCharType="separate"/>
      </w:r>
      <w:r>
        <w:rPr>
          <w:rFonts w:ascii="宋体" w:hAnsi="宋体"/>
          <w:position w:val="-23"/>
          <w:szCs w:val="21"/>
          <w:highlight w:val="none"/>
        </w:rPr>
        <w:drawing>
          <wp:inline distT="0" distB="0" distL="114300" distR="114300">
            <wp:extent cx="323850" cy="400050"/>
            <wp:effectExtent l="0" t="0" r="0" b="0"/>
            <wp:docPr id="3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2"/>
                    <pic:cNvPicPr>
                      <a:picLocks noChangeAspect="1"/>
                    </pic:cNvPicPr>
                  </pic:nvPicPr>
                  <pic:blipFill>
                    <a:blip r:embed="rId21">
                      <a:clrChange>
                        <a:clrFrom>
                          <a:srgbClr val="FFFFFF"/>
                        </a:clrFrom>
                        <a:clrTo>
                          <a:srgbClr val="FFFFFF">
                            <a:alpha val="0"/>
                          </a:srgbClr>
                        </a:clrTo>
                      </a:clrChange>
                    </a:blip>
                    <a:stretch>
                      <a:fillRect/>
                    </a:stretch>
                  </pic:blipFill>
                  <pic:spPr>
                    <a:xfrm>
                      <a:off x="0" y="0"/>
                      <a:ext cx="323850" cy="400050"/>
                    </a:xfrm>
                    <a:prstGeom prst="rect">
                      <a:avLst/>
                    </a:prstGeom>
                    <a:noFill/>
                    <a:ln cap="flat" cmpd="sng">
                      <a:noFill/>
                      <a:prstDash val="solid"/>
                      <a:round/>
                    </a:ln>
                  </pic:spPr>
                </pic:pic>
              </a:graphicData>
            </a:graphic>
          </wp:inline>
        </w:drawing>
      </w:r>
      <w:r>
        <w:rPr>
          <w:rFonts w:ascii="宋体" w:hAnsi="宋体" w:cs="仿宋"/>
          <w:szCs w:val="21"/>
          <w:highlight w:val="none"/>
        </w:rPr>
        <w:fldChar w:fldCharType="end"/>
      </w:r>
      <w:r>
        <w:rPr>
          <w:rFonts w:hint="eastAsia" w:ascii="宋体" w:hAnsi="宋体" w:cs="仿宋"/>
          <w:szCs w:val="21"/>
          <w:highlight w:val="none"/>
        </w:rPr>
        <w:t>）。</w:t>
      </w:r>
      <w:bookmarkStart w:id="32" w:name="_GoBack"/>
      <w:bookmarkEnd w:id="32"/>
    </w:p>
    <w:p w14:paraId="0D9CF227">
      <w:pPr>
        <w:pBdr>
          <w:bottom w:val="single" w:color="000000" w:sz="6" w:space="1"/>
        </w:pBdr>
        <w:spacing w:line="460" w:lineRule="exact"/>
        <w:rPr>
          <w:rFonts w:ascii="宋体" w:hAnsi="宋体" w:cs="宋体"/>
          <w:bCs/>
          <w:szCs w:val="21"/>
          <w:highlight w:val="none"/>
          <w:u w:val="single"/>
        </w:rPr>
      </w:pPr>
    </w:p>
    <w:p w14:paraId="083719AC">
      <w:pPr>
        <w:spacing w:line="400" w:lineRule="exact"/>
        <w:ind w:firstLine="422" w:firstLineChars="200"/>
        <w:rPr>
          <w:rFonts w:ascii="宋体" w:hAnsi="宋体" w:cs="宋体"/>
          <w:b/>
          <w:szCs w:val="21"/>
          <w:highlight w:val="none"/>
        </w:rPr>
      </w:pPr>
      <w:r>
        <w:rPr>
          <w:rFonts w:hint="eastAsia" w:ascii="宋体" w:hAnsi="宋体" w:cs="宋体"/>
          <w:b/>
          <w:szCs w:val="21"/>
          <w:highlight w:val="none"/>
        </w:rPr>
        <w:t>条款号：45.3             修改类型：修改</w:t>
      </w:r>
    </w:p>
    <w:p w14:paraId="567849A6">
      <w:pPr>
        <w:spacing w:line="380" w:lineRule="exact"/>
        <w:ind w:firstLine="422" w:firstLineChars="200"/>
        <w:rPr>
          <w:rFonts w:ascii="宋体" w:hAnsi="宋体" w:cs="宋体"/>
          <w:kern w:val="0"/>
          <w:szCs w:val="21"/>
          <w:highlight w:val="none"/>
        </w:rPr>
      </w:pPr>
      <w:r>
        <w:rPr>
          <w:rFonts w:hint="eastAsia" w:ascii="宋体" w:hAnsi="宋体" w:cs="宋体"/>
          <w:b/>
          <w:szCs w:val="21"/>
          <w:highlight w:val="none"/>
        </w:rPr>
        <w:t>原文：</w:t>
      </w:r>
      <w:r>
        <w:rPr>
          <w:rFonts w:hint="eastAsia" w:ascii="宋体" w:hAnsi="宋体" w:cs="宋体"/>
          <w:kern w:val="0"/>
          <w:szCs w:val="21"/>
          <w:highlight w:val="none"/>
        </w:rPr>
        <w:t>45.3</w:t>
      </w:r>
      <w:r>
        <w:rPr>
          <w:rFonts w:hint="eastAsia" w:ascii="宋体" w:hAnsi="宋体"/>
          <w:szCs w:val="21"/>
          <w:highlight w:val="none"/>
        </w:rPr>
        <w:t>当标价等于评标参考价时得</w:t>
      </w:r>
      <w:r>
        <w:rPr>
          <w:rFonts w:ascii="宋体" w:hAnsi="宋体"/>
          <w:szCs w:val="21"/>
          <w:highlight w:val="none"/>
        </w:rPr>
        <w:t>100</w:t>
      </w:r>
      <w:r>
        <w:rPr>
          <w:rFonts w:hint="eastAsia" w:ascii="宋体" w:hAnsi="宋体"/>
          <w:szCs w:val="21"/>
          <w:highlight w:val="none"/>
        </w:rPr>
        <w:t>分，标价每高于评标参考价</w:t>
      </w:r>
      <w:r>
        <w:rPr>
          <w:rFonts w:ascii="宋体" w:hAnsi="宋体"/>
          <w:szCs w:val="21"/>
          <w:highlight w:val="none"/>
        </w:rPr>
        <w:t>1%</w:t>
      </w:r>
      <w:r>
        <w:rPr>
          <w:rFonts w:hint="eastAsia" w:ascii="宋体" w:hAnsi="宋体"/>
          <w:szCs w:val="21"/>
          <w:highlight w:val="none"/>
        </w:rPr>
        <w:t>，扣</w:t>
      </w:r>
      <w:r>
        <w:rPr>
          <w:rFonts w:ascii="宋体" w:hAnsi="宋体"/>
          <w:szCs w:val="21"/>
          <w:highlight w:val="none"/>
        </w:rPr>
        <w:t>1.5</w:t>
      </w:r>
      <w:r>
        <w:rPr>
          <w:rFonts w:hint="eastAsia" w:ascii="宋体" w:hAnsi="宋体"/>
          <w:szCs w:val="21"/>
          <w:highlight w:val="none"/>
        </w:rPr>
        <w:t>分，每低于评标参考价</w:t>
      </w:r>
      <w:r>
        <w:rPr>
          <w:rFonts w:ascii="宋体" w:hAnsi="宋体"/>
          <w:szCs w:val="21"/>
          <w:highlight w:val="none"/>
        </w:rPr>
        <w:t>1%</w:t>
      </w:r>
      <w:r>
        <w:rPr>
          <w:rFonts w:hint="eastAsia" w:ascii="宋体" w:hAnsi="宋体"/>
          <w:szCs w:val="21"/>
          <w:highlight w:val="none"/>
        </w:rPr>
        <w:t>，扣</w:t>
      </w:r>
      <w:r>
        <w:rPr>
          <w:rFonts w:ascii="宋体" w:hAnsi="宋体"/>
          <w:szCs w:val="21"/>
          <w:highlight w:val="none"/>
        </w:rPr>
        <w:t>1</w:t>
      </w:r>
      <w:r>
        <w:rPr>
          <w:rFonts w:hint="eastAsia" w:ascii="宋体" w:hAnsi="宋体"/>
          <w:szCs w:val="21"/>
          <w:highlight w:val="none"/>
        </w:rPr>
        <w:t>分，扣至</w:t>
      </w:r>
      <w:r>
        <w:rPr>
          <w:rFonts w:ascii="宋体" w:hAnsi="宋体"/>
          <w:szCs w:val="21"/>
          <w:highlight w:val="none"/>
        </w:rPr>
        <w:t>0</w:t>
      </w:r>
      <w:r>
        <w:rPr>
          <w:rFonts w:hint="eastAsia" w:ascii="宋体" w:hAnsi="宋体"/>
          <w:szCs w:val="21"/>
          <w:highlight w:val="none"/>
        </w:rPr>
        <w:t>分为止，得出经济分，精确到小数点后两位。</w:t>
      </w:r>
    </w:p>
    <w:p w14:paraId="2C43F087">
      <w:pPr>
        <w:pBdr>
          <w:bottom w:val="single" w:color="auto" w:sz="6" w:space="1"/>
        </w:pBdr>
        <w:spacing w:line="500" w:lineRule="exact"/>
        <w:ind w:firstLine="422" w:firstLineChars="200"/>
        <w:rPr>
          <w:rFonts w:ascii="宋体" w:hAnsi="宋体"/>
          <w:b/>
          <w:szCs w:val="21"/>
          <w:highlight w:val="none"/>
        </w:rPr>
      </w:pPr>
      <w:r>
        <w:rPr>
          <w:rFonts w:hint="eastAsia" w:ascii="宋体" w:hAnsi="宋体" w:cs="宋体"/>
          <w:b/>
          <w:szCs w:val="21"/>
          <w:highlight w:val="none"/>
        </w:rPr>
        <w:t>现文：</w:t>
      </w:r>
      <w:r>
        <w:rPr>
          <w:rFonts w:hint="eastAsia" w:ascii="宋体" w:hAnsi="宋体" w:cs="宋体"/>
          <w:kern w:val="0"/>
          <w:szCs w:val="21"/>
          <w:highlight w:val="none"/>
        </w:rPr>
        <w:t>45.3</w:t>
      </w:r>
      <w:r>
        <w:rPr>
          <w:rFonts w:hint="eastAsia" w:ascii="宋体" w:hAnsi="宋体"/>
          <w:szCs w:val="21"/>
          <w:highlight w:val="none"/>
        </w:rPr>
        <w:t>当标价等于评标参考价时得</w:t>
      </w:r>
      <w:r>
        <w:rPr>
          <w:rFonts w:ascii="宋体" w:hAnsi="宋体"/>
          <w:szCs w:val="21"/>
          <w:highlight w:val="none"/>
        </w:rPr>
        <w:t>100</w:t>
      </w:r>
      <w:r>
        <w:rPr>
          <w:rFonts w:hint="eastAsia" w:ascii="宋体" w:hAnsi="宋体"/>
          <w:szCs w:val="21"/>
          <w:highlight w:val="none"/>
        </w:rPr>
        <w:t>分，标价每高于评标参考价</w:t>
      </w:r>
      <w:r>
        <w:rPr>
          <w:rFonts w:ascii="宋体" w:hAnsi="宋体"/>
          <w:szCs w:val="21"/>
          <w:highlight w:val="none"/>
        </w:rPr>
        <w:t>1%</w:t>
      </w:r>
      <w:r>
        <w:rPr>
          <w:rFonts w:hint="eastAsia" w:ascii="宋体" w:hAnsi="宋体"/>
          <w:szCs w:val="21"/>
          <w:highlight w:val="none"/>
        </w:rPr>
        <w:t>，扣</w:t>
      </w:r>
      <w:r>
        <w:rPr>
          <w:rFonts w:hint="eastAsia" w:ascii="宋体" w:hAnsi="宋体"/>
          <w:szCs w:val="21"/>
          <w:highlight w:val="none"/>
          <w:u w:val="single"/>
        </w:rPr>
        <w:t>0.5</w:t>
      </w:r>
      <w:r>
        <w:rPr>
          <w:rFonts w:hint="eastAsia" w:ascii="宋体" w:hAnsi="宋体"/>
          <w:szCs w:val="21"/>
          <w:highlight w:val="none"/>
        </w:rPr>
        <w:t>分，每低于评标参考价</w:t>
      </w:r>
      <w:r>
        <w:rPr>
          <w:rFonts w:ascii="宋体" w:hAnsi="宋体"/>
          <w:szCs w:val="21"/>
          <w:highlight w:val="none"/>
        </w:rPr>
        <w:t>1%</w:t>
      </w:r>
      <w:r>
        <w:rPr>
          <w:rFonts w:hint="eastAsia" w:ascii="宋体" w:hAnsi="宋体"/>
          <w:szCs w:val="21"/>
          <w:highlight w:val="none"/>
        </w:rPr>
        <w:t>，扣</w:t>
      </w:r>
      <w:r>
        <w:rPr>
          <w:rFonts w:hint="eastAsia" w:ascii="宋体" w:hAnsi="宋体"/>
          <w:szCs w:val="21"/>
          <w:highlight w:val="none"/>
          <w:u w:val="single"/>
        </w:rPr>
        <w:t>0.3</w:t>
      </w:r>
      <w:r>
        <w:rPr>
          <w:rFonts w:hint="eastAsia" w:ascii="宋体" w:hAnsi="宋体"/>
          <w:szCs w:val="21"/>
          <w:highlight w:val="none"/>
        </w:rPr>
        <w:t>分，扣至</w:t>
      </w:r>
      <w:r>
        <w:rPr>
          <w:rFonts w:ascii="宋体" w:hAnsi="宋体"/>
          <w:szCs w:val="21"/>
          <w:highlight w:val="none"/>
        </w:rPr>
        <w:t>0</w:t>
      </w:r>
      <w:r>
        <w:rPr>
          <w:rFonts w:hint="eastAsia" w:ascii="宋体" w:hAnsi="宋体"/>
          <w:szCs w:val="21"/>
          <w:highlight w:val="none"/>
        </w:rPr>
        <w:t>分为止，得出经济分，精确到小数点后两位。</w:t>
      </w:r>
    </w:p>
    <w:p w14:paraId="5772DD7F">
      <w:pPr>
        <w:spacing w:line="400" w:lineRule="exact"/>
        <w:ind w:firstLine="422" w:firstLineChars="200"/>
        <w:rPr>
          <w:rFonts w:ascii="宋体" w:hAnsi="宋体" w:cs="宋体"/>
          <w:b/>
          <w:szCs w:val="21"/>
          <w:highlight w:val="none"/>
        </w:rPr>
      </w:pPr>
      <w:r>
        <w:rPr>
          <w:rFonts w:hint="eastAsia" w:ascii="宋体" w:hAnsi="宋体" w:cs="宋体"/>
          <w:b/>
          <w:szCs w:val="21"/>
          <w:highlight w:val="none"/>
        </w:rPr>
        <w:t>条款号：45.4             修改类型：修改</w:t>
      </w:r>
    </w:p>
    <w:p w14:paraId="1C1D1591">
      <w:pPr>
        <w:spacing w:line="380" w:lineRule="exact"/>
        <w:ind w:firstLine="422" w:firstLineChars="200"/>
        <w:rPr>
          <w:rFonts w:ascii="宋体" w:hAnsi="宋体" w:cs="宋体"/>
          <w:kern w:val="0"/>
          <w:szCs w:val="21"/>
          <w:highlight w:val="none"/>
        </w:rPr>
      </w:pPr>
      <w:r>
        <w:rPr>
          <w:rFonts w:hint="eastAsia" w:ascii="宋体" w:hAnsi="宋体" w:cs="宋体"/>
          <w:b/>
          <w:szCs w:val="21"/>
          <w:highlight w:val="none"/>
        </w:rPr>
        <w:t>原文：</w:t>
      </w:r>
      <w:r>
        <w:rPr>
          <w:rFonts w:hint="eastAsia" w:ascii="宋体" w:hAnsi="宋体" w:cs="宋体"/>
          <w:szCs w:val="21"/>
          <w:highlight w:val="none"/>
        </w:rPr>
        <w:t>45.4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14:paraId="2172719A">
      <w:pPr>
        <w:pBdr>
          <w:bottom w:val="single" w:color="auto" w:sz="6" w:space="1"/>
        </w:pBdr>
        <w:spacing w:line="400" w:lineRule="exact"/>
        <w:ind w:firstLine="422" w:firstLineChars="200"/>
        <w:rPr>
          <w:rFonts w:ascii="宋体" w:hAnsi="宋体" w:cs="宋体"/>
          <w:szCs w:val="21"/>
          <w:highlight w:val="none"/>
        </w:rPr>
      </w:pPr>
      <w:r>
        <w:rPr>
          <w:rFonts w:hint="eastAsia" w:ascii="宋体" w:hAnsi="宋体" w:cs="宋体"/>
          <w:b/>
          <w:szCs w:val="21"/>
          <w:highlight w:val="none"/>
        </w:rPr>
        <w:t>现文：</w:t>
      </w:r>
      <w:r>
        <w:rPr>
          <w:rFonts w:hint="eastAsia" w:ascii="宋体" w:hAnsi="宋体" w:cs="宋体"/>
          <w:szCs w:val="21"/>
          <w:highlight w:val="none"/>
        </w:rPr>
        <w:t>45.4计算通过技术标有效性审查的投标人总得分。</w:t>
      </w:r>
      <w:r>
        <w:rPr>
          <w:rFonts w:hint="eastAsia" w:ascii="宋体" w:hAnsi="宋体" w:cs="宋体"/>
          <w:szCs w:val="21"/>
          <w:highlight w:val="none"/>
          <w:u w:val="single"/>
        </w:rPr>
        <w:t>投标人总得分=技术得分</w:t>
      </w:r>
      <w:r>
        <w:rPr>
          <w:rFonts w:ascii="宋体" w:hAnsi="宋体" w:cs="宋体"/>
          <w:szCs w:val="21"/>
          <w:highlight w:val="none"/>
          <w:u w:val="single"/>
        </w:rPr>
        <w:t>（</w:t>
      </w:r>
      <w:r>
        <w:rPr>
          <w:rFonts w:hint="eastAsia" w:ascii="宋体" w:hAnsi="宋体" w:cs="宋体"/>
          <w:szCs w:val="21"/>
          <w:highlight w:val="none"/>
          <w:u w:val="single"/>
        </w:rPr>
        <w:t>满分</w:t>
      </w:r>
      <w:r>
        <w:rPr>
          <w:rFonts w:hint="eastAsia" w:ascii="宋体" w:hAnsi="宋体" w:cs="宋体"/>
          <w:szCs w:val="21"/>
          <w:highlight w:val="none"/>
          <w:u w:val="single"/>
          <w:lang w:val="en-US" w:eastAsia="zh-CN"/>
        </w:rPr>
        <w:t>10</w:t>
      </w:r>
      <w:r>
        <w:rPr>
          <w:rFonts w:hint="eastAsia" w:ascii="宋体" w:hAnsi="宋体" w:cs="宋体"/>
          <w:szCs w:val="21"/>
          <w:highlight w:val="none"/>
          <w:u w:val="single"/>
        </w:rPr>
        <w:t>0</w:t>
      </w:r>
      <w:r>
        <w:rPr>
          <w:rFonts w:ascii="宋体" w:hAnsi="宋体" w:cs="宋体"/>
          <w:szCs w:val="21"/>
          <w:highlight w:val="none"/>
          <w:u w:val="single"/>
        </w:rPr>
        <w:t>分）</w:t>
      </w:r>
      <w:r>
        <w:rPr>
          <w:rFonts w:hint="eastAsia" w:ascii="宋体" w:hAnsi="宋体" w:cs="宋体"/>
          <w:szCs w:val="21"/>
          <w:highlight w:val="none"/>
          <w:u w:val="single"/>
        </w:rPr>
        <w:t>×技术得分权重(</w:t>
      </w:r>
      <w:r>
        <w:rPr>
          <w:rFonts w:hint="eastAsia" w:ascii="宋体" w:hAnsi="宋体" w:cs="宋体"/>
          <w:szCs w:val="21"/>
          <w:highlight w:val="none"/>
          <w:u w:val="single"/>
          <w:lang w:val="en-US" w:eastAsia="zh-CN"/>
        </w:rPr>
        <w:t>2</w:t>
      </w:r>
      <w:r>
        <w:rPr>
          <w:rFonts w:hint="eastAsia" w:ascii="宋体" w:hAnsi="宋体" w:cs="宋体"/>
          <w:szCs w:val="21"/>
          <w:highlight w:val="none"/>
          <w:u w:val="single"/>
        </w:rPr>
        <w:t>0%)＋经济得分</w:t>
      </w:r>
      <w:r>
        <w:rPr>
          <w:rFonts w:ascii="宋体" w:hAnsi="宋体" w:cs="宋体"/>
          <w:szCs w:val="21"/>
          <w:highlight w:val="none"/>
          <w:u w:val="single"/>
        </w:rPr>
        <w:t>（</w:t>
      </w:r>
      <w:r>
        <w:rPr>
          <w:rFonts w:hint="eastAsia" w:ascii="宋体" w:hAnsi="宋体" w:cs="宋体"/>
          <w:szCs w:val="21"/>
          <w:highlight w:val="none"/>
          <w:u w:val="single"/>
        </w:rPr>
        <w:t>满分100</w:t>
      </w:r>
      <w:r>
        <w:rPr>
          <w:rFonts w:ascii="宋体" w:hAnsi="宋体" w:cs="宋体"/>
          <w:szCs w:val="21"/>
          <w:highlight w:val="none"/>
          <w:u w:val="single"/>
        </w:rPr>
        <w:t>分）</w:t>
      </w:r>
      <w:r>
        <w:rPr>
          <w:rFonts w:hint="eastAsia" w:ascii="宋体" w:hAnsi="宋体" w:cs="宋体"/>
          <w:szCs w:val="21"/>
          <w:highlight w:val="none"/>
          <w:u w:val="single"/>
        </w:rPr>
        <w:t>×经济得分权重(80%)。</w:t>
      </w:r>
      <w:r>
        <w:rPr>
          <w:rFonts w:hint="eastAsia" w:ascii="宋体" w:hAnsi="宋体" w:cs="宋体"/>
          <w:szCs w:val="21"/>
          <w:highlight w:val="none"/>
        </w:rPr>
        <w:t>总得分四舍五入保留两位小数。</w:t>
      </w:r>
      <w:r>
        <w:rPr>
          <w:rFonts w:hint="eastAsia" w:ascii="宋体" w:hAnsi="宋体" w:cs="宋体"/>
          <w:szCs w:val="21"/>
          <w:highlight w:val="none"/>
          <w:u w:val="single"/>
        </w:rPr>
        <w:t>总得分相同的投标文件，以技术分较高的排前；技术分均相同的投标文件，以投标报价较低的排前；</w:t>
      </w:r>
      <w:r>
        <w:rPr>
          <w:rFonts w:hint="eastAsia"/>
          <w:highlight w:val="none"/>
          <w:u w:val="single"/>
        </w:rPr>
        <w:t>如仍存在相同情况，则对具有相同情况的投标人，由评标委员会采用记名投票方式，确定投标人的排序</w:t>
      </w:r>
      <w:r>
        <w:rPr>
          <w:rFonts w:hint="eastAsia" w:ascii="宋体" w:hAnsi="宋体" w:cs="宋体"/>
          <w:szCs w:val="21"/>
          <w:highlight w:val="none"/>
          <w:u w:val="single"/>
        </w:rPr>
        <w:t>。</w:t>
      </w:r>
    </w:p>
    <w:p w14:paraId="7DBD4952">
      <w:pPr>
        <w:widowControl w:val="0"/>
        <w:spacing w:line="460" w:lineRule="exact"/>
        <w:ind w:firstLine="422" w:firstLineChars="200"/>
        <w:textAlignment w:val="auto"/>
        <w:rPr>
          <w:rFonts w:ascii="宋体" w:hAnsi="宋体" w:cs="宋体"/>
          <w:b/>
          <w:szCs w:val="21"/>
          <w:highlight w:val="none"/>
        </w:rPr>
      </w:pPr>
      <w:r>
        <w:rPr>
          <w:rFonts w:hint="eastAsia" w:ascii="宋体" w:hAnsi="宋体" w:cs="宋体"/>
          <w:b/>
          <w:szCs w:val="21"/>
          <w:highlight w:val="none"/>
        </w:rPr>
        <w:t>条款号：</w:t>
      </w:r>
      <w:r>
        <w:rPr>
          <w:rFonts w:ascii="宋体" w:hAnsi="宋体" w:cs="宋体"/>
          <w:b/>
          <w:szCs w:val="21"/>
          <w:highlight w:val="none"/>
        </w:rPr>
        <w:t>4</w:t>
      </w:r>
      <w:r>
        <w:rPr>
          <w:rFonts w:hint="eastAsia" w:ascii="宋体" w:hAnsi="宋体" w:cs="宋体"/>
          <w:b/>
          <w:szCs w:val="21"/>
          <w:highlight w:val="none"/>
        </w:rPr>
        <w:t>6</w:t>
      </w:r>
      <w:r>
        <w:rPr>
          <w:rFonts w:ascii="宋体" w:hAnsi="宋体" w:cs="宋体"/>
          <w:b/>
          <w:szCs w:val="21"/>
          <w:highlight w:val="none"/>
        </w:rPr>
        <w:t>.</w:t>
      </w:r>
      <w:r>
        <w:rPr>
          <w:rFonts w:hint="eastAsia" w:ascii="宋体" w:hAnsi="宋体" w:cs="宋体"/>
          <w:b/>
          <w:szCs w:val="21"/>
          <w:highlight w:val="none"/>
        </w:rPr>
        <w:t>1             修改类型：修改</w:t>
      </w:r>
    </w:p>
    <w:p w14:paraId="1D618F5A">
      <w:pPr>
        <w:widowControl w:val="0"/>
        <w:spacing w:line="460" w:lineRule="exact"/>
        <w:ind w:firstLine="422" w:firstLineChars="200"/>
        <w:textAlignment w:val="auto"/>
        <w:rPr>
          <w:rFonts w:ascii="宋体" w:hAnsi="宋体" w:cs="宋体"/>
          <w:szCs w:val="21"/>
          <w:highlight w:val="none"/>
        </w:rPr>
      </w:pPr>
      <w:r>
        <w:rPr>
          <w:rFonts w:hint="eastAsia" w:ascii="宋体" w:hAnsi="宋体" w:cs="宋体"/>
          <w:b/>
          <w:szCs w:val="21"/>
          <w:highlight w:val="none"/>
        </w:rPr>
        <w:t>原文：</w:t>
      </w:r>
      <w:r>
        <w:rPr>
          <w:rFonts w:hint="eastAsia" w:ascii="宋体" w:hAnsi="宋体" w:cs="宋体"/>
          <w:szCs w:val="21"/>
          <w:highlight w:val="none"/>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p>
    <w:p w14:paraId="5F6B2B65">
      <w:pPr>
        <w:widowControl w:val="0"/>
        <w:pBdr>
          <w:bottom w:val="single" w:color="auto" w:sz="6" w:space="1"/>
        </w:pBdr>
        <w:spacing w:line="460" w:lineRule="exact"/>
        <w:ind w:firstLine="422" w:firstLineChars="200"/>
        <w:textAlignment w:val="auto"/>
        <w:rPr>
          <w:rFonts w:ascii="宋体" w:hAnsi="宋体" w:cs="宋体"/>
          <w:szCs w:val="21"/>
          <w:highlight w:val="none"/>
          <w:u w:val="single"/>
        </w:rPr>
      </w:pPr>
      <w:r>
        <w:rPr>
          <w:rFonts w:hint="eastAsia" w:ascii="宋体" w:hAnsi="宋体" w:cs="宋体"/>
          <w:b/>
          <w:szCs w:val="21"/>
          <w:highlight w:val="none"/>
        </w:rPr>
        <w:t>现文：</w:t>
      </w:r>
      <w:r>
        <w:rPr>
          <w:rFonts w:hint="eastAsia" w:ascii="宋体" w:hAnsi="宋体" w:cs="宋体"/>
          <w:szCs w:val="21"/>
          <w:highlight w:val="none"/>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r>
        <w:rPr>
          <w:rFonts w:hint="eastAsia" w:ascii="宋体" w:hAnsi="宋体" w:cs="宋体"/>
          <w:szCs w:val="21"/>
          <w:highlight w:val="none"/>
          <w:u w:val="single"/>
        </w:rPr>
        <w:t>评委</w:t>
      </w:r>
      <w:r>
        <w:rPr>
          <w:rFonts w:ascii="宋体" w:hAnsi="宋体" w:cs="宋体"/>
          <w:szCs w:val="21"/>
          <w:highlight w:val="none"/>
          <w:u w:val="single"/>
        </w:rPr>
        <w:t>发现投标</w:t>
      </w:r>
      <w:r>
        <w:rPr>
          <w:rFonts w:hint="eastAsia" w:ascii="宋体" w:hAnsi="宋体" w:cs="宋体"/>
          <w:szCs w:val="21"/>
          <w:highlight w:val="none"/>
          <w:u w:val="single"/>
        </w:rPr>
        <w:t>文件</w:t>
      </w:r>
      <w:r>
        <w:rPr>
          <w:rFonts w:ascii="宋体" w:hAnsi="宋体" w:cs="宋体"/>
          <w:szCs w:val="21"/>
          <w:highlight w:val="none"/>
          <w:u w:val="single"/>
        </w:rPr>
        <w:t>中</w:t>
      </w:r>
      <w:r>
        <w:rPr>
          <w:rFonts w:hint="eastAsia" w:ascii="宋体" w:hAnsi="宋体" w:cs="宋体"/>
          <w:szCs w:val="21"/>
          <w:highlight w:val="none"/>
          <w:u w:val="single"/>
        </w:rPr>
        <w:t>含义不明确</w:t>
      </w:r>
      <w:r>
        <w:rPr>
          <w:rFonts w:ascii="宋体" w:hAnsi="宋体" w:cs="宋体"/>
          <w:szCs w:val="21"/>
          <w:highlight w:val="none"/>
          <w:u w:val="single"/>
        </w:rPr>
        <w:t>、对同类问题表述不一致、有明显</w:t>
      </w:r>
      <w:r>
        <w:rPr>
          <w:rFonts w:hint="eastAsia" w:ascii="宋体" w:hAnsi="宋体" w:cs="宋体"/>
          <w:szCs w:val="21"/>
          <w:highlight w:val="none"/>
          <w:u w:val="single"/>
        </w:rPr>
        <w:t>文字</w:t>
      </w:r>
      <w:r>
        <w:rPr>
          <w:rFonts w:ascii="宋体" w:hAnsi="宋体" w:cs="宋体"/>
          <w:szCs w:val="21"/>
          <w:highlight w:val="none"/>
          <w:u w:val="single"/>
        </w:rPr>
        <w:t>和计算错误</w:t>
      </w:r>
      <w:r>
        <w:rPr>
          <w:rFonts w:hint="eastAsia" w:ascii="宋体" w:hAnsi="宋体" w:cs="宋体"/>
          <w:szCs w:val="21"/>
          <w:highlight w:val="none"/>
          <w:u w:val="single"/>
        </w:rPr>
        <w:t>、</w:t>
      </w:r>
      <w:r>
        <w:rPr>
          <w:rFonts w:ascii="宋体" w:hAnsi="宋体" w:cs="宋体"/>
          <w:szCs w:val="21"/>
          <w:highlight w:val="none"/>
          <w:u w:val="single"/>
        </w:rPr>
        <w:t>投标报价可能低于成本影响履约的，应当</w:t>
      </w:r>
      <w:r>
        <w:rPr>
          <w:rFonts w:hint="eastAsia" w:ascii="宋体" w:hAnsi="宋体" w:cs="宋体"/>
          <w:szCs w:val="21"/>
          <w:highlight w:val="none"/>
          <w:u w:val="single"/>
        </w:rPr>
        <w:t>要求</w:t>
      </w:r>
      <w:r>
        <w:rPr>
          <w:rFonts w:ascii="宋体" w:hAnsi="宋体" w:cs="宋体"/>
          <w:szCs w:val="21"/>
          <w:highlight w:val="none"/>
          <w:u w:val="single"/>
        </w:rPr>
        <w:t>投标人作必要的澄清、说明</w:t>
      </w:r>
      <w:r>
        <w:rPr>
          <w:rFonts w:hint="eastAsia" w:ascii="宋体" w:hAnsi="宋体" w:cs="宋体"/>
          <w:szCs w:val="21"/>
          <w:highlight w:val="none"/>
          <w:u w:val="single"/>
        </w:rPr>
        <w:t>后再判定投标人是否通过有效性审查</w:t>
      </w:r>
      <w:r>
        <w:rPr>
          <w:rFonts w:ascii="宋体" w:hAnsi="宋体" w:cs="宋体"/>
          <w:szCs w:val="21"/>
          <w:highlight w:val="none"/>
          <w:u w:val="single"/>
        </w:rPr>
        <w:t>，不得直接否决投标</w:t>
      </w:r>
      <w:r>
        <w:rPr>
          <w:rFonts w:hint="eastAsia" w:ascii="宋体" w:hAnsi="宋体" w:cs="宋体"/>
          <w:szCs w:val="21"/>
          <w:highlight w:val="none"/>
          <w:u w:val="single"/>
        </w:rPr>
        <w:t>。</w:t>
      </w:r>
    </w:p>
    <w:p w14:paraId="61D9AC05">
      <w:pPr>
        <w:spacing w:line="460" w:lineRule="exact"/>
        <w:ind w:firstLine="422" w:firstLineChars="200"/>
        <w:rPr>
          <w:rFonts w:ascii="宋体" w:hAnsi="宋体"/>
          <w:b/>
          <w:szCs w:val="21"/>
          <w:highlight w:val="none"/>
        </w:rPr>
      </w:pPr>
      <w:r>
        <w:rPr>
          <w:rFonts w:hint="eastAsia" w:ascii="宋体" w:hAnsi="宋体"/>
          <w:b/>
          <w:szCs w:val="21"/>
          <w:highlight w:val="none"/>
        </w:rPr>
        <w:t>条款号：附表一修改类型：修改</w:t>
      </w:r>
    </w:p>
    <w:p w14:paraId="42BBD0B2">
      <w:pPr>
        <w:pBdr>
          <w:bottom w:val="single" w:color="auto" w:sz="6" w:space="1"/>
        </w:pBdr>
        <w:spacing w:line="460" w:lineRule="exact"/>
        <w:ind w:firstLine="422" w:firstLineChars="200"/>
        <w:rPr>
          <w:rFonts w:ascii="宋体" w:hAnsi="宋体"/>
          <w:szCs w:val="21"/>
          <w:highlight w:val="none"/>
        </w:rPr>
      </w:pPr>
      <w:r>
        <w:rPr>
          <w:rFonts w:hint="eastAsia" w:ascii="宋体" w:hAnsi="宋体"/>
          <w:b/>
          <w:szCs w:val="21"/>
          <w:highlight w:val="none"/>
        </w:rPr>
        <w:t>原文：</w:t>
      </w:r>
      <w:r>
        <w:rPr>
          <w:rFonts w:hint="eastAsia" w:ascii="宋体" w:hAnsi="宋体"/>
          <w:szCs w:val="21"/>
          <w:highlight w:val="none"/>
        </w:rPr>
        <w:t>原范本</w:t>
      </w:r>
      <w:r>
        <w:rPr>
          <w:rFonts w:ascii="宋体" w:hAnsi="宋体"/>
          <w:szCs w:val="21"/>
          <w:highlight w:val="none"/>
        </w:rPr>
        <w:t>GZZB2018-3</w:t>
      </w:r>
      <w:r>
        <w:rPr>
          <w:rFonts w:hint="eastAsia" w:ascii="宋体" w:hAnsi="宋体"/>
          <w:szCs w:val="21"/>
          <w:highlight w:val="none"/>
        </w:rPr>
        <w:t>《资格审查表》</w:t>
      </w:r>
    </w:p>
    <w:p w14:paraId="10A905D0">
      <w:pPr>
        <w:pBdr>
          <w:bottom w:val="single" w:color="auto" w:sz="6" w:space="1"/>
        </w:pBdr>
        <w:spacing w:line="460" w:lineRule="exact"/>
        <w:ind w:firstLine="422" w:firstLineChars="200"/>
        <w:rPr>
          <w:rFonts w:ascii="宋体" w:hAnsi="宋体"/>
          <w:szCs w:val="21"/>
          <w:highlight w:val="none"/>
        </w:rPr>
      </w:pPr>
      <w:r>
        <w:rPr>
          <w:rFonts w:hint="eastAsia" w:ascii="宋体" w:hAnsi="宋体"/>
          <w:b/>
          <w:szCs w:val="21"/>
          <w:highlight w:val="none"/>
        </w:rPr>
        <w:t>现文：</w:t>
      </w:r>
      <w:r>
        <w:rPr>
          <w:rFonts w:hint="eastAsia" w:ascii="宋体" w:hAnsi="宋体"/>
          <w:szCs w:val="21"/>
          <w:highlight w:val="none"/>
        </w:rPr>
        <w:t>本招标文件《资格审查表》</w:t>
      </w:r>
    </w:p>
    <w:p w14:paraId="3C0EE249">
      <w:pPr>
        <w:spacing w:line="460" w:lineRule="exact"/>
        <w:ind w:firstLine="422" w:firstLineChars="200"/>
        <w:rPr>
          <w:rFonts w:ascii="宋体" w:hAnsi="宋体"/>
          <w:b/>
          <w:szCs w:val="21"/>
          <w:highlight w:val="none"/>
        </w:rPr>
      </w:pPr>
      <w:r>
        <w:rPr>
          <w:rFonts w:hint="eastAsia" w:ascii="宋体" w:hAnsi="宋体"/>
          <w:b/>
          <w:szCs w:val="21"/>
          <w:highlight w:val="none"/>
        </w:rPr>
        <w:t>条款号：附表二修改类型：修改</w:t>
      </w:r>
    </w:p>
    <w:p w14:paraId="4DDB9A53">
      <w:pPr>
        <w:pBdr>
          <w:bottom w:val="single" w:color="auto" w:sz="6" w:space="1"/>
        </w:pBdr>
        <w:spacing w:line="460" w:lineRule="exact"/>
        <w:ind w:firstLine="422" w:firstLineChars="200"/>
        <w:rPr>
          <w:rFonts w:ascii="宋体" w:hAnsi="宋体"/>
          <w:szCs w:val="21"/>
          <w:highlight w:val="none"/>
        </w:rPr>
      </w:pPr>
      <w:r>
        <w:rPr>
          <w:rFonts w:hint="eastAsia" w:ascii="宋体" w:hAnsi="宋体"/>
          <w:b/>
          <w:szCs w:val="21"/>
          <w:highlight w:val="none"/>
        </w:rPr>
        <w:t>原文：</w:t>
      </w:r>
      <w:r>
        <w:rPr>
          <w:rFonts w:hint="eastAsia" w:ascii="宋体" w:hAnsi="宋体"/>
          <w:szCs w:val="21"/>
          <w:highlight w:val="none"/>
        </w:rPr>
        <w:t>原范本</w:t>
      </w:r>
      <w:r>
        <w:rPr>
          <w:rFonts w:ascii="宋体" w:hAnsi="宋体"/>
          <w:szCs w:val="21"/>
          <w:highlight w:val="none"/>
        </w:rPr>
        <w:t>GZZB2018-3</w:t>
      </w:r>
      <w:r>
        <w:rPr>
          <w:rFonts w:hint="eastAsia" w:ascii="宋体" w:hAnsi="宋体"/>
          <w:szCs w:val="21"/>
          <w:highlight w:val="none"/>
        </w:rPr>
        <w:t>《技术标有效性审查表》</w:t>
      </w:r>
    </w:p>
    <w:p w14:paraId="78F18C3F">
      <w:pPr>
        <w:pBdr>
          <w:bottom w:val="single" w:color="auto" w:sz="6" w:space="1"/>
        </w:pBdr>
        <w:spacing w:line="460" w:lineRule="exact"/>
        <w:ind w:firstLine="422" w:firstLineChars="200"/>
        <w:rPr>
          <w:rFonts w:ascii="宋体" w:hAnsi="宋体"/>
          <w:szCs w:val="21"/>
          <w:highlight w:val="none"/>
        </w:rPr>
      </w:pPr>
      <w:r>
        <w:rPr>
          <w:rFonts w:hint="eastAsia" w:ascii="宋体" w:hAnsi="宋体"/>
          <w:b/>
          <w:szCs w:val="21"/>
          <w:highlight w:val="none"/>
        </w:rPr>
        <w:t>现文：</w:t>
      </w:r>
      <w:r>
        <w:rPr>
          <w:rFonts w:hint="eastAsia" w:ascii="宋体" w:hAnsi="宋体"/>
          <w:szCs w:val="21"/>
          <w:highlight w:val="none"/>
        </w:rPr>
        <w:t>本招标文件《技术标有效性审查表》</w:t>
      </w:r>
    </w:p>
    <w:p w14:paraId="0FD58206">
      <w:pPr>
        <w:spacing w:line="460" w:lineRule="exact"/>
        <w:ind w:firstLine="422" w:firstLineChars="200"/>
        <w:rPr>
          <w:rFonts w:ascii="宋体" w:hAnsi="宋体"/>
          <w:b/>
          <w:szCs w:val="21"/>
          <w:highlight w:val="none"/>
        </w:rPr>
      </w:pPr>
      <w:r>
        <w:rPr>
          <w:rFonts w:hint="eastAsia" w:ascii="宋体" w:hAnsi="宋体"/>
          <w:b/>
          <w:szCs w:val="21"/>
          <w:highlight w:val="none"/>
        </w:rPr>
        <w:t>条款号：附表三修改类型：修改</w:t>
      </w:r>
    </w:p>
    <w:p w14:paraId="27852BC8">
      <w:pPr>
        <w:pBdr>
          <w:bottom w:val="single" w:color="auto" w:sz="6" w:space="1"/>
        </w:pBdr>
        <w:spacing w:line="460" w:lineRule="exact"/>
        <w:ind w:firstLine="422" w:firstLineChars="200"/>
        <w:rPr>
          <w:rFonts w:ascii="宋体" w:hAnsi="宋体"/>
          <w:szCs w:val="21"/>
          <w:highlight w:val="none"/>
        </w:rPr>
      </w:pPr>
      <w:r>
        <w:rPr>
          <w:rFonts w:hint="eastAsia" w:ascii="宋体" w:hAnsi="宋体"/>
          <w:b/>
          <w:szCs w:val="21"/>
          <w:highlight w:val="none"/>
        </w:rPr>
        <w:t>原文：</w:t>
      </w:r>
      <w:r>
        <w:rPr>
          <w:rFonts w:hint="eastAsia" w:ascii="宋体" w:hAnsi="宋体"/>
          <w:szCs w:val="21"/>
          <w:highlight w:val="none"/>
        </w:rPr>
        <w:t>原范本</w:t>
      </w:r>
      <w:r>
        <w:rPr>
          <w:rFonts w:ascii="宋体" w:hAnsi="宋体"/>
          <w:szCs w:val="21"/>
          <w:highlight w:val="none"/>
        </w:rPr>
        <w:t>GZZB2018-3</w:t>
      </w:r>
      <w:r>
        <w:rPr>
          <w:rFonts w:hint="eastAsia" w:ascii="宋体" w:hAnsi="宋体"/>
          <w:szCs w:val="21"/>
          <w:highlight w:val="none"/>
        </w:rPr>
        <w:t>《经济标有效性审查表》</w:t>
      </w:r>
    </w:p>
    <w:p w14:paraId="630AF786">
      <w:pPr>
        <w:pBdr>
          <w:bottom w:val="single" w:color="auto" w:sz="6" w:space="1"/>
        </w:pBdr>
        <w:spacing w:line="460" w:lineRule="exact"/>
        <w:ind w:firstLine="422" w:firstLineChars="200"/>
        <w:rPr>
          <w:rFonts w:ascii="宋体" w:hAnsi="宋体"/>
          <w:szCs w:val="21"/>
          <w:highlight w:val="none"/>
        </w:rPr>
      </w:pPr>
      <w:r>
        <w:rPr>
          <w:rFonts w:hint="eastAsia" w:ascii="宋体" w:hAnsi="宋体"/>
          <w:b/>
          <w:szCs w:val="21"/>
          <w:highlight w:val="none"/>
        </w:rPr>
        <w:t>现文：</w:t>
      </w:r>
      <w:r>
        <w:rPr>
          <w:rFonts w:hint="eastAsia" w:ascii="宋体" w:hAnsi="宋体"/>
          <w:szCs w:val="21"/>
          <w:highlight w:val="none"/>
        </w:rPr>
        <w:t>本招标文件《经济标有效性审查表》</w:t>
      </w:r>
    </w:p>
    <w:p w14:paraId="33A3CF8D">
      <w:pPr>
        <w:spacing w:line="460" w:lineRule="exact"/>
        <w:ind w:firstLine="422" w:firstLineChars="200"/>
        <w:rPr>
          <w:rFonts w:ascii="宋体" w:hAnsi="宋体"/>
          <w:b/>
          <w:szCs w:val="21"/>
          <w:highlight w:val="none"/>
        </w:rPr>
      </w:pPr>
      <w:r>
        <w:rPr>
          <w:rFonts w:hint="eastAsia" w:ascii="宋体" w:hAnsi="宋体"/>
          <w:b/>
          <w:szCs w:val="21"/>
          <w:highlight w:val="none"/>
        </w:rPr>
        <w:t>条款号：附表四          修改类型：修改</w:t>
      </w:r>
    </w:p>
    <w:p w14:paraId="59E07243">
      <w:pPr>
        <w:pBdr>
          <w:bottom w:val="single" w:color="auto" w:sz="6" w:space="1"/>
        </w:pBdr>
        <w:spacing w:line="460" w:lineRule="exact"/>
        <w:ind w:firstLine="422" w:firstLineChars="200"/>
        <w:rPr>
          <w:rFonts w:ascii="宋体" w:hAnsi="宋体"/>
          <w:szCs w:val="21"/>
          <w:highlight w:val="none"/>
        </w:rPr>
      </w:pPr>
      <w:r>
        <w:rPr>
          <w:rFonts w:hint="eastAsia" w:ascii="宋体" w:hAnsi="宋体"/>
          <w:b/>
          <w:szCs w:val="21"/>
          <w:highlight w:val="none"/>
        </w:rPr>
        <w:t>原文：</w:t>
      </w:r>
      <w:r>
        <w:rPr>
          <w:rFonts w:hint="eastAsia" w:ascii="宋体" w:hAnsi="宋体"/>
          <w:szCs w:val="21"/>
          <w:highlight w:val="none"/>
        </w:rPr>
        <w:t>原范本</w:t>
      </w:r>
      <w:r>
        <w:rPr>
          <w:rFonts w:ascii="宋体" w:hAnsi="宋体"/>
          <w:szCs w:val="21"/>
          <w:highlight w:val="none"/>
        </w:rPr>
        <w:t>GZZB2018-3</w:t>
      </w:r>
      <w:r>
        <w:rPr>
          <w:rFonts w:hint="eastAsia" w:ascii="宋体" w:hAnsi="宋体"/>
          <w:szCs w:val="21"/>
          <w:highlight w:val="none"/>
        </w:rPr>
        <w:t>《技术标详细审查评分表》</w:t>
      </w:r>
    </w:p>
    <w:p w14:paraId="02AF88E3">
      <w:pPr>
        <w:pBdr>
          <w:bottom w:val="single" w:color="auto" w:sz="6" w:space="1"/>
        </w:pBdr>
        <w:spacing w:line="460" w:lineRule="exact"/>
        <w:ind w:firstLine="422" w:firstLineChars="200"/>
        <w:rPr>
          <w:rFonts w:ascii="宋体" w:hAnsi="宋体"/>
          <w:szCs w:val="21"/>
          <w:highlight w:val="none"/>
        </w:rPr>
      </w:pPr>
      <w:r>
        <w:rPr>
          <w:rFonts w:hint="eastAsia" w:ascii="宋体" w:hAnsi="宋体"/>
          <w:b/>
          <w:szCs w:val="21"/>
          <w:highlight w:val="none"/>
        </w:rPr>
        <w:t>现文：</w:t>
      </w:r>
      <w:r>
        <w:rPr>
          <w:rFonts w:hint="eastAsia" w:ascii="宋体" w:hAnsi="宋体"/>
          <w:szCs w:val="21"/>
          <w:highlight w:val="none"/>
        </w:rPr>
        <w:t>本招标文件《技术标详细审查评分表》</w:t>
      </w:r>
    </w:p>
    <w:p w14:paraId="1A844681">
      <w:pPr>
        <w:spacing w:line="460" w:lineRule="exact"/>
        <w:ind w:firstLine="422" w:firstLineChars="200"/>
        <w:rPr>
          <w:rFonts w:ascii="宋体" w:hAnsi="宋体"/>
          <w:b/>
          <w:szCs w:val="21"/>
          <w:highlight w:val="none"/>
        </w:rPr>
      </w:pPr>
      <w:r>
        <w:rPr>
          <w:rFonts w:hint="eastAsia" w:ascii="宋体" w:hAnsi="宋体"/>
          <w:b/>
          <w:szCs w:val="21"/>
          <w:highlight w:val="none"/>
        </w:rPr>
        <w:t>条款号：附表五（适用于区间抽取法）修改类型：删除</w:t>
      </w:r>
    </w:p>
    <w:p w14:paraId="040B8F3E">
      <w:pPr>
        <w:pBdr>
          <w:bottom w:val="single" w:color="auto" w:sz="6" w:space="1"/>
        </w:pBdr>
        <w:spacing w:line="460" w:lineRule="exact"/>
        <w:ind w:firstLine="422" w:firstLineChars="200"/>
        <w:rPr>
          <w:rFonts w:ascii="宋体" w:hAnsi="宋体"/>
          <w:szCs w:val="21"/>
          <w:highlight w:val="none"/>
        </w:rPr>
      </w:pPr>
      <w:r>
        <w:rPr>
          <w:rFonts w:hint="eastAsia" w:ascii="宋体" w:hAnsi="宋体"/>
          <w:b/>
          <w:szCs w:val="21"/>
          <w:highlight w:val="none"/>
        </w:rPr>
        <w:t>原文：</w:t>
      </w:r>
      <w:r>
        <w:rPr>
          <w:rFonts w:hint="eastAsia" w:ascii="宋体" w:hAnsi="宋体"/>
          <w:szCs w:val="21"/>
          <w:highlight w:val="none"/>
        </w:rPr>
        <w:t>原范本</w:t>
      </w:r>
      <w:r>
        <w:rPr>
          <w:rFonts w:ascii="宋体" w:hAnsi="宋体"/>
          <w:szCs w:val="21"/>
          <w:highlight w:val="none"/>
        </w:rPr>
        <w:t>GZZB2018-3</w:t>
      </w:r>
      <w:r>
        <w:rPr>
          <w:rFonts w:hint="eastAsia" w:ascii="宋体" w:hAnsi="宋体"/>
          <w:szCs w:val="21"/>
          <w:highlight w:val="none"/>
        </w:rPr>
        <w:t>《经济标评分表》</w:t>
      </w:r>
    </w:p>
    <w:p w14:paraId="0F736034">
      <w:pPr>
        <w:spacing w:line="276" w:lineRule="auto"/>
        <w:ind w:firstLine="422" w:firstLineChars="200"/>
        <w:rPr>
          <w:rStyle w:val="66"/>
          <w:rFonts w:ascii="宋体" w:hAnsi="宋体"/>
          <w:b/>
          <w:szCs w:val="21"/>
          <w:highlight w:val="none"/>
        </w:rPr>
      </w:pPr>
      <w:r>
        <w:rPr>
          <w:rStyle w:val="66"/>
          <w:rFonts w:ascii="宋体" w:hAnsi="宋体"/>
          <w:b/>
          <w:szCs w:val="21"/>
          <w:highlight w:val="none"/>
        </w:rPr>
        <w:t>注：以上修改，仅限于本范本中有可供选择条款的情形。</w:t>
      </w:r>
    </w:p>
    <w:p w14:paraId="54B79491">
      <w:pPr>
        <w:spacing w:line="276" w:lineRule="auto"/>
        <w:ind w:firstLine="422" w:firstLineChars="200"/>
        <w:rPr>
          <w:highlight w:val="none"/>
        </w:rPr>
      </w:pPr>
      <w:r>
        <w:rPr>
          <w:rStyle w:val="66"/>
          <w:rFonts w:ascii="宋体" w:hAnsi="宋体"/>
          <w:b/>
          <w:szCs w:val="21"/>
          <w:highlight w:val="none"/>
        </w:rPr>
        <w:t>（以下无正文）</w:t>
      </w:r>
    </w:p>
    <w:p w14:paraId="7E2D9A9B">
      <w:pPr>
        <w:pStyle w:val="123"/>
        <w:spacing w:line="460" w:lineRule="exact"/>
        <w:outlineLvl w:val="1"/>
        <w:rPr>
          <w:rStyle w:val="66"/>
          <w:rFonts w:ascii="宋体" w:hAnsi="宋体"/>
          <w:b/>
          <w:color w:val="auto"/>
          <w:highlight w:val="none"/>
        </w:rPr>
      </w:pPr>
      <w:bookmarkStart w:id="13" w:name="_Toc105014631"/>
    </w:p>
    <w:p w14:paraId="5B75B76F">
      <w:pPr>
        <w:pStyle w:val="89"/>
        <w:rPr>
          <w:highlight w:val="none"/>
        </w:rPr>
      </w:pPr>
    </w:p>
    <w:p w14:paraId="7F7290AE">
      <w:pPr>
        <w:jc w:val="left"/>
        <w:textAlignment w:val="auto"/>
        <w:rPr>
          <w:rStyle w:val="66"/>
          <w:rFonts w:ascii="宋体" w:hAnsi="宋体"/>
          <w:b/>
          <w:sz w:val="24"/>
          <w:szCs w:val="24"/>
          <w:highlight w:val="none"/>
        </w:rPr>
      </w:pPr>
      <w:r>
        <w:rPr>
          <w:rStyle w:val="66"/>
          <w:rFonts w:ascii="宋体" w:hAnsi="宋体"/>
          <w:b/>
          <w:highlight w:val="none"/>
        </w:rPr>
        <w:br w:type="page"/>
      </w:r>
    </w:p>
    <w:p w14:paraId="4C942981">
      <w:pPr>
        <w:pStyle w:val="123"/>
        <w:spacing w:line="460" w:lineRule="exact"/>
        <w:outlineLvl w:val="1"/>
        <w:rPr>
          <w:rStyle w:val="66"/>
          <w:rFonts w:ascii="宋体" w:hAnsi="宋体"/>
          <w:b/>
          <w:color w:val="auto"/>
          <w:highlight w:val="none"/>
        </w:rPr>
      </w:pPr>
      <w:r>
        <w:rPr>
          <w:rStyle w:val="66"/>
          <w:rFonts w:ascii="宋体" w:hAnsi="宋体"/>
          <w:b/>
          <w:color w:val="auto"/>
          <w:highlight w:val="none"/>
        </w:rPr>
        <w:t>二、开标、评标及定标办法通用条款</w:t>
      </w:r>
      <w:bookmarkEnd w:id="13"/>
    </w:p>
    <w:p w14:paraId="5889D18A">
      <w:pPr>
        <w:pStyle w:val="5"/>
        <w:spacing w:before="156" w:beforeAutospacing="0" w:after="156" w:afterAutospacing="0" w:line="460" w:lineRule="exact"/>
        <w:ind w:firstLine="422" w:firstLineChars="200"/>
        <w:rPr>
          <w:b/>
          <w:bCs/>
          <w:sz w:val="21"/>
          <w:szCs w:val="21"/>
          <w:highlight w:val="none"/>
        </w:rPr>
      </w:pPr>
      <w:bookmarkStart w:id="14" w:name="_Toc21525501"/>
      <w:bookmarkEnd w:id="14"/>
      <w:bookmarkStart w:id="15" w:name="_Toc2272557"/>
      <w:bookmarkStart w:id="16" w:name="_Toc105014632"/>
      <w:r>
        <w:rPr>
          <w:rFonts w:hint="eastAsia"/>
          <w:b/>
          <w:bCs/>
          <w:sz w:val="21"/>
          <w:szCs w:val="21"/>
          <w:highlight w:val="none"/>
        </w:rPr>
        <w:t>（一）总则</w:t>
      </w:r>
      <w:bookmarkEnd w:id="15"/>
      <w:bookmarkEnd w:id="16"/>
    </w:p>
    <w:p w14:paraId="1C072D66">
      <w:pPr>
        <w:spacing w:line="460" w:lineRule="exact"/>
        <w:ind w:firstLine="422" w:firstLineChars="200"/>
        <w:rPr>
          <w:rFonts w:ascii="宋体" w:hAnsi="宋体"/>
          <w:b/>
          <w:bCs/>
          <w:szCs w:val="21"/>
          <w:highlight w:val="none"/>
        </w:rPr>
      </w:pPr>
      <w:r>
        <w:rPr>
          <w:rFonts w:ascii="宋体" w:hAnsi="宋体"/>
          <w:b/>
          <w:bCs/>
          <w:szCs w:val="21"/>
          <w:highlight w:val="none"/>
        </w:rPr>
        <w:t>35.</w:t>
      </w:r>
      <w:r>
        <w:rPr>
          <w:rFonts w:hint="eastAsia" w:ascii="宋体" w:hAnsi="宋体"/>
          <w:b/>
          <w:bCs/>
          <w:szCs w:val="21"/>
          <w:highlight w:val="none"/>
        </w:rPr>
        <w:t>开标、评标及定标所依据的规则</w:t>
      </w:r>
    </w:p>
    <w:p w14:paraId="48EC8440">
      <w:pPr>
        <w:spacing w:line="460" w:lineRule="exact"/>
        <w:ind w:firstLine="420" w:firstLineChars="200"/>
        <w:rPr>
          <w:rFonts w:ascii="宋体" w:hAnsi="宋体"/>
          <w:szCs w:val="21"/>
          <w:highlight w:val="none"/>
        </w:rPr>
      </w:pPr>
      <w:r>
        <w:rPr>
          <w:rFonts w:hint="eastAsia" w:ascii="宋体" w:hAnsi="宋体"/>
          <w:szCs w:val="21"/>
          <w:highlight w:val="none"/>
        </w:rPr>
        <w:t>35.1《中华人民共和国招标投标法》；</w:t>
      </w:r>
    </w:p>
    <w:p w14:paraId="101A1676">
      <w:pPr>
        <w:spacing w:line="460" w:lineRule="exact"/>
        <w:ind w:firstLine="420" w:firstLineChars="200"/>
        <w:rPr>
          <w:rFonts w:ascii="宋体" w:hAnsi="宋体"/>
          <w:szCs w:val="21"/>
          <w:highlight w:val="none"/>
        </w:rPr>
      </w:pPr>
      <w:r>
        <w:rPr>
          <w:rFonts w:hint="eastAsia" w:ascii="宋体" w:hAnsi="宋体"/>
          <w:szCs w:val="21"/>
          <w:highlight w:val="none"/>
        </w:rPr>
        <w:t>35.2《中华人民共和国招标投标法实施条例》；</w:t>
      </w:r>
    </w:p>
    <w:p w14:paraId="2C47F31C">
      <w:pPr>
        <w:spacing w:line="460" w:lineRule="exact"/>
        <w:ind w:firstLine="420" w:firstLineChars="200"/>
        <w:rPr>
          <w:rFonts w:ascii="宋体" w:hAnsi="宋体"/>
          <w:szCs w:val="21"/>
          <w:highlight w:val="none"/>
        </w:rPr>
      </w:pPr>
      <w:r>
        <w:rPr>
          <w:rFonts w:hint="eastAsia" w:ascii="宋体" w:hAnsi="宋体"/>
          <w:szCs w:val="21"/>
          <w:highlight w:val="none"/>
        </w:rPr>
        <w:t>35.3《评标委员会和评标方法暂行规定》（七部委第12号令）；</w:t>
      </w:r>
    </w:p>
    <w:p w14:paraId="3FE99250">
      <w:pPr>
        <w:spacing w:line="460" w:lineRule="exact"/>
        <w:ind w:firstLine="420" w:firstLineChars="200"/>
        <w:rPr>
          <w:rFonts w:ascii="宋体" w:hAnsi="宋体"/>
          <w:szCs w:val="21"/>
          <w:highlight w:val="none"/>
        </w:rPr>
      </w:pPr>
      <w:r>
        <w:rPr>
          <w:rFonts w:hint="eastAsia" w:ascii="宋体" w:hAnsi="宋体"/>
          <w:szCs w:val="21"/>
          <w:highlight w:val="none"/>
        </w:rPr>
        <w:t>35.4《工程建设项目施工招标投标办法》（七部委2003年第30号令）；</w:t>
      </w:r>
    </w:p>
    <w:p w14:paraId="400D8417">
      <w:pPr>
        <w:spacing w:line="460" w:lineRule="exact"/>
        <w:ind w:firstLine="420" w:firstLineChars="200"/>
        <w:rPr>
          <w:rFonts w:ascii="宋体" w:hAnsi="宋体"/>
          <w:szCs w:val="21"/>
          <w:highlight w:val="none"/>
        </w:rPr>
      </w:pPr>
      <w:r>
        <w:rPr>
          <w:rFonts w:hint="eastAsia" w:ascii="宋体" w:hAnsi="宋体"/>
          <w:szCs w:val="21"/>
          <w:highlight w:val="none"/>
        </w:rPr>
        <w:t>35.5《广东省实施〈中华人民共和国招标投标法〉办法》；</w:t>
      </w:r>
    </w:p>
    <w:p w14:paraId="2861BCD3">
      <w:pPr>
        <w:spacing w:line="460" w:lineRule="exact"/>
        <w:ind w:firstLine="420" w:firstLineChars="200"/>
        <w:rPr>
          <w:rFonts w:ascii="宋体" w:hAnsi="宋体"/>
          <w:szCs w:val="21"/>
          <w:highlight w:val="none"/>
        </w:rPr>
      </w:pPr>
      <w:r>
        <w:rPr>
          <w:rFonts w:hint="eastAsia" w:ascii="宋体" w:hAnsi="宋体"/>
          <w:szCs w:val="21"/>
          <w:highlight w:val="none"/>
        </w:rPr>
        <w:t>35.6《房屋建筑和市政基础设施工程施工招标投标管理办法》（建设部令第89号）；</w:t>
      </w:r>
    </w:p>
    <w:p w14:paraId="13BB1C83">
      <w:pPr>
        <w:spacing w:line="460" w:lineRule="exact"/>
        <w:ind w:firstLine="420" w:firstLineChars="200"/>
        <w:rPr>
          <w:rFonts w:ascii="宋体" w:hAnsi="宋体"/>
          <w:szCs w:val="21"/>
          <w:highlight w:val="none"/>
        </w:rPr>
      </w:pPr>
      <w:r>
        <w:rPr>
          <w:rFonts w:hint="eastAsia" w:ascii="宋体" w:hAnsi="宋体"/>
          <w:szCs w:val="21"/>
          <w:highlight w:val="none"/>
        </w:rPr>
        <w:t>35.7《广东省加强建设工程招标投标监督管理的若干规定》（粤发[2004]4号）；</w:t>
      </w:r>
    </w:p>
    <w:p w14:paraId="067FA519">
      <w:pPr>
        <w:spacing w:line="460" w:lineRule="exact"/>
        <w:ind w:firstLine="420" w:firstLineChars="200"/>
        <w:rPr>
          <w:rFonts w:ascii="宋体" w:hAnsi="宋体"/>
          <w:szCs w:val="21"/>
          <w:highlight w:val="none"/>
        </w:rPr>
      </w:pPr>
      <w:r>
        <w:rPr>
          <w:rFonts w:hint="eastAsia" w:ascii="宋体" w:hAnsi="宋体"/>
          <w:szCs w:val="21"/>
          <w:highlight w:val="none"/>
        </w:rPr>
        <w:t>35.8《广州市工程建设项目招标投标管理办法》（穗府办规〔2017〕5号）。</w:t>
      </w:r>
    </w:p>
    <w:p w14:paraId="08F689A1">
      <w:pPr>
        <w:spacing w:line="460" w:lineRule="exact"/>
        <w:ind w:firstLine="420" w:firstLineChars="200"/>
        <w:rPr>
          <w:rFonts w:ascii="宋体" w:hAnsi="宋体"/>
          <w:szCs w:val="21"/>
          <w:highlight w:val="none"/>
        </w:rPr>
      </w:pPr>
      <w:r>
        <w:rPr>
          <w:rFonts w:hint="eastAsia" w:ascii="宋体" w:hAnsi="宋体"/>
          <w:szCs w:val="21"/>
          <w:highlight w:val="none"/>
        </w:rPr>
        <w:t>35.9本项目招标文件。</w:t>
      </w:r>
    </w:p>
    <w:p w14:paraId="6A5E7B33">
      <w:pPr>
        <w:spacing w:line="460" w:lineRule="exact"/>
        <w:ind w:firstLine="422" w:firstLineChars="200"/>
        <w:rPr>
          <w:rFonts w:ascii="宋体" w:hAnsi="宋体"/>
          <w:b/>
          <w:bCs/>
          <w:szCs w:val="21"/>
          <w:highlight w:val="none"/>
        </w:rPr>
      </w:pPr>
      <w:r>
        <w:rPr>
          <w:rFonts w:hint="eastAsia" w:ascii="宋体" w:hAnsi="宋体"/>
          <w:b/>
          <w:bCs/>
          <w:szCs w:val="21"/>
          <w:highlight w:val="none"/>
        </w:rPr>
        <w:t>3</w:t>
      </w:r>
      <w:r>
        <w:rPr>
          <w:rFonts w:ascii="宋体" w:hAnsi="宋体"/>
          <w:b/>
          <w:bCs/>
          <w:szCs w:val="21"/>
          <w:highlight w:val="none"/>
        </w:rPr>
        <w:t>6.</w:t>
      </w:r>
      <w:r>
        <w:rPr>
          <w:rFonts w:hint="eastAsia" w:ascii="宋体" w:hAnsi="宋体"/>
          <w:b/>
          <w:bCs/>
          <w:szCs w:val="21"/>
          <w:highlight w:val="none"/>
        </w:rPr>
        <w:t>开标</w:t>
      </w:r>
    </w:p>
    <w:p w14:paraId="42C8503C">
      <w:pPr>
        <w:spacing w:line="460" w:lineRule="exact"/>
        <w:ind w:firstLine="420" w:firstLineChars="200"/>
        <w:rPr>
          <w:rFonts w:ascii="宋体" w:hAnsi="宋体"/>
          <w:szCs w:val="21"/>
          <w:highlight w:val="none"/>
        </w:rPr>
      </w:pPr>
      <w:r>
        <w:rPr>
          <w:rFonts w:hint="eastAsia" w:ascii="宋体" w:hAnsi="宋体"/>
          <w:szCs w:val="21"/>
          <w:highlight w:val="none"/>
        </w:rPr>
        <w:t>36.1 招标人按投标须知前附表第18项所规定的时间和地点公开开标，并邀请所有投标人参加。截标后，开标开始时间因故推迟的，相关评标信息仍以原定的开标开始时间的信息为准。</w:t>
      </w:r>
    </w:p>
    <w:p w14:paraId="0D0CF31E">
      <w:pPr>
        <w:spacing w:line="460" w:lineRule="exact"/>
        <w:ind w:firstLine="420" w:firstLineChars="200"/>
        <w:rPr>
          <w:rFonts w:ascii="宋体" w:hAnsi="宋体"/>
          <w:szCs w:val="21"/>
          <w:highlight w:val="none"/>
        </w:rPr>
      </w:pPr>
      <w:r>
        <w:rPr>
          <w:rFonts w:hint="eastAsia" w:ascii="宋体" w:hAnsi="宋体"/>
          <w:szCs w:val="21"/>
          <w:highlight w:val="none"/>
        </w:rPr>
        <w:t>36.2 招标人在招标文件要求提交投标文件的截止时间前收到的投标文件，开标时都当众予以解密、公布。</w:t>
      </w:r>
    </w:p>
    <w:p w14:paraId="65F6804E">
      <w:pPr>
        <w:spacing w:line="460" w:lineRule="exact"/>
        <w:ind w:firstLine="420" w:firstLineChars="200"/>
        <w:rPr>
          <w:rFonts w:ascii="宋体" w:hAnsi="宋体"/>
          <w:szCs w:val="21"/>
          <w:highlight w:val="none"/>
        </w:rPr>
      </w:pPr>
      <w:r>
        <w:rPr>
          <w:rFonts w:hint="eastAsia" w:ascii="宋体" w:hAnsi="宋体"/>
          <w:szCs w:val="21"/>
          <w:highlight w:val="none"/>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2C93D649">
      <w:pPr>
        <w:spacing w:line="460" w:lineRule="exact"/>
        <w:ind w:firstLine="420" w:firstLineChars="200"/>
        <w:rPr>
          <w:rFonts w:ascii="宋体" w:hAnsi="宋体"/>
          <w:szCs w:val="21"/>
          <w:highlight w:val="none"/>
        </w:rPr>
      </w:pPr>
      <w:r>
        <w:rPr>
          <w:rFonts w:hint="eastAsia" w:ascii="宋体" w:hAnsi="宋体"/>
          <w:szCs w:val="21"/>
          <w:highlight w:val="none"/>
        </w:rPr>
        <w:t>36.4若递交投标文件的投标人不足3家，则重新组织招标。（当N个标段同时招标且不允许兼中时，若有效投标人不足N+2家，则重新组织招标）</w:t>
      </w:r>
    </w:p>
    <w:p w14:paraId="26C0F123">
      <w:pPr>
        <w:spacing w:line="460" w:lineRule="exact"/>
        <w:ind w:firstLine="420" w:firstLineChars="200"/>
        <w:rPr>
          <w:rFonts w:ascii="宋体" w:hAnsi="宋体"/>
          <w:szCs w:val="21"/>
          <w:highlight w:val="none"/>
        </w:rPr>
      </w:pPr>
      <w:r>
        <w:rPr>
          <w:rFonts w:hint="eastAsia" w:ascii="宋体" w:hAnsi="宋体"/>
          <w:szCs w:val="21"/>
          <w:highlight w:val="none"/>
        </w:rPr>
        <w:t>36.5按下列程序进行开标：</w:t>
      </w:r>
    </w:p>
    <w:p w14:paraId="7514F474">
      <w:pPr>
        <w:spacing w:line="460" w:lineRule="exact"/>
        <w:ind w:firstLine="420" w:firstLineChars="200"/>
        <w:rPr>
          <w:rFonts w:ascii="宋体" w:hAnsi="宋体"/>
          <w:szCs w:val="21"/>
          <w:highlight w:val="none"/>
        </w:rPr>
      </w:pPr>
      <w:r>
        <w:rPr>
          <w:rFonts w:hint="eastAsia" w:ascii="宋体" w:hAnsi="宋体"/>
          <w:szCs w:val="21"/>
          <w:highlight w:val="none"/>
        </w:rPr>
        <w:t>36.5.1在投标截止时间后半小时内，投标人通过</w:t>
      </w:r>
      <w:r>
        <w:rPr>
          <w:rFonts w:ascii="宋体" w:hAnsi="宋体"/>
          <w:szCs w:val="21"/>
          <w:highlight w:val="none"/>
          <w:u w:val="single"/>
        </w:rPr>
        <w:t xml:space="preserve">        </w:t>
      </w:r>
      <w:r>
        <w:rPr>
          <w:rFonts w:hint="eastAsia" w:ascii="宋体" w:hAnsi="宋体"/>
          <w:szCs w:val="21"/>
          <w:highlight w:val="none"/>
        </w:rPr>
        <w:t>交易平台对已递交的电子投标文件进行解密。投标人完成解密后，再由招标人进行解密（如有项目负责人签到环节，应在项目负责人签到完成后，招标人再进行解密）。解密完成后，公布招标项目名称、投标人名称、投标保证金的递交情况、投标报价、工期及其他内容；</w:t>
      </w:r>
    </w:p>
    <w:p w14:paraId="6C1ECE46">
      <w:pPr>
        <w:spacing w:line="460" w:lineRule="exact"/>
        <w:ind w:firstLine="420" w:firstLineChars="200"/>
        <w:rPr>
          <w:rFonts w:ascii="宋体" w:hAnsi="宋体"/>
          <w:szCs w:val="21"/>
          <w:highlight w:val="none"/>
        </w:rPr>
      </w:pPr>
      <w:r>
        <w:rPr>
          <w:rFonts w:hint="eastAsia" w:ascii="宋体" w:hAnsi="宋体"/>
          <w:szCs w:val="21"/>
          <w:highlight w:val="none"/>
        </w:rPr>
        <w:t>36.5.2备用光盘的读取按投标须知前附表第36项的规定执行；</w:t>
      </w:r>
    </w:p>
    <w:p w14:paraId="6E0AF49C">
      <w:pPr>
        <w:spacing w:line="460" w:lineRule="exact"/>
        <w:ind w:firstLine="420" w:firstLineChars="200"/>
        <w:rPr>
          <w:rFonts w:ascii="宋体" w:hAnsi="宋体"/>
          <w:szCs w:val="21"/>
          <w:highlight w:val="none"/>
        </w:rPr>
      </w:pPr>
      <w:r>
        <w:rPr>
          <w:rFonts w:hint="eastAsia" w:ascii="宋体" w:hAnsi="宋体"/>
          <w:szCs w:val="21"/>
          <w:highlight w:val="none"/>
        </w:rPr>
        <w:t>36.5.3投标人代表、招标人代表、监标人、记录人等有关人员在开标记录上签字确认；若有关人员不签字的，不影响开标程序；</w:t>
      </w:r>
    </w:p>
    <w:p w14:paraId="4F19DC32">
      <w:pPr>
        <w:spacing w:line="460" w:lineRule="exact"/>
        <w:ind w:firstLine="420" w:firstLineChars="200"/>
        <w:rPr>
          <w:rFonts w:ascii="宋体" w:hAnsi="宋体"/>
          <w:szCs w:val="21"/>
          <w:highlight w:val="none"/>
        </w:rPr>
      </w:pPr>
      <w:r>
        <w:rPr>
          <w:rFonts w:hint="eastAsia" w:ascii="宋体" w:hAnsi="宋体"/>
          <w:szCs w:val="21"/>
          <w:highlight w:val="none"/>
        </w:rPr>
        <w:t>36.5.4开标结束。</w:t>
      </w:r>
    </w:p>
    <w:p w14:paraId="4E5FA349">
      <w:pPr>
        <w:spacing w:line="460" w:lineRule="exact"/>
        <w:ind w:firstLine="420" w:firstLineChars="200"/>
        <w:rPr>
          <w:rFonts w:ascii="宋体" w:hAnsi="宋体"/>
          <w:szCs w:val="21"/>
          <w:highlight w:val="none"/>
        </w:rPr>
      </w:pPr>
      <w:r>
        <w:rPr>
          <w:rFonts w:hint="eastAsia" w:ascii="宋体" w:hAnsi="宋体"/>
          <w:szCs w:val="21"/>
          <w:highlight w:val="none"/>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35265955">
      <w:pPr>
        <w:spacing w:line="460" w:lineRule="exact"/>
        <w:ind w:firstLine="420" w:firstLineChars="200"/>
        <w:rPr>
          <w:rFonts w:ascii="宋体" w:hAnsi="宋体"/>
          <w:szCs w:val="21"/>
          <w:highlight w:val="none"/>
        </w:rPr>
      </w:pPr>
      <w:r>
        <w:rPr>
          <w:rFonts w:hint="eastAsia" w:ascii="宋体" w:hAnsi="宋体"/>
          <w:szCs w:val="21"/>
          <w:highlight w:val="none"/>
        </w:rPr>
        <w:t>36.7开标时，两个（含两个）以上的投标人加密打包投标文件电脑机器特征码一致的，不参与下一程序，并由评标委员会否决其投标。</w:t>
      </w:r>
    </w:p>
    <w:p w14:paraId="36412F74">
      <w:pPr>
        <w:spacing w:line="460" w:lineRule="exact"/>
        <w:ind w:firstLine="422" w:firstLineChars="200"/>
        <w:rPr>
          <w:rFonts w:ascii="宋体" w:hAnsi="宋体"/>
          <w:b/>
          <w:bCs/>
          <w:szCs w:val="21"/>
          <w:highlight w:val="none"/>
        </w:rPr>
      </w:pPr>
      <w:r>
        <w:rPr>
          <w:rFonts w:hint="eastAsia" w:ascii="宋体" w:hAnsi="宋体"/>
          <w:b/>
          <w:bCs/>
          <w:szCs w:val="21"/>
          <w:highlight w:val="none"/>
        </w:rPr>
        <w:t>37．评标</w:t>
      </w:r>
    </w:p>
    <w:p w14:paraId="0ADED2A5">
      <w:pPr>
        <w:spacing w:line="460" w:lineRule="exact"/>
        <w:ind w:firstLine="420" w:firstLineChars="200"/>
        <w:rPr>
          <w:rFonts w:ascii="宋体" w:hAnsi="宋体"/>
          <w:szCs w:val="21"/>
          <w:highlight w:val="none"/>
        </w:rPr>
      </w:pPr>
      <w:r>
        <w:rPr>
          <w:rFonts w:hint="eastAsia" w:ascii="宋体" w:hAnsi="宋体"/>
          <w:szCs w:val="21"/>
          <w:highlight w:val="none"/>
        </w:rPr>
        <w:t>37.1评标委员会由招标人依法组建。</w:t>
      </w:r>
    </w:p>
    <w:p w14:paraId="35A3F04F">
      <w:pPr>
        <w:spacing w:line="460" w:lineRule="exact"/>
        <w:ind w:firstLine="420" w:firstLineChars="200"/>
        <w:rPr>
          <w:rFonts w:ascii="宋体" w:hAnsi="宋体"/>
          <w:szCs w:val="21"/>
          <w:highlight w:val="none"/>
        </w:rPr>
      </w:pPr>
      <w:r>
        <w:rPr>
          <w:rFonts w:hint="eastAsia" w:ascii="宋体" w:hAnsi="宋体"/>
          <w:szCs w:val="21"/>
          <w:highlight w:val="none"/>
        </w:rPr>
        <w:t>37.2评标委员会的职责及守则：</w:t>
      </w:r>
    </w:p>
    <w:p w14:paraId="0662C0E4">
      <w:pPr>
        <w:spacing w:line="460" w:lineRule="exact"/>
        <w:ind w:firstLine="420" w:firstLineChars="200"/>
        <w:rPr>
          <w:rFonts w:ascii="宋体" w:hAnsi="宋体"/>
          <w:szCs w:val="21"/>
          <w:highlight w:val="none"/>
        </w:rPr>
      </w:pPr>
      <w:r>
        <w:rPr>
          <w:rFonts w:hint="eastAsia" w:ascii="宋体" w:hAnsi="宋体"/>
          <w:szCs w:val="21"/>
          <w:highlight w:val="none"/>
        </w:rPr>
        <w:t>37.2.1根据评标细则，对投标文件进行认真评审，完成评审报告；</w:t>
      </w:r>
    </w:p>
    <w:p w14:paraId="735E5BC1">
      <w:pPr>
        <w:spacing w:line="460" w:lineRule="exact"/>
        <w:ind w:firstLine="420" w:firstLineChars="200"/>
        <w:rPr>
          <w:rFonts w:ascii="宋体" w:hAnsi="宋体"/>
          <w:szCs w:val="21"/>
          <w:highlight w:val="none"/>
        </w:rPr>
      </w:pPr>
      <w:r>
        <w:rPr>
          <w:rFonts w:hint="eastAsia" w:ascii="宋体" w:hAnsi="宋体"/>
          <w:szCs w:val="21"/>
          <w:highlight w:val="none"/>
        </w:rPr>
        <w:t>37.2.2向招标人报告评审意见，推荐合格的中标候选人。</w:t>
      </w:r>
    </w:p>
    <w:p w14:paraId="04B05C52">
      <w:pPr>
        <w:spacing w:line="460" w:lineRule="exact"/>
        <w:ind w:firstLine="420" w:firstLineChars="200"/>
        <w:rPr>
          <w:rFonts w:ascii="宋体" w:hAnsi="宋体"/>
          <w:szCs w:val="21"/>
          <w:highlight w:val="none"/>
        </w:rPr>
      </w:pPr>
      <w:r>
        <w:rPr>
          <w:rFonts w:hint="eastAsia" w:ascii="宋体" w:hAnsi="宋体"/>
          <w:bCs/>
          <w:szCs w:val="21"/>
          <w:highlight w:val="none"/>
        </w:rPr>
        <w:t>37.2.3</w:t>
      </w:r>
      <w:r>
        <w:rPr>
          <w:rFonts w:hint="eastAsia" w:ascii="宋体" w:hAnsi="宋体"/>
          <w:szCs w:val="21"/>
          <w:highlight w:val="none"/>
        </w:rPr>
        <w:t>所有参加评标人员必须遵守国家、地方政府制定的有关工程招标投标的法则、规定，遵守有关工程招标投标的保密制度；如有违反者，给予行政处分；情节严重，构成犯罪的，由司法机关依法追究其刑事责任。</w:t>
      </w:r>
    </w:p>
    <w:p w14:paraId="38B6AA4D">
      <w:pPr>
        <w:spacing w:line="460" w:lineRule="exact"/>
        <w:ind w:firstLine="420" w:firstLineChars="200"/>
        <w:rPr>
          <w:rFonts w:ascii="宋体" w:hAnsi="宋体"/>
          <w:szCs w:val="21"/>
          <w:highlight w:val="none"/>
        </w:rPr>
      </w:pPr>
      <w:r>
        <w:rPr>
          <w:rFonts w:hint="eastAsia" w:ascii="宋体" w:hAnsi="宋体"/>
          <w:szCs w:val="21"/>
          <w:highlight w:val="none"/>
        </w:rPr>
        <w:t>37.2.4全体参与评标人员：</w:t>
      </w:r>
    </w:p>
    <w:p w14:paraId="7E10C2A5">
      <w:pPr>
        <w:spacing w:line="460" w:lineRule="exact"/>
        <w:ind w:firstLine="420" w:firstLineChars="200"/>
        <w:rPr>
          <w:rFonts w:ascii="宋体" w:hAnsi="宋体"/>
          <w:szCs w:val="21"/>
          <w:highlight w:val="none"/>
        </w:rPr>
      </w:pPr>
      <w:r>
        <w:rPr>
          <w:rFonts w:hint="eastAsia" w:ascii="宋体" w:hAnsi="宋体"/>
          <w:szCs w:val="21"/>
          <w:highlight w:val="none"/>
        </w:rPr>
        <w:t>37.2.4.1 必须遵守评标纪律、不得泄密；</w:t>
      </w:r>
    </w:p>
    <w:p w14:paraId="11717345">
      <w:pPr>
        <w:spacing w:line="460" w:lineRule="exact"/>
        <w:ind w:firstLine="420" w:firstLineChars="200"/>
        <w:rPr>
          <w:rFonts w:ascii="宋体" w:hAnsi="宋体"/>
          <w:szCs w:val="21"/>
          <w:highlight w:val="none"/>
        </w:rPr>
      </w:pPr>
      <w:r>
        <w:rPr>
          <w:rFonts w:hint="eastAsia" w:ascii="宋体" w:hAnsi="宋体"/>
          <w:szCs w:val="21"/>
          <w:highlight w:val="none"/>
        </w:rPr>
        <w:t>37.2.4.2 必须公正、不得循私；</w:t>
      </w:r>
    </w:p>
    <w:p w14:paraId="5BC879D8">
      <w:pPr>
        <w:spacing w:line="460" w:lineRule="exact"/>
        <w:ind w:firstLine="420" w:firstLineChars="200"/>
        <w:rPr>
          <w:rFonts w:ascii="宋体" w:hAnsi="宋体"/>
          <w:szCs w:val="21"/>
          <w:highlight w:val="none"/>
        </w:rPr>
      </w:pPr>
      <w:r>
        <w:rPr>
          <w:rFonts w:hint="eastAsia" w:ascii="宋体" w:hAnsi="宋体"/>
          <w:szCs w:val="21"/>
          <w:highlight w:val="none"/>
        </w:rPr>
        <w:t>37.2.4.3 必须科学、不得草率；</w:t>
      </w:r>
    </w:p>
    <w:p w14:paraId="17D790B2">
      <w:pPr>
        <w:spacing w:line="460" w:lineRule="exact"/>
        <w:ind w:firstLine="420" w:firstLineChars="200"/>
        <w:rPr>
          <w:rFonts w:ascii="宋体" w:hAnsi="宋体"/>
          <w:szCs w:val="21"/>
          <w:highlight w:val="none"/>
        </w:rPr>
      </w:pPr>
      <w:r>
        <w:rPr>
          <w:rFonts w:hint="eastAsia" w:ascii="宋体" w:hAnsi="宋体"/>
          <w:szCs w:val="21"/>
          <w:highlight w:val="none"/>
        </w:rPr>
        <w:t>37.2.4.4 必须客观、不得带有成见；</w:t>
      </w:r>
    </w:p>
    <w:p w14:paraId="2B514C96">
      <w:pPr>
        <w:spacing w:line="460" w:lineRule="exact"/>
        <w:ind w:firstLine="420" w:firstLineChars="200"/>
        <w:rPr>
          <w:rFonts w:ascii="宋体" w:hAnsi="宋体"/>
          <w:szCs w:val="21"/>
          <w:highlight w:val="none"/>
        </w:rPr>
      </w:pPr>
      <w:r>
        <w:rPr>
          <w:rFonts w:hint="eastAsia" w:ascii="宋体" w:hAnsi="宋体"/>
          <w:szCs w:val="21"/>
          <w:highlight w:val="none"/>
        </w:rPr>
        <w:t>37.2.4.5 必须平等、不得强加于人；</w:t>
      </w:r>
    </w:p>
    <w:p w14:paraId="5555CF73">
      <w:pPr>
        <w:spacing w:line="460" w:lineRule="exact"/>
        <w:ind w:firstLine="420" w:firstLineChars="200"/>
        <w:rPr>
          <w:rFonts w:ascii="宋体" w:hAnsi="宋体"/>
          <w:szCs w:val="21"/>
          <w:highlight w:val="none"/>
        </w:rPr>
      </w:pPr>
      <w:r>
        <w:rPr>
          <w:rFonts w:hint="eastAsia" w:ascii="宋体" w:hAnsi="宋体"/>
          <w:szCs w:val="21"/>
          <w:highlight w:val="none"/>
        </w:rPr>
        <w:t>37.2.4.6 必须严谨、不得随意马虎。</w:t>
      </w:r>
    </w:p>
    <w:p w14:paraId="3FE44567">
      <w:pPr>
        <w:spacing w:line="460" w:lineRule="exact"/>
        <w:ind w:firstLine="420" w:firstLineChars="200"/>
        <w:rPr>
          <w:rFonts w:ascii="宋体" w:hAnsi="宋体"/>
          <w:szCs w:val="21"/>
          <w:highlight w:val="none"/>
        </w:rPr>
      </w:pPr>
      <w:r>
        <w:rPr>
          <w:rFonts w:hint="eastAsia" w:ascii="宋体" w:hAnsi="宋体"/>
          <w:szCs w:val="21"/>
          <w:highlight w:val="none"/>
        </w:rPr>
        <w:t xml:space="preserve">37.3 评标结束后，评标委员会递交评标报告并依法推荐中标候选人。 </w:t>
      </w:r>
    </w:p>
    <w:p w14:paraId="2FF000FB">
      <w:pPr>
        <w:spacing w:line="460" w:lineRule="exact"/>
        <w:ind w:firstLine="422" w:firstLineChars="200"/>
        <w:rPr>
          <w:rFonts w:ascii="宋体" w:hAnsi="宋体"/>
          <w:b/>
          <w:bCs/>
          <w:szCs w:val="21"/>
          <w:highlight w:val="none"/>
        </w:rPr>
      </w:pPr>
      <w:r>
        <w:rPr>
          <w:rFonts w:hint="eastAsia" w:ascii="宋体" w:hAnsi="宋体"/>
          <w:b/>
          <w:bCs/>
          <w:szCs w:val="21"/>
          <w:highlight w:val="none"/>
        </w:rPr>
        <w:t>38．投标文件的澄清</w:t>
      </w:r>
    </w:p>
    <w:p w14:paraId="4F1099DF">
      <w:pPr>
        <w:spacing w:line="460" w:lineRule="exact"/>
        <w:ind w:firstLine="420" w:firstLineChars="200"/>
        <w:rPr>
          <w:rFonts w:ascii="宋体" w:hAnsi="宋体"/>
          <w:szCs w:val="21"/>
          <w:highlight w:val="none"/>
        </w:rPr>
      </w:pPr>
      <w:r>
        <w:rPr>
          <w:rFonts w:hint="eastAsia" w:ascii="宋体" w:hAnsi="宋体"/>
          <w:szCs w:val="21"/>
          <w:highlight w:val="none"/>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1BC0E7CC">
      <w:pPr>
        <w:spacing w:line="460" w:lineRule="exact"/>
        <w:ind w:firstLine="420" w:firstLineChars="200"/>
        <w:rPr>
          <w:rFonts w:ascii="宋体" w:hAnsi="宋体"/>
          <w:szCs w:val="21"/>
          <w:highlight w:val="none"/>
        </w:rPr>
      </w:pPr>
      <w:r>
        <w:rPr>
          <w:rFonts w:hint="eastAsia" w:ascii="宋体" w:hAnsi="宋体"/>
          <w:szCs w:val="21"/>
          <w:highlight w:val="none"/>
        </w:rPr>
        <w:t>38.2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14:paraId="0EA73975">
      <w:pPr>
        <w:spacing w:line="460" w:lineRule="exact"/>
        <w:ind w:firstLine="420" w:firstLineChars="200"/>
        <w:rPr>
          <w:rFonts w:ascii="宋体" w:hAnsi="宋体"/>
          <w:szCs w:val="21"/>
          <w:highlight w:val="none"/>
        </w:rPr>
      </w:pPr>
      <w:r>
        <w:rPr>
          <w:rFonts w:hint="eastAsia" w:ascii="宋体" w:hAnsi="宋体"/>
          <w:szCs w:val="21"/>
          <w:highlight w:val="none"/>
        </w:rPr>
        <w:t>38.3 评标委员会或评标委员会专业评审组成员均应当阅读投标人的澄清，但应独立参考澄清对投标文件进行评审。</w:t>
      </w:r>
    </w:p>
    <w:p w14:paraId="62E126B8">
      <w:pPr>
        <w:spacing w:line="460" w:lineRule="exact"/>
        <w:ind w:firstLine="420" w:firstLineChars="200"/>
        <w:rPr>
          <w:rFonts w:ascii="宋体" w:hAnsi="宋体"/>
          <w:szCs w:val="21"/>
          <w:highlight w:val="none"/>
        </w:rPr>
      </w:pPr>
      <w:r>
        <w:rPr>
          <w:rFonts w:hint="eastAsia" w:ascii="宋体" w:hAnsi="宋体"/>
          <w:szCs w:val="21"/>
          <w:highlight w:val="none"/>
        </w:rPr>
        <w:t>38.4如果投标文件实质上不响应招标文件的各项要求，评标委员会将按照符合性审查标准予以拒绝，不接受投标人通过修改或撤销其不符合要求的差异或保留，使之成为具有响应性的投标。</w:t>
      </w:r>
    </w:p>
    <w:p w14:paraId="5FD2B912">
      <w:pPr>
        <w:spacing w:line="460" w:lineRule="exact"/>
        <w:ind w:firstLine="420" w:firstLineChars="200"/>
        <w:rPr>
          <w:rFonts w:ascii="宋体" w:hAnsi="宋体"/>
          <w:szCs w:val="21"/>
          <w:highlight w:val="none"/>
        </w:rPr>
      </w:pPr>
      <w:r>
        <w:rPr>
          <w:rFonts w:hint="eastAsia" w:ascii="宋体" w:hAnsi="宋体"/>
          <w:szCs w:val="21"/>
          <w:highlight w:val="none"/>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14:paraId="1799FC3A">
      <w:pPr>
        <w:spacing w:line="460" w:lineRule="exact"/>
        <w:ind w:firstLine="422" w:firstLineChars="200"/>
        <w:rPr>
          <w:rFonts w:ascii="宋体" w:hAnsi="宋体"/>
          <w:b/>
          <w:bCs/>
          <w:szCs w:val="21"/>
          <w:highlight w:val="none"/>
        </w:rPr>
      </w:pPr>
      <w:r>
        <w:rPr>
          <w:rFonts w:hint="eastAsia" w:ascii="宋体" w:hAnsi="宋体"/>
          <w:b/>
          <w:bCs/>
          <w:szCs w:val="21"/>
          <w:highlight w:val="none"/>
        </w:rPr>
        <w:t>39．定标</w:t>
      </w:r>
    </w:p>
    <w:p w14:paraId="6E0BE296">
      <w:pPr>
        <w:spacing w:line="460" w:lineRule="exact"/>
        <w:ind w:firstLine="420" w:firstLineChars="200"/>
        <w:rPr>
          <w:rFonts w:ascii="宋体" w:hAnsi="宋体"/>
          <w:szCs w:val="21"/>
          <w:highlight w:val="none"/>
        </w:rPr>
      </w:pPr>
      <w:r>
        <w:rPr>
          <w:rFonts w:hint="eastAsia" w:ascii="宋体" w:hAnsi="宋体"/>
          <w:szCs w:val="21"/>
          <w:highlight w:val="none"/>
        </w:rPr>
        <w:t>39.1 招标人根据评标委员会递交的评标报告，最终审定中标人。</w:t>
      </w:r>
    </w:p>
    <w:p w14:paraId="3D4B6CF5">
      <w:pPr>
        <w:spacing w:line="460" w:lineRule="exact"/>
        <w:ind w:firstLine="420" w:firstLineChars="200"/>
        <w:rPr>
          <w:rFonts w:ascii="宋体" w:hAnsi="宋体"/>
          <w:szCs w:val="21"/>
          <w:highlight w:val="none"/>
        </w:rPr>
      </w:pPr>
      <w:r>
        <w:rPr>
          <w:rFonts w:hint="eastAsia" w:ascii="宋体" w:hAnsi="宋体"/>
          <w:szCs w:val="21"/>
          <w:highlight w:val="none"/>
        </w:rPr>
        <w:t>39.2 依法必须进行公开招标的项目，招标人应当确定排名第一的中标候选人为中标人。</w:t>
      </w:r>
    </w:p>
    <w:p w14:paraId="3A945F8D">
      <w:pPr>
        <w:spacing w:line="460" w:lineRule="exact"/>
        <w:ind w:firstLine="420" w:firstLineChars="200"/>
        <w:rPr>
          <w:rFonts w:ascii="宋体" w:hAnsi="宋体"/>
          <w:szCs w:val="21"/>
          <w:highlight w:val="none"/>
        </w:rPr>
      </w:pPr>
      <w:r>
        <w:rPr>
          <w:rFonts w:hint="eastAsia" w:ascii="宋体" w:hAnsi="宋体"/>
          <w:szCs w:val="21"/>
          <w:highlight w:val="none"/>
        </w:rPr>
        <w:t>39.3排名第一的中标候选人放弃中标、或因不可抗力提出不能履行合同，或者招标文件规定应当提交履约担保而在规定的期限内未能提交的，招标人可以确定排名第二的中标候选人为中标人。</w:t>
      </w:r>
    </w:p>
    <w:p w14:paraId="494244C0">
      <w:pPr>
        <w:spacing w:line="460" w:lineRule="exact"/>
        <w:ind w:firstLine="420" w:firstLineChars="200"/>
        <w:rPr>
          <w:rFonts w:ascii="宋体" w:hAnsi="宋体"/>
          <w:szCs w:val="21"/>
          <w:highlight w:val="none"/>
        </w:rPr>
      </w:pPr>
      <w:r>
        <w:rPr>
          <w:rFonts w:hint="eastAsia" w:ascii="宋体" w:hAnsi="宋体"/>
          <w:szCs w:val="21"/>
          <w:highlight w:val="none"/>
        </w:rPr>
        <w:t>39.4排名第二的中标候选人出现前款所列的情形的，招标人可以确定排名第三的中标候选人为中标人。以此类推，如所有中标候选人均出现前款所列的情形，为招标失败，招标人依法重新招标。</w:t>
      </w:r>
    </w:p>
    <w:p w14:paraId="349E02BC">
      <w:pPr>
        <w:spacing w:line="460" w:lineRule="exact"/>
        <w:ind w:firstLine="420" w:firstLineChars="200"/>
        <w:rPr>
          <w:rFonts w:ascii="宋体" w:hAnsi="宋体"/>
          <w:szCs w:val="21"/>
          <w:highlight w:val="none"/>
        </w:rPr>
      </w:pPr>
      <w:r>
        <w:rPr>
          <w:rFonts w:hint="eastAsia" w:ascii="宋体" w:hAnsi="宋体"/>
          <w:szCs w:val="21"/>
          <w:highlight w:val="none"/>
        </w:rPr>
        <w:t>39.5 重新评标的，评标信息（含业绩、奖项等）仍以投标截止时投标人的信息为准。因特殊原因需要延长投标有效期，投标人拒绝延长投标有效期的，仍参与评标，但不被推荐为中标候选人。</w:t>
      </w:r>
      <w:bookmarkStart w:id="17" w:name="_Toc2272558"/>
      <w:bookmarkEnd w:id="17"/>
      <w:bookmarkStart w:id="18" w:name="_Toc105014633"/>
      <w:bookmarkStart w:id="19" w:name="_Toc21525502"/>
    </w:p>
    <w:p w14:paraId="5A7A7062">
      <w:pPr>
        <w:spacing w:line="460" w:lineRule="exact"/>
        <w:ind w:firstLine="422" w:firstLineChars="200"/>
        <w:rPr>
          <w:rFonts w:ascii="宋体" w:hAnsi="宋体"/>
          <w:szCs w:val="21"/>
          <w:highlight w:val="none"/>
        </w:rPr>
      </w:pPr>
      <w:r>
        <w:rPr>
          <w:rFonts w:hint="eastAsia"/>
          <w:b/>
          <w:bCs/>
          <w:szCs w:val="21"/>
          <w:highlight w:val="none"/>
        </w:rPr>
        <w:t>（二）开标评标办法程序和细则</w:t>
      </w:r>
      <w:bookmarkEnd w:id="18"/>
      <w:bookmarkEnd w:id="19"/>
    </w:p>
    <w:p w14:paraId="299E828F">
      <w:pPr>
        <w:spacing w:line="460" w:lineRule="exact"/>
        <w:ind w:firstLine="420" w:firstLineChars="200"/>
        <w:rPr>
          <w:rFonts w:ascii="宋体" w:hAnsi="宋体"/>
          <w:szCs w:val="21"/>
          <w:highlight w:val="none"/>
        </w:rPr>
      </w:pPr>
      <w:r>
        <w:rPr>
          <w:rFonts w:hint="eastAsia" w:ascii="宋体" w:hAnsi="宋体"/>
          <w:szCs w:val="21"/>
          <w:highlight w:val="none"/>
        </w:rPr>
        <w:t>注：以下</w:t>
      </w:r>
      <w:r>
        <w:rPr>
          <w:rFonts w:ascii="宋体" w:hAnsi="宋体"/>
          <w:szCs w:val="21"/>
          <w:highlight w:val="none"/>
        </w:rPr>
        <w:t>八</w:t>
      </w:r>
      <w:r>
        <w:rPr>
          <w:rFonts w:hint="eastAsia" w:ascii="宋体" w:hAnsi="宋体"/>
          <w:szCs w:val="21"/>
          <w:highlight w:val="none"/>
        </w:rPr>
        <w:t>种评标办法所述企业综合诚信评价分数即投标截止当日广州市工程招标代理行业协会网站上公布的企业综合诚信评价60日诚信分。</w:t>
      </w:r>
      <w:bookmarkStart w:id="20" w:name="_Toc2272563"/>
      <w:bookmarkEnd w:id="20"/>
      <w:bookmarkStart w:id="21" w:name="_Toc2272559"/>
      <w:bookmarkEnd w:id="21"/>
      <w:bookmarkStart w:id="22" w:name="_Toc100130481"/>
      <w:bookmarkStart w:id="23" w:name="_Toc71617140"/>
    </w:p>
    <w:bookmarkEnd w:id="22"/>
    <w:bookmarkEnd w:id="23"/>
    <w:p w14:paraId="512805E7">
      <w:pPr>
        <w:pStyle w:val="5"/>
        <w:spacing w:before="156" w:after="156"/>
        <w:ind w:firstLine="420" w:firstLineChars="200"/>
        <w:rPr>
          <w:sz w:val="21"/>
          <w:szCs w:val="21"/>
          <w:highlight w:val="none"/>
        </w:rPr>
      </w:pPr>
      <w:bookmarkStart w:id="24" w:name="_Toc21525509"/>
      <w:bookmarkStart w:id="25" w:name="_Toc24831"/>
      <w:r>
        <w:rPr>
          <w:rFonts w:hint="eastAsia"/>
          <w:sz w:val="21"/>
          <w:szCs w:val="21"/>
          <w:highlight w:val="none"/>
        </w:rPr>
        <w:t>可选办法七（适合综合评分法四，技术标与经济标同时开启）</w:t>
      </w:r>
      <w:bookmarkEnd w:id="24"/>
      <w:bookmarkEnd w:id="25"/>
    </w:p>
    <w:p w14:paraId="09429554">
      <w:pPr>
        <w:snapToGrid w:val="0"/>
        <w:spacing w:line="360" w:lineRule="auto"/>
        <w:ind w:firstLine="420" w:firstLineChars="200"/>
        <w:rPr>
          <w:rFonts w:ascii="宋体" w:hAnsi="宋体"/>
          <w:szCs w:val="21"/>
          <w:highlight w:val="none"/>
        </w:rPr>
      </w:pPr>
      <w:r>
        <w:rPr>
          <w:rFonts w:hint="eastAsia" w:ascii="宋体" w:hAnsi="宋体"/>
          <w:szCs w:val="21"/>
          <w:highlight w:val="none"/>
        </w:rPr>
        <w:t>40．开标和评标程序</w:t>
      </w:r>
    </w:p>
    <w:p w14:paraId="6A74AA40">
      <w:pPr>
        <w:snapToGrid w:val="0"/>
        <w:spacing w:line="360" w:lineRule="auto"/>
        <w:ind w:firstLine="420" w:firstLineChars="200"/>
        <w:rPr>
          <w:rFonts w:ascii="宋体" w:hAnsi="宋体"/>
          <w:szCs w:val="21"/>
          <w:highlight w:val="none"/>
        </w:rPr>
      </w:pPr>
      <w:r>
        <w:rPr>
          <w:rFonts w:hint="eastAsia" w:ascii="宋体" w:hAnsi="宋体"/>
          <w:szCs w:val="21"/>
          <w:highlight w:val="none"/>
        </w:rPr>
        <w:t>40.1技术标（含资格审查文件）与经济标投标文件同时公开开标；</w:t>
      </w:r>
    </w:p>
    <w:p w14:paraId="66F977C8">
      <w:pPr>
        <w:snapToGrid w:val="0"/>
        <w:spacing w:line="360" w:lineRule="auto"/>
        <w:ind w:firstLine="420" w:firstLineChars="200"/>
        <w:rPr>
          <w:rFonts w:ascii="宋体" w:hAnsi="宋体"/>
          <w:szCs w:val="21"/>
          <w:highlight w:val="none"/>
        </w:rPr>
      </w:pPr>
      <w:r>
        <w:rPr>
          <w:rFonts w:hint="eastAsia" w:ascii="宋体" w:hAnsi="宋体"/>
          <w:szCs w:val="21"/>
          <w:highlight w:val="none"/>
        </w:rPr>
        <w:t>40.2由评标委员会对所有已公开开标的投标人进行资格审查；</w:t>
      </w:r>
    </w:p>
    <w:p w14:paraId="6BF25CCE">
      <w:pPr>
        <w:snapToGrid w:val="0"/>
        <w:spacing w:line="360" w:lineRule="auto"/>
        <w:ind w:firstLine="420" w:firstLineChars="200"/>
        <w:rPr>
          <w:rFonts w:ascii="宋体" w:hAnsi="宋体"/>
          <w:szCs w:val="21"/>
          <w:highlight w:val="none"/>
        </w:rPr>
      </w:pPr>
      <w:r>
        <w:rPr>
          <w:rFonts w:hint="eastAsia" w:ascii="宋体" w:hAnsi="宋体"/>
          <w:szCs w:val="21"/>
          <w:highlight w:val="none"/>
        </w:rPr>
        <w:t>40.3技术标投标文件有效性审查；</w:t>
      </w:r>
    </w:p>
    <w:p w14:paraId="380AB359">
      <w:pPr>
        <w:snapToGrid w:val="0"/>
        <w:spacing w:line="360" w:lineRule="auto"/>
        <w:ind w:firstLine="420" w:firstLineChars="200"/>
        <w:rPr>
          <w:rFonts w:ascii="宋体" w:hAnsi="宋体"/>
          <w:szCs w:val="21"/>
          <w:highlight w:val="none"/>
        </w:rPr>
      </w:pPr>
      <w:r>
        <w:rPr>
          <w:rFonts w:hint="eastAsia" w:ascii="宋体" w:hAnsi="宋体"/>
          <w:szCs w:val="21"/>
          <w:highlight w:val="none"/>
        </w:rPr>
        <w:t>40.4技术标详细审查评分；</w:t>
      </w:r>
    </w:p>
    <w:p w14:paraId="6000F507">
      <w:pPr>
        <w:snapToGrid w:val="0"/>
        <w:spacing w:line="360" w:lineRule="auto"/>
        <w:ind w:firstLine="420" w:firstLineChars="200"/>
        <w:rPr>
          <w:rFonts w:ascii="宋体" w:hAnsi="宋体"/>
          <w:szCs w:val="21"/>
          <w:highlight w:val="none"/>
        </w:rPr>
      </w:pPr>
      <w:r>
        <w:rPr>
          <w:rFonts w:hint="eastAsia" w:ascii="宋体" w:hAnsi="宋体"/>
          <w:szCs w:val="21"/>
          <w:highlight w:val="none"/>
        </w:rPr>
        <w:t>40.5经济标详细审查评分；</w:t>
      </w:r>
    </w:p>
    <w:p w14:paraId="7BDEE5B9">
      <w:pPr>
        <w:snapToGrid w:val="0"/>
        <w:spacing w:line="360" w:lineRule="auto"/>
        <w:ind w:firstLine="420" w:firstLineChars="200"/>
        <w:rPr>
          <w:rFonts w:ascii="宋体" w:hAnsi="宋体"/>
          <w:szCs w:val="21"/>
          <w:highlight w:val="none"/>
        </w:rPr>
      </w:pPr>
      <w:r>
        <w:rPr>
          <w:rFonts w:hint="eastAsia" w:ascii="宋体" w:hAnsi="宋体"/>
          <w:szCs w:val="21"/>
          <w:highlight w:val="none"/>
        </w:rPr>
        <w:t>40.6评标委员会按照投标人总得分由高至低排序；</w:t>
      </w:r>
    </w:p>
    <w:p w14:paraId="1EE70547">
      <w:pPr>
        <w:snapToGrid w:val="0"/>
        <w:spacing w:line="360" w:lineRule="auto"/>
        <w:ind w:firstLine="420" w:firstLineChars="200"/>
        <w:rPr>
          <w:rFonts w:ascii="宋体" w:hAnsi="宋体"/>
          <w:szCs w:val="21"/>
          <w:highlight w:val="none"/>
        </w:rPr>
      </w:pPr>
      <w:r>
        <w:rPr>
          <w:rFonts w:hint="eastAsia" w:ascii="宋体" w:hAnsi="宋体"/>
          <w:szCs w:val="21"/>
          <w:highlight w:val="none"/>
        </w:rPr>
        <w:t>40.7经济标投标文件有效性审查；</w:t>
      </w:r>
    </w:p>
    <w:p w14:paraId="491DE379">
      <w:pPr>
        <w:snapToGrid w:val="0"/>
        <w:spacing w:line="360" w:lineRule="auto"/>
        <w:ind w:firstLine="420" w:firstLineChars="200"/>
        <w:rPr>
          <w:rFonts w:ascii="宋体" w:hAnsi="宋体"/>
          <w:szCs w:val="21"/>
          <w:highlight w:val="none"/>
        </w:rPr>
      </w:pPr>
      <w:r>
        <w:rPr>
          <w:rFonts w:hint="eastAsia" w:ascii="宋体" w:hAnsi="宋体"/>
          <w:szCs w:val="21"/>
          <w:highlight w:val="none"/>
        </w:rPr>
        <w:t>40.8评标委员会按排序向招标人推荐中标候选人名单，并递交资格审查报告及评标报告。</w:t>
      </w:r>
    </w:p>
    <w:p w14:paraId="74AA7DC1">
      <w:pPr>
        <w:snapToGrid w:val="0"/>
        <w:spacing w:line="360" w:lineRule="auto"/>
        <w:ind w:firstLine="420" w:firstLineChars="200"/>
        <w:rPr>
          <w:rFonts w:ascii="宋体" w:hAnsi="宋体"/>
          <w:szCs w:val="21"/>
          <w:highlight w:val="none"/>
        </w:rPr>
      </w:pPr>
      <w:r>
        <w:rPr>
          <w:rFonts w:hint="eastAsia" w:ascii="宋体" w:hAnsi="宋体"/>
          <w:szCs w:val="21"/>
          <w:highlight w:val="none"/>
        </w:rPr>
        <w:t>41．开标细则</w:t>
      </w:r>
    </w:p>
    <w:p w14:paraId="69F2CEFC">
      <w:pPr>
        <w:snapToGrid w:val="0"/>
        <w:spacing w:line="360" w:lineRule="auto"/>
        <w:ind w:firstLine="420" w:firstLineChars="200"/>
        <w:rPr>
          <w:rFonts w:ascii="宋体" w:hAnsi="宋体"/>
          <w:szCs w:val="21"/>
          <w:highlight w:val="none"/>
        </w:rPr>
      </w:pPr>
      <w:r>
        <w:rPr>
          <w:rFonts w:hint="eastAsia" w:ascii="宋体" w:hAnsi="宋体"/>
          <w:szCs w:val="21"/>
          <w:highlight w:val="none"/>
        </w:rPr>
        <w:t>41.1开标由招标人主持；</w:t>
      </w:r>
    </w:p>
    <w:p w14:paraId="1E39B32D">
      <w:pPr>
        <w:snapToGrid w:val="0"/>
        <w:spacing w:line="360" w:lineRule="auto"/>
        <w:ind w:firstLine="420" w:firstLineChars="200"/>
        <w:rPr>
          <w:rFonts w:ascii="宋体" w:hAnsi="宋体"/>
          <w:szCs w:val="21"/>
          <w:highlight w:val="none"/>
        </w:rPr>
      </w:pPr>
      <w:r>
        <w:rPr>
          <w:rFonts w:hint="eastAsia" w:ascii="宋体" w:hAnsi="宋体"/>
          <w:szCs w:val="21"/>
          <w:highlight w:val="none"/>
        </w:rPr>
        <w:t>41.2 细则</w:t>
      </w:r>
    </w:p>
    <w:p w14:paraId="72CDA480">
      <w:pPr>
        <w:snapToGrid w:val="0"/>
        <w:spacing w:line="360" w:lineRule="auto"/>
        <w:ind w:firstLine="420" w:firstLineChars="200"/>
        <w:rPr>
          <w:rFonts w:ascii="宋体" w:hAnsi="宋体"/>
          <w:szCs w:val="21"/>
          <w:highlight w:val="none"/>
        </w:rPr>
      </w:pPr>
      <w:r>
        <w:rPr>
          <w:rFonts w:hint="eastAsia" w:ascii="宋体" w:hAnsi="宋体"/>
          <w:szCs w:val="21"/>
          <w:highlight w:val="none"/>
        </w:rPr>
        <w:t>41.2.1投标截止期前，各投标人递交投标文件（包括技术标投标文件、经济标投标文件）至</w:t>
      </w:r>
      <w:r>
        <w:rPr>
          <w:rFonts w:hint="eastAsia" w:ascii="宋体" w:cs="宋体"/>
          <w:sz w:val="24"/>
          <w:szCs w:val="24"/>
          <w:highlight w:val="none"/>
          <w:u w:val="single"/>
          <w:lang w:bidi="ar-SA"/>
        </w:rPr>
        <w:t xml:space="preserve">                </w:t>
      </w:r>
      <w:r>
        <w:rPr>
          <w:rFonts w:hint="eastAsia" w:ascii="宋体" w:hAnsi="宋体"/>
          <w:szCs w:val="21"/>
          <w:highlight w:val="none"/>
        </w:rPr>
        <w:t xml:space="preserve">交易平台。有关投标文件提交的事项详见第一章投标须知。 </w:t>
      </w:r>
    </w:p>
    <w:p w14:paraId="24249DD4">
      <w:pPr>
        <w:snapToGrid w:val="0"/>
        <w:spacing w:line="360" w:lineRule="auto"/>
        <w:ind w:firstLine="420" w:firstLineChars="200"/>
        <w:rPr>
          <w:rFonts w:ascii="宋体" w:hAnsi="宋体"/>
          <w:szCs w:val="21"/>
          <w:highlight w:val="none"/>
        </w:rPr>
      </w:pPr>
      <w:r>
        <w:rPr>
          <w:rFonts w:hint="eastAsia" w:ascii="宋体" w:hAnsi="宋体"/>
          <w:szCs w:val="21"/>
          <w:highlight w:val="none"/>
        </w:rPr>
        <w:t>41.2.2开标前，首先由招标人随机抽取确定该工程计算评标参考价的等分点值X。</w:t>
      </w:r>
    </w:p>
    <w:p w14:paraId="74A6D7C7">
      <w:pPr>
        <w:snapToGrid w:val="0"/>
        <w:spacing w:line="360" w:lineRule="auto"/>
        <w:ind w:firstLine="420" w:firstLineChars="200"/>
        <w:rPr>
          <w:rFonts w:ascii="宋体" w:hAnsi="宋体"/>
          <w:szCs w:val="21"/>
          <w:highlight w:val="none"/>
        </w:rPr>
      </w:pPr>
      <w:r>
        <w:rPr>
          <w:rFonts w:hint="eastAsia" w:ascii="宋体" w:hAnsi="宋体"/>
          <w:szCs w:val="21"/>
          <w:highlight w:val="none"/>
        </w:rPr>
        <w:t>41.2.3开标时，投标人代表有权出席开标会，也可以自主决定不参加开标会，若投标人代表对开标过程提出异议，该投标人代表须同时出示本人身份证原件。</w:t>
      </w:r>
    </w:p>
    <w:p w14:paraId="4E48CF44">
      <w:pPr>
        <w:snapToGrid w:val="0"/>
        <w:spacing w:line="360" w:lineRule="auto"/>
        <w:ind w:firstLine="420" w:firstLineChars="200"/>
        <w:rPr>
          <w:rFonts w:ascii="宋体" w:hAnsi="宋体"/>
          <w:szCs w:val="21"/>
          <w:highlight w:val="none"/>
        </w:rPr>
      </w:pPr>
      <w:r>
        <w:rPr>
          <w:rFonts w:hint="eastAsia" w:ascii="宋体" w:hAnsi="宋体"/>
          <w:szCs w:val="21"/>
          <w:highlight w:val="none"/>
        </w:rPr>
        <w:t xml:space="preserve">41.2.4按36.5.1的规定完成解密后，公布下列内容，并予以记录，记录提交评标委员会评审： </w:t>
      </w:r>
    </w:p>
    <w:p w14:paraId="2B2427AA">
      <w:pPr>
        <w:snapToGrid w:val="0"/>
        <w:spacing w:line="360" w:lineRule="auto"/>
        <w:ind w:firstLine="420" w:firstLineChars="200"/>
        <w:rPr>
          <w:rFonts w:ascii="宋体" w:hAnsi="宋体"/>
          <w:szCs w:val="21"/>
          <w:highlight w:val="none"/>
        </w:rPr>
      </w:pPr>
      <w:r>
        <w:rPr>
          <w:rFonts w:hint="eastAsia" w:ascii="宋体" w:hAnsi="宋体"/>
          <w:szCs w:val="21"/>
          <w:highlight w:val="none"/>
        </w:rPr>
        <w:t>41.2.4.1开标时，公布：a、投标人名称；b、投标文件密封情况；c、投标报价；d、投标保证金；e、项目经理（负责人）名称；f、法定代表人证明及授权委托等主要内容及开标记录表中的其他必要内容。投标报价以数字和文字两种方式表述的，应公布文字表述的投标报价。</w:t>
      </w:r>
    </w:p>
    <w:p w14:paraId="40F6D4AE">
      <w:pPr>
        <w:snapToGrid w:val="0"/>
        <w:spacing w:line="360" w:lineRule="auto"/>
        <w:ind w:firstLine="420" w:firstLineChars="200"/>
        <w:rPr>
          <w:rFonts w:ascii="宋体" w:hAnsi="宋体"/>
          <w:szCs w:val="21"/>
          <w:highlight w:val="none"/>
        </w:rPr>
      </w:pPr>
      <w:r>
        <w:rPr>
          <w:rFonts w:hint="eastAsia" w:ascii="宋体" w:hAnsi="宋体"/>
          <w:szCs w:val="21"/>
          <w:highlight w:val="none"/>
        </w:rPr>
        <w:t>41.3招标人对开标过程进行记录，并存档备查，投标人在技术标开标记录上签字。</w:t>
      </w:r>
    </w:p>
    <w:p w14:paraId="622FAC79">
      <w:pPr>
        <w:snapToGrid w:val="0"/>
        <w:spacing w:line="360" w:lineRule="auto"/>
        <w:ind w:firstLine="420" w:firstLineChars="200"/>
        <w:rPr>
          <w:rFonts w:ascii="宋体" w:hAnsi="宋体"/>
          <w:szCs w:val="21"/>
          <w:highlight w:val="none"/>
        </w:rPr>
      </w:pPr>
      <w:r>
        <w:rPr>
          <w:rFonts w:hint="eastAsia" w:ascii="宋体" w:hAnsi="宋体"/>
          <w:szCs w:val="21"/>
          <w:highlight w:val="none"/>
        </w:rPr>
        <w:t>41.4 招标人将上述符合要求的投标文件，送至评标委员会进行评审。</w:t>
      </w:r>
    </w:p>
    <w:p w14:paraId="23AFA877">
      <w:pPr>
        <w:pStyle w:val="24"/>
        <w:tabs>
          <w:tab w:val="left" w:pos="7380"/>
        </w:tabs>
        <w:snapToGrid w:val="0"/>
        <w:spacing w:after="0" w:line="360" w:lineRule="auto"/>
        <w:ind w:firstLine="420" w:firstLineChars="200"/>
        <w:rPr>
          <w:rFonts w:ascii="宋体" w:hAnsi="宋体"/>
          <w:kern w:val="2"/>
          <w:sz w:val="21"/>
          <w:szCs w:val="21"/>
          <w:highlight w:val="none"/>
        </w:rPr>
      </w:pPr>
      <w:r>
        <w:rPr>
          <w:rFonts w:hint="eastAsia" w:ascii="宋体" w:hAnsi="宋体"/>
          <w:kern w:val="2"/>
          <w:sz w:val="21"/>
          <w:szCs w:val="21"/>
          <w:highlight w:val="none"/>
        </w:rPr>
        <w:t>42. 资格审查及评标细则</w:t>
      </w:r>
    </w:p>
    <w:p w14:paraId="31216846">
      <w:pPr>
        <w:pStyle w:val="24"/>
        <w:tabs>
          <w:tab w:val="left" w:pos="7380"/>
        </w:tabs>
        <w:snapToGrid w:val="0"/>
        <w:spacing w:after="0" w:line="360" w:lineRule="auto"/>
        <w:ind w:firstLine="420" w:firstLineChars="200"/>
        <w:rPr>
          <w:rFonts w:ascii="宋体" w:hAnsi="宋体"/>
          <w:kern w:val="2"/>
          <w:sz w:val="21"/>
          <w:szCs w:val="21"/>
          <w:highlight w:val="none"/>
        </w:rPr>
      </w:pPr>
      <w:r>
        <w:rPr>
          <w:rFonts w:hint="eastAsia" w:ascii="宋体" w:hAnsi="宋体"/>
          <w:kern w:val="2"/>
          <w:sz w:val="21"/>
          <w:szCs w:val="21"/>
          <w:highlight w:val="none"/>
        </w:rPr>
        <w:t>42.1资格审查及评标均由招标人依法组建的评标委员会负责。</w:t>
      </w:r>
    </w:p>
    <w:p w14:paraId="282C16BC">
      <w:pPr>
        <w:pStyle w:val="24"/>
        <w:tabs>
          <w:tab w:val="left" w:pos="7380"/>
        </w:tabs>
        <w:snapToGrid w:val="0"/>
        <w:spacing w:after="0" w:line="360" w:lineRule="auto"/>
        <w:ind w:firstLine="420" w:firstLineChars="200"/>
        <w:rPr>
          <w:rFonts w:ascii="宋体" w:hAnsi="宋体"/>
          <w:sz w:val="21"/>
          <w:szCs w:val="21"/>
          <w:highlight w:val="none"/>
        </w:rPr>
      </w:pPr>
      <w:r>
        <w:rPr>
          <w:rFonts w:hint="eastAsia" w:ascii="宋体" w:hAnsi="宋体"/>
          <w:kern w:val="2"/>
          <w:sz w:val="21"/>
          <w:szCs w:val="21"/>
          <w:highlight w:val="none"/>
        </w:rPr>
        <w:t xml:space="preserve">42.2评标委员会的组成：方式 </w:t>
      </w:r>
      <w:r>
        <w:rPr>
          <w:rFonts w:hint="eastAsia" w:ascii="宋体" w:cs="宋体"/>
          <w:sz w:val="24"/>
          <w:szCs w:val="24"/>
          <w:highlight w:val="none"/>
          <w:u w:val="single"/>
          <w:lang w:bidi="ar-SA"/>
        </w:rPr>
        <w:t xml:space="preserve">    </w:t>
      </w:r>
      <w:r>
        <w:rPr>
          <w:rFonts w:hint="eastAsia" w:ascii="宋体" w:hAnsi="宋体"/>
          <w:sz w:val="21"/>
          <w:szCs w:val="21"/>
          <w:highlight w:val="none"/>
        </w:rPr>
        <w:t>。</w:t>
      </w:r>
    </w:p>
    <w:p w14:paraId="03900DE0">
      <w:pPr>
        <w:snapToGrid w:val="0"/>
        <w:spacing w:line="360" w:lineRule="auto"/>
        <w:ind w:firstLine="420" w:firstLineChars="200"/>
        <w:rPr>
          <w:rFonts w:ascii="宋体" w:hAnsi="宋体"/>
          <w:szCs w:val="21"/>
          <w:highlight w:val="none"/>
        </w:rPr>
      </w:pPr>
      <w:r>
        <w:rPr>
          <w:rFonts w:hint="eastAsia" w:ascii="宋体" w:hAnsi="宋体"/>
          <w:szCs w:val="21"/>
          <w:highlight w:val="none"/>
        </w:rPr>
        <w:t>方式一：评标委员会为综合评标委员会，负责资格审查及评标工作。</w:t>
      </w:r>
    </w:p>
    <w:p w14:paraId="59B15F48">
      <w:pPr>
        <w:pStyle w:val="24"/>
        <w:tabs>
          <w:tab w:val="left" w:pos="7380"/>
        </w:tabs>
        <w:snapToGrid w:val="0"/>
        <w:spacing w:after="0" w:line="360" w:lineRule="auto"/>
        <w:rPr>
          <w:rFonts w:ascii="宋体" w:hAnsi="宋体"/>
          <w:kern w:val="2"/>
          <w:sz w:val="21"/>
          <w:szCs w:val="21"/>
          <w:highlight w:val="none"/>
        </w:rPr>
      </w:pPr>
      <w:r>
        <w:rPr>
          <w:rFonts w:hint="eastAsia" w:ascii="宋体" w:hAnsi="宋体" w:cs="宋体"/>
          <w:sz w:val="21"/>
          <w:szCs w:val="21"/>
          <w:highlight w:val="none"/>
        </w:rPr>
        <w:t>方式二：评标委员会由技术评审组和经济评审组组成。</w:t>
      </w:r>
      <w:r>
        <w:rPr>
          <w:rFonts w:hint="eastAsia" w:ascii="宋体" w:hAnsi="宋体"/>
          <w:kern w:val="2"/>
          <w:sz w:val="21"/>
          <w:szCs w:val="21"/>
          <w:highlight w:val="none"/>
        </w:rPr>
        <w:t>其中：资格审查及技术评审由技术评标组负责，经济评审由经济评审组负责。</w:t>
      </w:r>
    </w:p>
    <w:p w14:paraId="5AFD7AEA">
      <w:pPr>
        <w:pStyle w:val="24"/>
        <w:tabs>
          <w:tab w:val="left" w:pos="7380"/>
        </w:tabs>
        <w:snapToGrid w:val="0"/>
        <w:spacing w:after="0" w:line="360" w:lineRule="auto"/>
        <w:rPr>
          <w:rFonts w:ascii="宋体" w:hAnsi="宋体"/>
          <w:kern w:val="2"/>
          <w:sz w:val="21"/>
          <w:szCs w:val="21"/>
          <w:highlight w:val="none"/>
        </w:rPr>
      </w:pPr>
      <w:r>
        <w:rPr>
          <w:rFonts w:hint="eastAsia" w:ascii="宋体" w:hAnsi="宋体"/>
          <w:kern w:val="2"/>
          <w:sz w:val="21"/>
          <w:szCs w:val="21"/>
          <w:highlight w:val="none"/>
        </w:rPr>
        <w:t>43．投标人资格审查</w:t>
      </w:r>
    </w:p>
    <w:p w14:paraId="4AF9A049">
      <w:pPr>
        <w:pStyle w:val="24"/>
        <w:tabs>
          <w:tab w:val="left" w:pos="7380"/>
        </w:tabs>
        <w:snapToGrid w:val="0"/>
        <w:spacing w:after="0" w:line="360" w:lineRule="auto"/>
        <w:rPr>
          <w:rFonts w:ascii="宋体" w:hAnsi="宋体"/>
          <w:kern w:val="2"/>
          <w:sz w:val="21"/>
          <w:szCs w:val="21"/>
          <w:highlight w:val="none"/>
        </w:rPr>
      </w:pPr>
      <w:r>
        <w:rPr>
          <w:rFonts w:hint="eastAsia" w:ascii="宋体" w:hAnsi="宋体"/>
          <w:kern w:val="2"/>
          <w:sz w:val="21"/>
          <w:szCs w:val="21"/>
          <w:highlight w:val="none"/>
        </w:rPr>
        <w:t>43.1资格审查文件中全部符合附表一《资格审查表》中情形的，为资格审查合格；否则为资格审查不合格。如评标委员会成员的评审意见不一致时，以评标委员会过半数成员的意见作为评标委员会对该情形的认定结论。</w:t>
      </w:r>
    </w:p>
    <w:p w14:paraId="0F822A5C">
      <w:pPr>
        <w:pStyle w:val="24"/>
        <w:tabs>
          <w:tab w:val="left" w:pos="7380"/>
        </w:tabs>
        <w:snapToGrid w:val="0"/>
        <w:spacing w:after="0" w:line="360" w:lineRule="auto"/>
        <w:rPr>
          <w:rFonts w:ascii="宋体" w:hAnsi="宋体"/>
          <w:kern w:val="2"/>
          <w:sz w:val="21"/>
          <w:szCs w:val="21"/>
          <w:highlight w:val="none"/>
        </w:rPr>
      </w:pPr>
      <w:r>
        <w:rPr>
          <w:rFonts w:hint="eastAsia" w:ascii="宋体" w:hAnsi="宋体"/>
          <w:kern w:val="2"/>
          <w:sz w:val="21"/>
          <w:szCs w:val="21"/>
          <w:highlight w:val="none"/>
        </w:rPr>
        <w:t>43.2汇总资格审查情况，编写资格审查报告。</w:t>
      </w:r>
    </w:p>
    <w:p w14:paraId="04ED8F36">
      <w:pPr>
        <w:pStyle w:val="24"/>
        <w:tabs>
          <w:tab w:val="left" w:pos="7380"/>
        </w:tabs>
        <w:snapToGrid w:val="0"/>
        <w:spacing w:after="0" w:line="360" w:lineRule="auto"/>
        <w:rPr>
          <w:rFonts w:ascii="宋体" w:hAnsi="宋体"/>
          <w:kern w:val="2"/>
          <w:sz w:val="21"/>
          <w:szCs w:val="21"/>
          <w:highlight w:val="none"/>
        </w:rPr>
      </w:pPr>
      <w:r>
        <w:rPr>
          <w:rFonts w:hint="eastAsia" w:ascii="宋体" w:hAnsi="宋体"/>
          <w:kern w:val="2"/>
          <w:sz w:val="21"/>
          <w:szCs w:val="21"/>
          <w:highlight w:val="none"/>
        </w:rPr>
        <w:t>43.3资格审查不合格的投标文件不参加下一阶段的评标，不参与评标参考价的计算。</w:t>
      </w:r>
    </w:p>
    <w:p w14:paraId="0E5B9871">
      <w:pPr>
        <w:pStyle w:val="24"/>
        <w:tabs>
          <w:tab w:val="left" w:pos="7380"/>
        </w:tabs>
        <w:snapToGrid w:val="0"/>
        <w:spacing w:after="0" w:line="360" w:lineRule="auto"/>
        <w:rPr>
          <w:rFonts w:ascii="宋体" w:hAnsi="宋体"/>
          <w:kern w:val="2"/>
          <w:sz w:val="21"/>
          <w:szCs w:val="21"/>
          <w:highlight w:val="none"/>
        </w:rPr>
      </w:pPr>
      <w:r>
        <w:rPr>
          <w:rFonts w:hint="eastAsia" w:ascii="宋体" w:hAnsi="宋体"/>
          <w:kern w:val="2"/>
          <w:sz w:val="21"/>
          <w:szCs w:val="21"/>
          <w:highlight w:val="none"/>
        </w:rPr>
        <w:t>43.4资格审查时，投标企业名称已经工商变更的，但企业及个人的资质证书未完成企业名称变更，仍然承认其有效。资质证书、安全生产许可证之间登记的信息不一致，应当允许投标人澄清，不得直接否决其投标。</w:t>
      </w:r>
    </w:p>
    <w:p w14:paraId="76458845">
      <w:pPr>
        <w:pStyle w:val="24"/>
        <w:tabs>
          <w:tab w:val="left" w:pos="7380"/>
        </w:tabs>
        <w:snapToGrid w:val="0"/>
        <w:spacing w:after="0" w:line="360" w:lineRule="auto"/>
        <w:rPr>
          <w:rFonts w:ascii="宋体" w:hAnsi="宋体"/>
          <w:kern w:val="2"/>
          <w:sz w:val="21"/>
          <w:szCs w:val="21"/>
          <w:highlight w:val="none"/>
        </w:rPr>
      </w:pPr>
      <w:r>
        <w:rPr>
          <w:rFonts w:hint="eastAsia" w:ascii="宋体" w:hAnsi="宋体"/>
          <w:kern w:val="2"/>
          <w:sz w:val="21"/>
          <w:szCs w:val="21"/>
          <w:highlight w:val="none"/>
        </w:rPr>
        <w:t>43.5资审合格后，投标人的资格发生变化而不满足投标人合格条件，在发出中标通知书前，资格问题仍未解决的，招标人将取消其中标资格。</w:t>
      </w:r>
    </w:p>
    <w:p w14:paraId="78D37AE9">
      <w:pPr>
        <w:pStyle w:val="24"/>
        <w:tabs>
          <w:tab w:val="left" w:pos="7380"/>
        </w:tabs>
        <w:snapToGrid w:val="0"/>
        <w:spacing w:after="0" w:line="360" w:lineRule="auto"/>
        <w:rPr>
          <w:rFonts w:ascii="宋体" w:hAnsi="宋体"/>
          <w:kern w:val="2"/>
          <w:sz w:val="21"/>
          <w:szCs w:val="21"/>
          <w:highlight w:val="none"/>
        </w:rPr>
      </w:pPr>
      <w:r>
        <w:rPr>
          <w:rFonts w:hint="eastAsia" w:ascii="宋体" w:hAnsi="宋体"/>
          <w:kern w:val="2"/>
          <w:sz w:val="21"/>
          <w:szCs w:val="21"/>
          <w:highlight w:val="none"/>
        </w:rPr>
        <w:t>43.6资格审查合格的投标人少于3名的（当N个标段同时招标且不允许兼中时，资格审查合格的投标人少于N+2名），则本项目招标失败。</w:t>
      </w:r>
    </w:p>
    <w:p w14:paraId="08D11DCB">
      <w:pPr>
        <w:pStyle w:val="24"/>
        <w:tabs>
          <w:tab w:val="left" w:pos="7380"/>
        </w:tabs>
        <w:snapToGrid w:val="0"/>
        <w:spacing w:after="0" w:line="360" w:lineRule="auto"/>
        <w:rPr>
          <w:rFonts w:ascii="宋体" w:hAnsi="宋体"/>
          <w:kern w:val="2"/>
          <w:sz w:val="21"/>
          <w:szCs w:val="21"/>
          <w:highlight w:val="none"/>
        </w:rPr>
      </w:pPr>
      <w:r>
        <w:rPr>
          <w:rFonts w:hint="eastAsia" w:ascii="宋体" w:hAnsi="宋体"/>
          <w:kern w:val="2"/>
          <w:sz w:val="21"/>
          <w:szCs w:val="21"/>
          <w:highlight w:val="none"/>
        </w:rPr>
        <w:t>44．技术标评审</w:t>
      </w:r>
    </w:p>
    <w:p w14:paraId="290644A3">
      <w:pPr>
        <w:pStyle w:val="24"/>
        <w:tabs>
          <w:tab w:val="left" w:pos="7380"/>
        </w:tabs>
        <w:snapToGrid w:val="0"/>
        <w:spacing w:after="0" w:line="360" w:lineRule="auto"/>
        <w:rPr>
          <w:rFonts w:ascii="宋体" w:hAnsi="宋体"/>
          <w:kern w:val="2"/>
          <w:sz w:val="21"/>
          <w:szCs w:val="21"/>
          <w:highlight w:val="none"/>
        </w:rPr>
      </w:pPr>
      <w:r>
        <w:rPr>
          <w:rFonts w:hint="eastAsia" w:ascii="宋体" w:hAnsi="宋体"/>
          <w:kern w:val="2"/>
          <w:sz w:val="21"/>
          <w:szCs w:val="21"/>
          <w:highlight w:val="none"/>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的评审意见不一致时，以评标委员会过半数成员的意见作为评标委员会对该情形的认定结论。若通过技术标有效性审查的投标人不足</w:t>
      </w:r>
      <w:r>
        <w:rPr>
          <w:rFonts w:ascii="宋体" w:hAnsi="宋体"/>
          <w:kern w:val="2"/>
          <w:sz w:val="21"/>
          <w:szCs w:val="21"/>
          <w:highlight w:val="none"/>
        </w:rPr>
        <w:t>3名（当N个标段同时招标且不允许兼中时，若通过技术标有效性审查投标人不足N+2名），则本项目招标失败。</w:t>
      </w:r>
    </w:p>
    <w:p w14:paraId="6E977189">
      <w:pPr>
        <w:pStyle w:val="24"/>
        <w:tabs>
          <w:tab w:val="left" w:pos="7380"/>
        </w:tabs>
        <w:snapToGrid w:val="0"/>
        <w:spacing w:after="0" w:line="360" w:lineRule="auto"/>
        <w:rPr>
          <w:rFonts w:ascii="宋体" w:hAnsi="宋体"/>
          <w:kern w:val="2"/>
          <w:sz w:val="21"/>
          <w:szCs w:val="21"/>
          <w:highlight w:val="none"/>
        </w:rPr>
      </w:pPr>
      <w:r>
        <w:rPr>
          <w:rFonts w:hint="eastAsia" w:ascii="宋体" w:hAnsi="宋体"/>
          <w:kern w:val="2"/>
          <w:sz w:val="21"/>
          <w:szCs w:val="21"/>
          <w:highlight w:val="none"/>
        </w:rPr>
        <w:t>44.2技术标详细审查评分：评标委员会按照附表四《技术标详细审查评分表》的标准，对通过技术标有效性审查的投标文件技术标进行详细审查，评出技术分，得分四舍五入精确到小数点后两位。</w:t>
      </w:r>
    </w:p>
    <w:p w14:paraId="264EDDB0">
      <w:pPr>
        <w:pStyle w:val="24"/>
        <w:tabs>
          <w:tab w:val="left" w:pos="7380"/>
        </w:tabs>
        <w:snapToGrid w:val="0"/>
        <w:spacing w:after="0" w:line="360" w:lineRule="auto"/>
        <w:rPr>
          <w:rFonts w:ascii="宋体" w:hAnsi="宋体"/>
          <w:kern w:val="2"/>
          <w:sz w:val="21"/>
          <w:szCs w:val="21"/>
          <w:highlight w:val="none"/>
        </w:rPr>
      </w:pPr>
      <w:r>
        <w:rPr>
          <w:rFonts w:hint="eastAsia" w:ascii="宋体" w:hAnsi="宋体"/>
          <w:kern w:val="2"/>
          <w:sz w:val="21"/>
          <w:szCs w:val="21"/>
          <w:highlight w:val="none"/>
        </w:rPr>
        <w:t>45．经济标评审和得分汇总</w:t>
      </w:r>
    </w:p>
    <w:p w14:paraId="50B596E2">
      <w:pPr>
        <w:pStyle w:val="24"/>
        <w:tabs>
          <w:tab w:val="left" w:pos="7380"/>
        </w:tabs>
        <w:snapToGrid w:val="0"/>
        <w:spacing w:after="0" w:line="360" w:lineRule="auto"/>
        <w:rPr>
          <w:rFonts w:ascii="宋体" w:hAnsi="宋体"/>
          <w:kern w:val="2"/>
          <w:sz w:val="21"/>
          <w:szCs w:val="21"/>
          <w:highlight w:val="none"/>
        </w:rPr>
      </w:pPr>
      <w:r>
        <w:rPr>
          <w:rFonts w:hint="eastAsia" w:ascii="宋体" w:hAnsi="宋体"/>
          <w:kern w:val="2"/>
          <w:sz w:val="21"/>
          <w:szCs w:val="21"/>
          <w:highlight w:val="none"/>
        </w:rPr>
        <w:t>45.1若通过技术标有效性审查的投标人中所有投标报价均大于等于最高投标限价*D%（D的取值范围为[94,100],由招标人自主确定）的（具体金额为：</w:t>
      </w:r>
      <w:r>
        <w:rPr>
          <w:rFonts w:hint="eastAsia" w:ascii="宋体" w:cs="宋体"/>
          <w:sz w:val="24"/>
          <w:szCs w:val="24"/>
          <w:highlight w:val="none"/>
          <w:u w:val="single"/>
          <w:lang w:bidi="ar-SA"/>
        </w:rPr>
        <w:t xml:space="preserve">    </w:t>
      </w:r>
      <w:r>
        <w:rPr>
          <w:rFonts w:hint="eastAsia" w:ascii="宋体" w:hAnsi="宋体"/>
          <w:kern w:val="2"/>
          <w:sz w:val="21"/>
          <w:szCs w:val="21"/>
          <w:highlight w:val="none"/>
        </w:rPr>
        <w:t>元），则本项目招标失败，由招标人依法重新招标。</w:t>
      </w:r>
    </w:p>
    <w:p w14:paraId="4E43CC6C">
      <w:pPr>
        <w:pStyle w:val="24"/>
        <w:tabs>
          <w:tab w:val="left" w:pos="7380"/>
        </w:tabs>
        <w:snapToGrid w:val="0"/>
        <w:spacing w:after="0" w:line="360" w:lineRule="auto"/>
        <w:rPr>
          <w:rFonts w:ascii="宋体" w:hAnsi="宋体"/>
          <w:kern w:val="2"/>
          <w:sz w:val="21"/>
          <w:szCs w:val="21"/>
          <w:highlight w:val="none"/>
        </w:rPr>
      </w:pPr>
      <w:r>
        <w:rPr>
          <w:rFonts w:hint="eastAsia" w:ascii="宋体" w:hAnsi="宋体"/>
          <w:kern w:val="2"/>
          <w:sz w:val="21"/>
          <w:szCs w:val="21"/>
          <w:highlight w:val="none"/>
        </w:rPr>
        <w:t xml:space="preserve"> 45.2按方法</w:t>
      </w:r>
      <w:r>
        <w:rPr>
          <w:rFonts w:hint="eastAsia" w:ascii="宋体" w:cs="宋体"/>
          <w:sz w:val="24"/>
          <w:szCs w:val="24"/>
          <w:highlight w:val="none"/>
          <w:u w:val="single"/>
          <w:lang w:bidi="ar-SA"/>
        </w:rPr>
        <w:t xml:space="preserve">    </w:t>
      </w:r>
      <w:r>
        <w:rPr>
          <w:rFonts w:hint="eastAsia" w:ascii="宋体" w:hAnsi="宋体"/>
          <w:kern w:val="2"/>
          <w:sz w:val="21"/>
          <w:szCs w:val="21"/>
          <w:highlight w:val="none"/>
        </w:rPr>
        <w:t>计算评标参考价：</w:t>
      </w:r>
    </w:p>
    <w:p w14:paraId="7BDADF71">
      <w:pPr>
        <w:spacing w:line="360" w:lineRule="auto"/>
        <w:ind w:firstLine="422" w:firstLineChars="200"/>
        <w:rPr>
          <w:rFonts w:ascii="宋体" w:hAnsi="宋体"/>
          <w:b/>
          <w:bCs/>
          <w:kern w:val="0"/>
          <w:szCs w:val="21"/>
          <w:highlight w:val="none"/>
        </w:rPr>
      </w:pPr>
      <w:r>
        <w:rPr>
          <w:rFonts w:hint="eastAsia" w:ascii="宋体" w:hAnsi="宋体" w:cs="仿宋"/>
          <w:b/>
          <w:bCs/>
          <w:kern w:val="0"/>
          <w:szCs w:val="21"/>
          <w:highlight w:val="none"/>
        </w:rPr>
        <w:t>方法一：加权平均法</w:t>
      </w:r>
    </w:p>
    <w:p w14:paraId="41B15599">
      <w:pPr>
        <w:spacing w:line="360" w:lineRule="auto"/>
        <w:ind w:firstLine="420" w:firstLineChars="200"/>
        <w:rPr>
          <w:rFonts w:ascii="宋体" w:hAnsi="宋体" w:cs="仿宋"/>
          <w:szCs w:val="21"/>
          <w:highlight w:val="none"/>
        </w:rPr>
      </w:pPr>
      <w:r>
        <w:rPr>
          <w:rFonts w:hint="eastAsia" w:ascii="宋体" w:hAnsi="宋体" w:cs="仿宋"/>
          <w:szCs w:val="21"/>
          <w:highlight w:val="none"/>
        </w:rPr>
        <w:t>技术标或技术标加诚信得分（具体由招标人自定）前</w:t>
      </w:r>
      <w:r>
        <w:rPr>
          <w:rFonts w:ascii="宋体" w:hAnsi="宋体" w:cs="仿宋"/>
          <w:szCs w:val="21"/>
          <w:highlight w:val="none"/>
        </w:rPr>
        <w:t>N</w:t>
      </w:r>
      <w:r>
        <w:rPr>
          <w:rFonts w:hint="eastAsia" w:ascii="宋体" w:hAnsi="宋体" w:cs="仿宋"/>
          <w:szCs w:val="21"/>
          <w:highlight w:val="none"/>
        </w:rPr>
        <w:t>名（N≥5，具体由招标人自定）的经济报价加权平均，计算评标参考价。公式如下：</w:t>
      </w:r>
    </w:p>
    <w:p w14:paraId="3A4EC8AC">
      <w:pPr>
        <w:spacing w:line="360" w:lineRule="auto"/>
        <w:ind w:firstLine="420" w:firstLineChars="200"/>
        <w:rPr>
          <w:rFonts w:ascii="宋体" w:hAnsi="宋体" w:cs="仿宋"/>
          <w:szCs w:val="21"/>
          <w:highlight w:val="none"/>
        </w:rPr>
      </w:pPr>
      <w:r>
        <w:rPr>
          <w:rFonts w:hint="eastAsia" w:ascii="宋体" w:hAnsi="宋体" w:cs="仿宋"/>
          <w:szCs w:val="21"/>
          <w:highlight w:val="none"/>
        </w:rPr>
        <w:t>评标参考价</w:t>
      </w:r>
      <w:r>
        <w:rPr>
          <w:rFonts w:ascii="宋体" w:hAnsi="宋体" w:cs="仿宋"/>
          <w:szCs w:val="21"/>
          <w:highlight w:val="none"/>
        </w:rPr>
        <w:t>=</w:t>
      </w:r>
      <w:r>
        <w:rPr>
          <w:rFonts w:hint="eastAsia" w:ascii="宋体" w:hAnsi="宋体" w:cs="仿宋"/>
          <w:szCs w:val="21"/>
          <w:highlight w:val="none"/>
        </w:rPr>
        <w:t>Σ（投标人的投标报价</w:t>
      </w:r>
      <w:r>
        <w:rPr>
          <w:rFonts w:ascii="宋体" w:hAnsi="宋体" w:cs="仿宋"/>
          <w:szCs w:val="21"/>
          <w:highlight w:val="none"/>
        </w:rPr>
        <w:t>*</w:t>
      </w:r>
      <w:r>
        <w:rPr>
          <w:rFonts w:hint="eastAsia" w:ascii="宋体" w:hAnsi="宋体" w:cs="仿宋"/>
          <w:szCs w:val="21"/>
          <w:highlight w:val="none"/>
        </w:rPr>
        <w:t>报价权重）。</w:t>
      </w:r>
    </w:p>
    <w:p w14:paraId="188ACFAF">
      <w:pPr>
        <w:spacing w:line="360" w:lineRule="auto"/>
        <w:ind w:firstLine="420" w:firstLineChars="200"/>
        <w:rPr>
          <w:rFonts w:ascii="宋体" w:hAnsi="宋体" w:cs="仿宋"/>
          <w:szCs w:val="21"/>
          <w:highlight w:val="none"/>
        </w:rPr>
      </w:pPr>
      <w:r>
        <w:rPr>
          <w:rFonts w:hint="eastAsia" w:ascii="宋体" w:hAnsi="宋体" w:cs="仿宋"/>
          <w:szCs w:val="21"/>
          <w:highlight w:val="none"/>
        </w:rPr>
        <w:t>其中：报价权重的计算方法为：将</w:t>
      </w:r>
      <w:r>
        <w:rPr>
          <w:rFonts w:ascii="宋体" w:hAnsi="宋体" w:cs="仿宋"/>
          <w:szCs w:val="21"/>
          <w:highlight w:val="none"/>
        </w:rPr>
        <w:t>N</w:t>
      </w:r>
      <w:r>
        <w:rPr>
          <w:rFonts w:hint="eastAsia" w:ascii="宋体" w:hAnsi="宋体" w:cs="仿宋"/>
          <w:szCs w:val="21"/>
          <w:highlight w:val="none"/>
        </w:rPr>
        <w:t>名投标人按技术分由高至低进行排序，第一名投标人的权重为（</w:t>
      </w:r>
      <w:r>
        <w:rPr>
          <w:rFonts w:ascii="宋体" w:hAnsi="宋体" w:cs="仿宋"/>
          <w:szCs w:val="21"/>
          <w:highlight w:val="none"/>
        </w:rPr>
        <w:fldChar w:fldCharType="begin"/>
      </w:r>
      <w:r>
        <w:rPr>
          <w:rFonts w:ascii="宋体" w:hAnsi="宋体" w:cs="仿宋"/>
          <w:szCs w:val="21"/>
          <w:highlight w:val="none"/>
        </w:rPr>
        <w:instrText xml:space="preserve">QUOTE </w:instrText>
      </w:r>
      <w:r>
        <w:rPr>
          <w:rFonts w:ascii="宋体" w:hAnsi="宋体"/>
          <w:szCs w:val="21"/>
          <w:highlight w:val="none"/>
        </w:rPr>
        <w:drawing>
          <wp:inline distT="0" distB="0" distL="114300" distR="114300">
            <wp:extent cx="381000" cy="447675"/>
            <wp:effectExtent l="0" t="0" r="0" b="8889"/>
            <wp:docPr id="3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3"/>
                    <pic:cNvPicPr>
                      <a:picLocks noChangeAspect="1"/>
                    </pic:cNvPicPr>
                  </pic:nvPicPr>
                  <pic:blipFill>
                    <a:blip r:embed="rId19">
                      <a:clrChange>
                        <a:clrFrom>
                          <a:srgbClr val="FFFFFF"/>
                        </a:clrFrom>
                        <a:clrTo>
                          <a:srgbClr val="FFFFFF">
                            <a:alpha val="0"/>
                          </a:srgbClr>
                        </a:clrTo>
                      </a:clrChange>
                    </a:blip>
                    <a:stretch>
                      <a:fillRect/>
                    </a:stretch>
                  </pic:blipFill>
                  <pic:spPr>
                    <a:xfrm>
                      <a:off x="0" y="0"/>
                      <a:ext cx="381000" cy="447675"/>
                    </a:xfrm>
                    <a:prstGeom prst="rect">
                      <a:avLst/>
                    </a:prstGeom>
                    <a:noFill/>
                    <a:ln cap="flat" cmpd="sng">
                      <a:noFill/>
                      <a:prstDash val="solid"/>
                      <a:round/>
                    </a:ln>
                  </pic:spPr>
                </pic:pic>
              </a:graphicData>
            </a:graphic>
          </wp:inline>
        </w:drawing>
      </w:r>
      <w:r>
        <w:rPr>
          <w:rFonts w:ascii="宋体" w:hAnsi="宋体" w:cs="仿宋"/>
          <w:szCs w:val="21"/>
          <w:highlight w:val="none"/>
        </w:rPr>
        <w:fldChar w:fldCharType="separate"/>
      </w:r>
      <w:r>
        <w:rPr>
          <w:rFonts w:ascii="宋体" w:hAnsi="宋体"/>
          <w:szCs w:val="21"/>
          <w:highlight w:val="none"/>
        </w:rPr>
        <w:drawing>
          <wp:inline distT="0" distB="0" distL="114300" distR="114300">
            <wp:extent cx="381000" cy="447675"/>
            <wp:effectExtent l="0" t="0" r="0" b="8889"/>
            <wp:docPr id="3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4"/>
                    <pic:cNvPicPr>
                      <a:picLocks noChangeAspect="1"/>
                    </pic:cNvPicPr>
                  </pic:nvPicPr>
                  <pic:blipFill>
                    <a:blip r:embed="rId19">
                      <a:clrChange>
                        <a:clrFrom>
                          <a:srgbClr val="FFFFFF"/>
                        </a:clrFrom>
                        <a:clrTo>
                          <a:srgbClr val="FFFFFF">
                            <a:alpha val="0"/>
                          </a:srgbClr>
                        </a:clrTo>
                      </a:clrChange>
                    </a:blip>
                    <a:stretch>
                      <a:fillRect/>
                    </a:stretch>
                  </pic:blipFill>
                  <pic:spPr>
                    <a:xfrm>
                      <a:off x="0" y="0"/>
                      <a:ext cx="381000" cy="447675"/>
                    </a:xfrm>
                    <a:prstGeom prst="rect">
                      <a:avLst/>
                    </a:prstGeom>
                    <a:noFill/>
                    <a:ln cap="flat" cmpd="sng">
                      <a:noFill/>
                      <a:prstDash val="solid"/>
                      <a:round/>
                    </a:ln>
                  </pic:spPr>
                </pic:pic>
              </a:graphicData>
            </a:graphic>
          </wp:inline>
        </w:drawing>
      </w:r>
      <w:r>
        <w:rPr>
          <w:rFonts w:ascii="宋体" w:hAnsi="宋体" w:cs="仿宋"/>
          <w:szCs w:val="21"/>
          <w:highlight w:val="none"/>
        </w:rPr>
        <w:fldChar w:fldCharType="end"/>
      </w:r>
      <w:r>
        <w:rPr>
          <w:rFonts w:hint="eastAsia" w:ascii="宋体" w:hAnsi="宋体" w:cs="仿宋"/>
          <w:szCs w:val="21"/>
          <w:highlight w:val="none"/>
        </w:rPr>
        <w:t>），第二名投标人的权重为（</w:t>
      </w:r>
      <w:r>
        <w:rPr>
          <w:rFonts w:ascii="宋体" w:hAnsi="宋体" w:cs="仿宋"/>
          <w:szCs w:val="21"/>
          <w:highlight w:val="none"/>
        </w:rPr>
        <w:fldChar w:fldCharType="begin"/>
      </w:r>
      <w:r>
        <w:rPr>
          <w:rFonts w:ascii="宋体" w:hAnsi="宋体" w:cs="仿宋"/>
          <w:szCs w:val="21"/>
          <w:highlight w:val="none"/>
        </w:rPr>
        <w:instrText xml:space="preserve">QUOTE </w:instrText>
      </w:r>
      <w:r>
        <w:rPr>
          <w:rFonts w:ascii="宋体" w:hAnsi="宋体"/>
          <w:position w:val="-23"/>
          <w:szCs w:val="21"/>
          <w:highlight w:val="none"/>
        </w:rPr>
        <w:drawing>
          <wp:inline distT="0" distB="0" distL="114300" distR="114300">
            <wp:extent cx="323850" cy="400050"/>
            <wp:effectExtent l="0" t="0" r="0" b="0"/>
            <wp:docPr id="39"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5"/>
                    <pic:cNvPicPr>
                      <a:picLocks noChangeAspect="1"/>
                    </pic:cNvPicPr>
                  </pic:nvPicPr>
                  <pic:blipFill>
                    <a:blip r:embed="rId20">
                      <a:clrChange>
                        <a:clrFrom>
                          <a:srgbClr val="FFFFFF"/>
                        </a:clrFrom>
                        <a:clrTo>
                          <a:srgbClr val="FFFFFF">
                            <a:alpha val="0"/>
                          </a:srgbClr>
                        </a:clrTo>
                      </a:clrChange>
                    </a:blip>
                    <a:stretch>
                      <a:fillRect/>
                    </a:stretch>
                  </pic:blipFill>
                  <pic:spPr>
                    <a:xfrm>
                      <a:off x="0" y="0"/>
                      <a:ext cx="323850" cy="400050"/>
                    </a:xfrm>
                    <a:prstGeom prst="rect">
                      <a:avLst/>
                    </a:prstGeom>
                    <a:noFill/>
                    <a:ln cap="flat" cmpd="sng">
                      <a:noFill/>
                      <a:prstDash val="solid"/>
                      <a:round/>
                    </a:ln>
                  </pic:spPr>
                </pic:pic>
              </a:graphicData>
            </a:graphic>
          </wp:inline>
        </w:drawing>
      </w:r>
      <w:r>
        <w:rPr>
          <w:rFonts w:ascii="宋体" w:hAnsi="宋体" w:cs="仿宋"/>
          <w:szCs w:val="21"/>
          <w:highlight w:val="none"/>
        </w:rPr>
        <w:fldChar w:fldCharType="separate"/>
      </w:r>
      <w:r>
        <w:rPr>
          <w:rFonts w:ascii="宋体" w:hAnsi="宋体"/>
          <w:position w:val="-23"/>
          <w:szCs w:val="21"/>
          <w:highlight w:val="none"/>
        </w:rPr>
        <w:drawing>
          <wp:inline distT="0" distB="0" distL="114300" distR="114300">
            <wp:extent cx="323850" cy="400050"/>
            <wp:effectExtent l="0" t="0" r="0" b="0"/>
            <wp:docPr id="40"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6"/>
                    <pic:cNvPicPr>
                      <a:picLocks noChangeAspect="1"/>
                    </pic:cNvPicPr>
                  </pic:nvPicPr>
                  <pic:blipFill>
                    <a:blip r:embed="rId20">
                      <a:clrChange>
                        <a:clrFrom>
                          <a:srgbClr val="FFFFFF"/>
                        </a:clrFrom>
                        <a:clrTo>
                          <a:srgbClr val="FFFFFF">
                            <a:alpha val="0"/>
                          </a:srgbClr>
                        </a:clrTo>
                      </a:clrChange>
                    </a:blip>
                    <a:stretch>
                      <a:fillRect/>
                    </a:stretch>
                  </pic:blipFill>
                  <pic:spPr>
                    <a:xfrm>
                      <a:off x="0" y="0"/>
                      <a:ext cx="323850" cy="400050"/>
                    </a:xfrm>
                    <a:prstGeom prst="rect">
                      <a:avLst/>
                    </a:prstGeom>
                    <a:noFill/>
                    <a:ln cap="flat" cmpd="sng">
                      <a:noFill/>
                      <a:prstDash val="solid"/>
                      <a:round/>
                    </a:ln>
                  </pic:spPr>
                </pic:pic>
              </a:graphicData>
            </a:graphic>
          </wp:inline>
        </w:drawing>
      </w:r>
      <w:r>
        <w:rPr>
          <w:rFonts w:ascii="宋体" w:hAnsi="宋体" w:cs="仿宋"/>
          <w:szCs w:val="21"/>
          <w:highlight w:val="none"/>
        </w:rPr>
        <w:fldChar w:fldCharType="end"/>
      </w:r>
      <w:r>
        <w:rPr>
          <w:rFonts w:hint="eastAsia" w:ascii="宋体" w:hAnsi="宋体" w:cs="仿宋"/>
          <w:szCs w:val="21"/>
          <w:highlight w:val="none"/>
        </w:rPr>
        <w:t>），以此类推，最后一名投标人的权重为（</w:t>
      </w:r>
      <w:r>
        <w:rPr>
          <w:rFonts w:ascii="宋体" w:hAnsi="宋体" w:cs="仿宋"/>
          <w:szCs w:val="21"/>
          <w:highlight w:val="none"/>
        </w:rPr>
        <w:fldChar w:fldCharType="begin"/>
      </w:r>
      <w:r>
        <w:rPr>
          <w:rFonts w:ascii="宋体" w:hAnsi="宋体" w:cs="仿宋"/>
          <w:szCs w:val="21"/>
          <w:highlight w:val="none"/>
        </w:rPr>
        <w:instrText xml:space="preserve">QUOTE </w:instrText>
      </w:r>
      <w:r>
        <w:rPr>
          <w:rFonts w:ascii="宋体" w:hAnsi="宋体"/>
          <w:position w:val="-23"/>
          <w:szCs w:val="21"/>
          <w:highlight w:val="none"/>
        </w:rPr>
        <w:drawing>
          <wp:inline distT="0" distB="0" distL="114300" distR="114300">
            <wp:extent cx="323850" cy="400050"/>
            <wp:effectExtent l="0" t="0" r="0" b="0"/>
            <wp:docPr id="41"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7"/>
                    <pic:cNvPicPr>
                      <a:picLocks noChangeAspect="1"/>
                    </pic:cNvPicPr>
                  </pic:nvPicPr>
                  <pic:blipFill>
                    <a:blip r:embed="rId21">
                      <a:clrChange>
                        <a:clrFrom>
                          <a:srgbClr val="FFFFFF"/>
                        </a:clrFrom>
                        <a:clrTo>
                          <a:srgbClr val="FFFFFF">
                            <a:alpha val="0"/>
                          </a:srgbClr>
                        </a:clrTo>
                      </a:clrChange>
                    </a:blip>
                    <a:stretch>
                      <a:fillRect/>
                    </a:stretch>
                  </pic:blipFill>
                  <pic:spPr>
                    <a:xfrm>
                      <a:off x="0" y="0"/>
                      <a:ext cx="323850" cy="400050"/>
                    </a:xfrm>
                    <a:prstGeom prst="rect">
                      <a:avLst/>
                    </a:prstGeom>
                    <a:noFill/>
                    <a:ln cap="flat" cmpd="sng">
                      <a:noFill/>
                      <a:prstDash val="solid"/>
                      <a:round/>
                    </a:ln>
                  </pic:spPr>
                </pic:pic>
              </a:graphicData>
            </a:graphic>
          </wp:inline>
        </w:drawing>
      </w:r>
      <w:r>
        <w:rPr>
          <w:rFonts w:ascii="宋体" w:hAnsi="宋体" w:cs="仿宋"/>
          <w:szCs w:val="21"/>
          <w:highlight w:val="none"/>
        </w:rPr>
        <w:fldChar w:fldCharType="separate"/>
      </w:r>
      <w:r>
        <w:rPr>
          <w:rFonts w:ascii="宋体" w:hAnsi="宋体"/>
          <w:position w:val="-23"/>
          <w:szCs w:val="21"/>
          <w:highlight w:val="none"/>
        </w:rPr>
        <w:drawing>
          <wp:inline distT="0" distB="0" distL="114300" distR="114300">
            <wp:extent cx="323850" cy="400050"/>
            <wp:effectExtent l="0" t="0" r="0" b="0"/>
            <wp:docPr id="42"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8"/>
                    <pic:cNvPicPr>
                      <a:picLocks noChangeAspect="1"/>
                    </pic:cNvPicPr>
                  </pic:nvPicPr>
                  <pic:blipFill>
                    <a:blip r:embed="rId21">
                      <a:clrChange>
                        <a:clrFrom>
                          <a:srgbClr val="FFFFFF"/>
                        </a:clrFrom>
                        <a:clrTo>
                          <a:srgbClr val="FFFFFF">
                            <a:alpha val="0"/>
                          </a:srgbClr>
                        </a:clrTo>
                      </a:clrChange>
                    </a:blip>
                    <a:stretch>
                      <a:fillRect/>
                    </a:stretch>
                  </pic:blipFill>
                  <pic:spPr>
                    <a:xfrm>
                      <a:off x="0" y="0"/>
                      <a:ext cx="323850" cy="400050"/>
                    </a:xfrm>
                    <a:prstGeom prst="rect">
                      <a:avLst/>
                    </a:prstGeom>
                    <a:noFill/>
                    <a:ln cap="flat" cmpd="sng">
                      <a:noFill/>
                      <a:prstDash val="solid"/>
                      <a:round/>
                    </a:ln>
                  </pic:spPr>
                </pic:pic>
              </a:graphicData>
            </a:graphic>
          </wp:inline>
        </w:drawing>
      </w:r>
      <w:r>
        <w:rPr>
          <w:rFonts w:ascii="宋体" w:hAnsi="宋体" w:cs="仿宋"/>
          <w:szCs w:val="21"/>
          <w:highlight w:val="none"/>
        </w:rPr>
        <w:fldChar w:fldCharType="end"/>
      </w:r>
      <w:r>
        <w:rPr>
          <w:rFonts w:hint="eastAsia" w:ascii="宋体" w:hAnsi="宋体" w:cs="仿宋"/>
          <w:szCs w:val="21"/>
          <w:highlight w:val="none"/>
        </w:rPr>
        <w:t>）。</w:t>
      </w:r>
    </w:p>
    <w:p w14:paraId="082B8764">
      <w:pPr>
        <w:spacing w:line="360" w:lineRule="auto"/>
        <w:ind w:firstLine="422" w:firstLineChars="200"/>
        <w:rPr>
          <w:rFonts w:ascii="宋体" w:hAnsi="宋体"/>
          <w:b/>
          <w:bCs/>
          <w:kern w:val="0"/>
          <w:szCs w:val="21"/>
          <w:highlight w:val="none"/>
        </w:rPr>
      </w:pPr>
      <w:r>
        <w:rPr>
          <w:rFonts w:hint="eastAsia" w:ascii="宋体" w:hAnsi="宋体" w:cs="仿宋"/>
          <w:b/>
          <w:bCs/>
          <w:kern w:val="0"/>
          <w:szCs w:val="21"/>
          <w:highlight w:val="none"/>
        </w:rPr>
        <w:t>方法二：区间抽取法</w:t>
      </w:r>
    </w:p>
    <w:p w14:paraId="667443F3">
      <w:pPr>
        <w:snapToGrid w:val="0"/>
        <w:spacing w:line="360" w:lineRule="auto"/>
        <w:ind w:firstLine="420" w:firstLineChars="200"/>
        <w:rPr>
          <w:rFonts w:ascii="宋体" w:hAnsi="宋体"/>
          <w:kern w:val="0"/>
          <w:szCs w:val="21"/>
          <w:highlight w:val="none"/>
        </w:rPr>
      </w:pPr>
      <w:r>
        <w:rPr>
          <w:rFonts w:hint="eastAsia" w:ascii="宋体" w:hAnsi="宋体" w:cs="仿宋"/>
          <w:szCs w:val="21"/>
          <w:highlight w:val="none"/>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54D21853">
      <w:pPr>
        <w:snapToGrid w:val="0"/>
        <w:spacing w:line="360" w:lineRule="auto"/>
        <w:ind w:firstLine="420" w:firstLineChars="200"/>
        <w:rPr>
          <w:rFonts w:ascii="宋体" w:hAnsi="宋体"/>
          <w:kern w:val="0"/>
          <w:szCs w:val="21"/>
          <w:highlight w:val="none"/>
          <w:vertAlign w:val="subscript"/>
        </w:rPr>
      </w:pPr>
      <w:r>
        <w:rPr>
          <w:rFonts w:hint="eastAsia" w:ascii="宋体" w:hAnsi="宋体" w:cs="仿宋"/>
          <w:kern w:val="0"/>
          <w:szCs w:val="21"/>
          <w:highlight w:val="none"/>
        </w:rPr>
        <w:t>评标参考价</w:t>
      </w:r>
      <w:r>
        <w:rPr>
          <w:rFonts w:ascii="宋体" w:hAnsi="宋体" w:cs="仿宋"/>
          <w:kern w:val="0"/>
          <w:szCs w:val="21"/>
          <w:highlight w:val="none"/>
        </w:rPr>
        <w:t>=</w:t>
      </w:r>
      <w:r>
        <w:rPr>
          <w:rFonts w:hint="eastAsia" w:ascii="宋体" w:hAnsi="宋体" w:cs="仿宋"/>
          <w:kern w:val="0"/>
          <w:szCs w:val="21"/>
          <w:highlight w:val="none"/>
        </w:rPr>
        <w:t>（</w:t>
      </w:r>
      <w:r>
        <w:rPr>
          <w:rFonts w:ascii="宋体" w:hAnsi="宋体" w:cs="仿宋"/>
          <w:kern w:val="0"/>
          <w:szCs w:val="21"/>
          <w:highlight w:val="none"/>
        </w:rPr>
        <w:t>Q</w:t>
      </w:r>
      <w:r>
        <w:rPr>
          <w:rFonts w:hint="eastAsia" w:ascii="宋体" w:hAnsi="宋体" w:cs="仿宋"/>
          <w:kern w:val="0"/>
          <w:szCs w:val="21"/>
          <w:highlight w:val="none"/>
          <w:vertAlign w:val="subscript"/>
        </w:rPr>
        <w:t>高</w:t>
      </w:r>
      <w:r>
        <w:rPr>
          <w:rFonts w:ascii="宋体" w:hAnsi="宋体" w:cs="仿宋"/>
          <w:kern w:val="0"/>
          <w:szCs w:val="21"/>
          <w:highlight w:val="none"/>
        </w:rPr>
        <w:t>-Q</w:t>
      </w:r>
      <w:r>
        <w:rPr>
          <w:rFonts w:hint="eastAsia" w:ascii="宋体" w:hAnsi="宋体" w:cs="仿宋"/>
          <w:kern w:val="0"/>
          <w:szCs w:val="21"/>
          <w:highlight w:val="none"/>
          <w:vertAlign w:val="subscript"/>
        </w:rPr>
        <w:t>低</w:t>
      </w:r>
      <w:r>
        <w:rPr>
          <w:rFonts w:hint="eastAsia" w:ascii="宋体" w:hAnsi="宋体" w:cs="仿宋"/>
          <w:kern w:val="0"/>
          <w:szCs w:val="21"/>
          <w:highlight w:val="none"/>
        </w:rPr>
        <w:t>）</w:t>
      </w:r>
      <w:r>
        <w:rPr>
          <w:rFonts w:ascii="宋体" w:hAnsi="宋体" w:cs="仿宋"/>
          <w:kern w:val="0"/>
          <w:szCs w:val="21"/>
          <w:highlight w:val="none"/>
        </w:rPr>
        <w:t>/100*</w:t>
      </w:r>
      <w:r>
        <w:rPr>
          <w:rFonts w:hint="eastAsia" w:ascii="宋体" w:hAnsi="宋体" w:cs="仿宋"/>
          <w:kern w:val="0"/>
          <w:szCs w:val="21"/>
          <w:highlight w:val="none"/>
        </w:rPr>
        <w:t>Ｘ</w:t>
      </w:r>
      <w:r>
        <w:rPr>
          <w:rFonts w:ascii="宋体" w:hAnsi="宋体" w:cs="仿宋"/>
          <w:kern w:val="0"/>
          <w:szCs w:val="21"/>
          <w:highlight w:val="none"/>
        </w:rPr>
        <w:t>+Q</w:t>
      </w:r>
      <w:r>
        <w:rPr>
          <w:rFonts w:hint="eastAsia" w:ascii="宋体" w:hAnsi="宋体" w:cs="仿宋"/>
          <w:kern w:val="0"/>
          <w:szCs w:val="21"/>
          <w:highlight w:val="none"/>
          <w:vertAlign w:val="subscript"/>
        </w:rPr>
        <w:t>低</w:t>
      </w:r>
    </w:p>
    <w:p w14:paraId="7A111661">
      <w:pPr>
        <w:snapToGrid w:val="0"/>
        <w:spacing w:line="360" w:lineRule="auto"/>
        <w:ind w:firstLine="420" w:firstLineChars="200"/>
        <w:rPr>
          <w:rFonts w:ascii="宋体" w:hAnsi="宋体"/>
          <w:szCs w:val="21"/>
          <w:highlight w:val="none"/>
        </w:rPr>
      </w:pPr>
      <w:r>
        <w:rPr>
          <w:rFonts w:ascii="宋体" w:hAnsi="宋体" w:cs="仿宋"/>
          <w:szCs w:val="21"/>
          <w:highlight w:val="none"/>
        </w:rPr>
        <w:t>Q</w:t>
      </w:r>
      <w:r>
        <w:rPr>
          <w:rFonts w:hint="eastAsia" w:ascii="宋体" w:hAnsi="宋体" w:cs="仿宋"/>
          <w:szCs w:val="21"/>
          <w:highlight w:val="none"/>
          <w:vertAlign w:val="subscript"/>
        </w:rPr>
        <w:t>低</w:t>
      </w:r>
      <w:r>
        <w:rPr>
          <w:rFonts w:hint="eastAsia" w:ascii="宋体" w:hAnsi="宋体" w:cs="仿宋"/>
          <w:szCs w:val="21"/>
          <w:highlight w:val="none"/>
        </w:rPr>
        <w:t>：为达到或超过技术标及格分数线的投标人最低报价与工程成本警示价两者中的较高值；</w:t>
      </w:r>
    </w:p>
    <w:p w14:paraId="11D8306A">
      <w:pPr>
        <w:spacing w:line="360" w:lineRule="auto"/>
        <w:ind w:firstLine="420" w:firstLineChars="200"/>
        <w:rPr>
          <w:rFonts w:ascii="宋体" w:hAnsi="宋体" w:cs="仿宋"/>
          <w:szCs w:val="21"/>
          <w:highlight w:val="none"/>
        </w:rPr>
      </w:pPr>
      <w:r>
        <w:rPr>
          <w:rFonts w:ascii="宋体" w:hAnsi="宋体" w:cs="仿宋"/>
          <w:kern w:val="0"/>
          <w:szCs w:val="21"/>
          <w:highlight w:val="none"/>
        </w:rPr>
        <w:t>Q</w:t>
      </w:r>
      <w:r>
        <w:rPr>
          <w:rFonts w:hint="eastAsia" w:ascii="宋体" w:hAnsi="宋体" w:cs="仿宋"/>
          <w:kern w:val="0"/>
          <w:szCs w:val="21"/>
          <w:highlight w:val="none"/>
          <w:vertAlign w:val="subscript"/>
        </w:rPr>
        <w:t>高</w:t>
      </w:r>
      <w:r>
        <w:rPr>
          <w:rFonts w:hint="eastAsia" w:ascii="宋体" w:hAnsi="宋体" w:cs="仿宋"/>
          <w:szCs w:val="21"/>
          <w:highlight w:val="none"/>
        </w:rPr>
        <w:t>：为（最高投标限价</w:t>
      </w:r>
      <w:r>
        <w:rPr>
          <w:rFonts w:ascii="宋体" w:hAnsi="宋体" w:cs="仿宋"/>
          <w:szCs w:val="21"/>
          <w:highlight w:val="none"/>
        </w:rPr>
        <w:t>*D%</w:t>
      </w:r>
      <w:r>
        <w:rPr>
          <w:rFonts w:hint="eastAsia" w:ascii="宋体" w:hAnsi="宋体" w:cs="仿宋"/>
          <w:szCs w:val="21"/>
          <w:highlight w:val="none"/>
        </w:rPr>
        <w:t>）（</w:t>
      </w:r>
      <w:r>
        <w:rPr>
          <w:rFonts w:ascii="宋体" w:hAnsi="宋体" w:cs="仿宋"/>
          <w:szCs w:val="21"/>
          <w:highlight w:val="none"/>
        </w:rPr>
        <w:t>D</w:t>
      </w:r>
      <w:r>
        <w:rPr>
          <w:rFonts w:hint="eastAsia" w:ascii="宋体" w:hAnsi="宋体" w:cs="仿宋"/>
          <w:szCs w:val="21"/>
          <w:highlight w:val="none"/>
        </w:rPr>
        <w:t>的取值范围为</w:t>
      </w:r>
      <w:r>
        <w:rPr>
          <w:rFonts w:ascii="宋体" w:hAnsi="宋体" w:cs="仿宋"/>
          <w:szCs w:val="21"/>
          <w:highlight w:val="none"/>
        </w:rPr>
        <w:t>[94,100],</w:t>
      </w:r>
      <w:r>
        <w:rPr>
          <w:rFonts w:hint="eastAsia" w:ascii="宋体" w:hAnsi="宋体" w:cs="仿宋"/>
          <w:szCs w:val="21"/>
          <w:highlight w:val="none"/>
        </w:rPr>
        <w:t>由招标人自定）</w:t>
      </w:r>
    </w:p>
    <w:p w14:paraId="098411CB">
      <w:pPr>
        <w:spacing w:line="360" w:lineRule="auto"/>
        <w:ind w:firstLine="420" w:firstLineChars="200"/>
        <w:rPr>
          <w:rFonts w:ascii="宋体" w:hAnsi="宋体"/>
          <w:szCs w:val="21"/>
          <w:highlight w:val="none"/>
        </w:rPr>
      </w:pPr>
      <w:r>
        <w:rPr>
          <w:rFonts w:ascii="宋体" w:hAnsi="宋体" w:cs="仿宋"/>
          <w:szCs w:val="21"/>
          <w:highlight w:val="none"/>
        </w:rPr>
        <w:t>X:</w:t>
      </w:r>
      <w:r>
        <w:rPr>
          <w:rFonts w:hint="eastAsia" w:ascii="宋体" w:hAnsi="宋体" w:cs="仿宋"/>
          <w:szCs w:val="21"/>
          <w:highlight w:val="none"/>
        </w:rPr>
        <w:t>为等分点值，在开标前从</w:t>
      </w:r>
      <w:r>
        <w:rPr>
          <w:rFonts w:ascii="宋体" w:hAnsi="宋体" w:cs="仿宋"/>
          <w:szCs w:val="21"/>
          <w:highlight w:val="none"/>
        </w:rPr>
        <w:t>[0,100]</w:t>
      </w:r>
      <w:r>
        <w:rPr>
          <w:rFonts w:hint="eastAsia" w:ascii="宋体" w:hAnsi="宋体" w:cs="仿宋"/>
          <w:szCs w:val="21"/>
          <w:highlight w:val="none"/>
        </w:rPr>
        <w:t>整数中随机抽取</w:t>
      </w:r>
    </w:p>
    <w:p w14:paraId="66DBFACC">
      <w:pPr>
        <w:spacing w:line="360" w:lineRule="auto"/>
        <w:ind w:firstLine="420" w:firstLineChars="200"/>
        <w:rPr>
          <w:rFonts w:ascii="宋体" w:hAnsi="宋体"/>
          <w:szCs w:val="21"/>
          <w:highlight w:val="none"/>
        </w:rPr>
      </w:pPr>
      <w:r>
        <w:rPr>
          <w:rFonts w:hint="eastAsia" w:ascii="宋体" w:hAnsi="宋体" w:cs="宋体"/>
          <w:kern w:val="0"/>
          <w:szCs w:val="21"/>
          <w:highlight w:val="none"/>
        </w:rPr>
        <w:t>45.3</w:t>
      </w:r>
      <w:r>
        <w:rPr>
          <w:rFonts w:hint="eastAsia" w:ascii="宋体" w:hAnsi="宋体"/>
          <w:szCs w:val="21"/>
          <w:highlight w:val="none"/>
        </w:rPr>
        <w:t>当标价等于评标参考价时得</w:t>
      </w:r>
      <w:r>
        <w:rPr>
          <w:rFonts w:ascii="宋体" w:hAnsi="宋体"/>
          <w:szCs w:val="21"/>
          <w:highlight w:val="none"/>
        </w:rPr>
        <w:t>100</w:t>
      </w:r>
      <w:r>
        <w:rPr>
          <w:rFonts w:hint="eastAsia" w:ascii="宋体" w:hAnsi="宋体"/>
          <w:szCs w:val="21"/>
          <w:highlight w:val="none"/>
        </w:rPr>
        <w:t>分，标价每高于评标参考价</w:t>
      </w:r>
      <w:r>
        <w:rPr>
          <w:rFonts w:ascii="宋体" w:hAnsi="宋体"/>
          <w:szCs w:val="21"/>
          <w:highlight w:val="none"/>
        </w:rPr>
        <w:t>1%</w:t>
      </w:r>
      <w:r>
        <w:rPr>
          <w:rFonts w:hint="eastAsia" w:ascii="宋体" w:hAnsi="宋体"/>
          <w:szCs w:val="21"/>
          <w:highlight w:val="none"/>
        </w:rPr>
        <w:t>，扣</w:t>
      </w:r>
      <w:r>
        <w:rPr>
          <w:rFonts w:ascii="宋体" w:hAnsi="宋体"/>
          <w:szCs w:val="21"/>
          <w:highlight w:val="none"/>
        </w:rPr>
        <w:t>1.5</w:t>
      </w:r>
      <w:r>
        <w:rPr>
          <w:rFonts w:hint="eastAsia" w:ascii="宋体" w:hAnsi="宋体"/>
          <w:szCs w:val="21"/>
          <w:highlight w:val="none"/>
        </w:rPr>
        <w:t>分，每低于评标参考价</w:t>
      </w:r>
      <w:r>
        <w:rPr>
          <w:rFonts w:ascii="宋体" w:hAnsi="宋体"/>
          <w:szCs w:val="21"/>
          <w:highlight w:val="none"/>
        </w:rPr>
        <w:t>1%</w:t>
      </w:r>
      <w:r>
        <w:rPr>
          <w:rFonts w:hint="eastAsia" w:ascii="宋体" w:hAnsi="宋体"/>
          <w:szCs w:val="21"/>
          <w:highlight w:val="none"/>
        </w:rPr>
        <w:t>，扣</w:t>
      </w:r>
      <w:r>
        <w:rPr>
          <w:rFonts w:ascii="宋体" w:hAnsi="宋体"/>
          <w:szCs w:val="21"/>
          <w:highlight w:val="none"/>
        </w:rPr>
        <w:t>1</w:t>
      </w:r>
      <w:r>
        <w:rPr>
          <w:rFonts w:hint="eastAsia" w:ascii="宋体" w:hAnsi="宋体"/>
          <w:szCs w:val="21"/>
          <w:highlight w:val="none"/>
        </w:rPr>
        <w:t>分，扣至</w:t>
      </w:r>
      <w:r>
        <w:rPr>
          <w:rFonts w:ascii="宋体" w:hAnsi="宋体"/>
          <w:szCs w:val="21"/>
          <w:highlight w:val="none"/>
        </w:rPr>
        <w:t>0</w:t>
      </w:r>
      <w:r>
        <w:rPr>
          <w:rFonts w:hint="eastAsia" w:ascii="宋体" w:hAnsi="宋体"/>
          <w:szCs w:val="21"/>
          <w:highlight w:val="none"/>
        </w:rPr>
        <w:t>分为止，得出经济分，精确到小数点后两位。</w:t>
      </w:r>
    </w:p>
    <w:p w14:paraId="0B8501F2">
      <w:pPr>
        <w:pStyle w:val="24"/>
        <w:tabs>
          <w:tab w:val="left" w:pos="7380"/>
        </w:tabs>
        <w:snapToGrid w:val="0"/>
        <w:spacing w:after="0" w:line="360" w:lineRule="auto"/>
        <w:ind w:firstLine="420" w:firstLineChars="200"/>
        <w:rPr>
          <w:rFonts w:ascii="宋体" w:hAnsi="宋体" w:cs="仿宋"/>
          <w:kern w:val="2"/>
          <w:sz w:val="21"/>
          <w:szCs w:val="21"/>
          <w:highlight w:val="none"/>
        </w:rPr>
      </w:pPr>
      <w:r>
        <w:rPr>
          <w:rFonts w:hint="eastAsia" w:ascii="宋体" w:hAnsi="宋体"/>
          <w:sz w:val="21"/>
          <w:szCs w:val="21"/>
          <w:highlight w:val="none"/>
        </w:rPr>
        <w:t>45.4</w:t>
      </w:r>
      <w:r>
        <w:rPr>
          <w:rFonts w:hint="eastAsia" w:ascii="宋体" w:hAnsi="宋体" w:cs="仿宋"/>
          <w:kern w:val="2"/>
          <w:sz w:val="21"/>
          <w:szCs w:val="21"/>
          <w:highlight w:val="none"/>
        </w:rPr>
        <w:t>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14:paraId="55F41B9C">
      <w:pPr>
        <w:pStyle w:val="24"/>
        <w:tabs>
          <w:tab w:val="left" w:pos="7380"/>
        </w:tabs>
        <w:snapToGrid w:val="0"/>
        <w:spacing w:after="0" w:line="360" w:lineRule="auto"/>
        <w:ind w:firstLine="420" w:firstLineChars="200"/>
        <w:rPr>
          <w:rFonts w:ascii="宋体" w:hAnsi="宋体" w:cs="仿宋"/>
          <w:kern w:val="2"/>
          <w:sz w:val="21"/>
          <w:szCs w:val="21"/>
          <w:highlight w:val="none"/>
        </w:rPr>
      </w:pPr>
      <w:r>
        <w:rPr>
          <w:rFonts w:hint="eastAsia" w:ascii="宋体" w:hAnsi="宋体" w:cs="仿宋"/>
          <w:kern w:val="2"/>
          <w:sz w:val="21"/>
          <w:szCs w:val="21"/>
          <w:highlight w:val="none"/>
        </w:rPr>
        <w:t>46.经济标的有效性审查</w:t>
      </w:r>
    </w:p>
    <w:p w14:paraId="381BE050">
      <w:pPr>
        <w:spacing w:line="360" w:lineRule="auto"/>
        <w:ind w:firstLine="420" w:firstLineChars="200"/>
        <w:rPr>
          <w:rFonts w:ascii="宋体" w:hAnsi="宋体"/>
          <w:szCs w:val="21"/>
          <w:highlight w:val="none"/>
        </w:rPr>
      </w:pPr>
      <w:r>
        <w:rPr>
          <w:rFonts w:hint="eastAsia" w:ascii="宋体" w:hAnsi="宋体"/>
          <w:szCs w:val="21"/>
          <w:highlight w:val="none"/>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p>
    <w:p w14:paraId="75E66B89">
      <w:pPr>
        <w:spacing w:line="360" w:lineRule="auto"/>
        <w:ind w:firstLine="420" w:firstLineChars="200"/>
        <w:rPr>
          <w:rFonts w:ascii="宋体" w:hAnsi="宋体"/>
          <w:szCs w:val="21"/>
          <w:highlight w:val="none"/>
        </w:rPr>
      </w:pPr>
      <w:r>
        <w:rPr>
          <w:rFonts w:ascii="宋体" w:hAnsi="宋体"/>
          <w:szCs w:val="21"/>
          <w:highlight w:val="none"/>
        </w:rPr>
        <w:t>4</w:t>
      </w:r>
      <w:r>
        <w:rPr>
          <w:rFonts w:hint="eastAsia" w:ascii="宋体" w:hAnsi="宋体"/>
          <w:szCs w:val="21"/>
          <w:highlight w:val="none"/>
        </w:rPr>
        <w:t>6.2经济标的算术校核。评标委员会对进行经济标有效性审查的投标文件投标报价按照就低不就高的原则进行算术校核，具体标准如下：</w:t>
      </w:r>
    </w:p>
    <w:p w14:paraId="28056AA7">
      <w:pPr>
        <w:spacing w:line="360" w:lineRule="auto"/>
        <w:ind w:firstLine="420" w:firstLineChars="200"/>
        <w:rPr>
          <w:rFonts w:ascii="宋体" w:hAnsi="宋体"/>
          <w:szCs w:val="21"/>
          <w:highlight w:val="none"/>
        </w:rPr>
      </w:pPr>
      <w:r>
        <w:rPr>
          <w:rFonts w:ascii="宋体" w:hAnsi="宋体"/>
          <w:szCs w:val="21"/>
          <w:highlight w:val="none"/>
        </w:rPr>
        <w:t>4</w:t>
      </w:r>
      <w:r>
        <w:rPr>
          <w:rFonts w:hint="eastAsia" w:ascii="宋体" w:hAnsi="宋体"/>
          <w:szCs w:val="21"/>
          <w:highlight w:val="none"/>
        </w:rPr>
        <w:t>6.2.1如果数字表示的金额和用文字表示的金额不一致时，应以文字表示的金额为准；</w:t>
      </w:r>
    </w:p>
    <w:p w14:paraId="79C62E16">
      <w:pPr>
        <w:spacing w:line="360" w:lineRule="auto"/>
        <w:ind w:firstLine="420" w:firstLineChars="200"/>
        <w:rPr>
          <w:rFonts w:ascii="宋体" w:hAnsi="宋体"/>
          <w:szCs w:val="21"/>
          <w:highlight w:val="none"/>
        </w:rPr>
      </w:pPr>
      <w:r>
        <w:rPr>
          <w:rFonts w:ascii="宋体" w:hAnsi="宋体"/>
          <w:szCs w:val="21"/>
          <w:highlight w:val="none"/>
        </w:rPr>
        <w:t>4</w:t>
      </w:r>
      <w:r>
        <w:rPr>
          <w:rFonts w:hint="eastAsia" w:ascii="宋体" w:hAnsi="宋体"/>
          <w:szCs w:val="21"/>
          <w:highlight w:val="none"/>
        </w:rPr>
        <w:t>6.2.2经算术复核的投标人报价与其投标报价不一致时，按就低不就高原则确定其最终报价；</w:t>
      </w:r>
    </w:p>
    <w:p w14:paraId="44FC36B2">
      <w:pPr>
        <w:spacing w:line="360" w:lineRule="auto"/>
        <w:ind w:firstLine="420" w:firstLineChars="200"/>
        <w:rPr>
          <w:rFonts w:ascii="宋体" w:hAnsi="宋体"/>
          <w:szCs w:val="21"/>
          <w:highlight w:val="none"/>
        </w:rPr>
      </w:pPr>
      <w:r>
        <w:rPr>
          <w:rFonts w:ascii="宋体" w:hAnsi="宋体"/>
          <w:szCs w:val="21"/>
          <w:highlight w:val="none"/>
        </w:rPr>
        <w:t>4</w:t>
      </w:r>
      <w:r>
        <w:rPr>
          <w:rFonts w:hint="eastAsia" w:ascii="宋体" w:hAnsi="宋体"/>
          <w:szCs w:val="21"/>
          <w:highlight w:val="none"/>
        </w:rPr>
        <w:t>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17C000E1">
      <w:pPr>
        <w:spacing w:line="360" w:lineRule="auto"/>
        <w:ind w:firstLine="420" w:firstLineChars="200"/>
        <w:rPr>
          <w:rFonts w:ascii="宋体" w:hAnsi="宋体"/>
          <w:szCs w:val="21"/>
          <w:highlight w:val="none"/>
        </w:rPr>
      </w:pPr>
      <w:r>
        <w:rPr>
          <w:rFonts w:ascii="宋体" w:hAnsi="宋体"/>
          <w:szCs w:val="21"/>
          <w:highlight w:val="none"/>
        </w:rPr>
        <w:t>4</w:t>
      </w:r>
      <w:r>
        <w:rPr>
          <w:rFonts w:hint="eastAsia" w:ascii="宋体" w:hAnsi="宋体"/>
          <w:szCs w:val="21"/>
          <w:highlight w:val="none"/>
        </w:rPr>
        <w:t>6.2.</w:t>
      </w:r>
      <w:r>
        <w:rPr>
          <w:rFonts w:ascii="宋体" w:hAnsi="宋体"/>
          <w:szCs w:val="21"/>
          <w:highlight w:val="none"/>
        </w:rPr>
        <w:t>4</w:t>
      </w:r>
      <w:r>
        <w:rPr>
          <w:rFonts w:hint="eastAsia" w:ascii="宋体" w:hAnsi="宋体"/>
          <w:szCs w:val="21"/>
          <w:highlight w:val="none"/>
        </w:rPr>
        <w:t>当合价、金额累加错误时，按就低不就高原则，如果累加修正值小于原累加值，则按累加修正值；如果累加修正值大于原累加值，则按原累加值；</w:t>
      </w:r>
    </w:p>
    <w:p w14:paraId="0F8A230B">
      <w:pPr>
        <w:spacing w:line="360" w:lineRule="auto"/>
        <w:ind w:firstLine="420" w:firstLineChars="200"/>
        <w:rPr>
          <w:rFonts w:ascii="宋体" w:hAnsi="宋体"/>
          <w:szCs w:val="21"/>
          <w:highlight w:val="none"/>
        </w:rPr>
      </w:pPr>
      <w:r>
        <w:rPr>
          <w:rFonts w:ascii="宋体" w:hAnsi="宋体"/>
          <w:szCs w:val="21"/>
          <w:highlight w:val="none"/>
        </w:rPr>
        <w:t>4</w:t>
      </w:r>
      <w:r>
        <w:rPr>
          <w:rFonts w:hint="eastAsia" w:ascii="宋体" w:hAnsi="宋体"/>
          <w:szCs w:val="21"/>
          <w:highlight w:val="none"/>
        </w:rPr>
        <w:t>6.2.</w:t>
      </w:r>
      <w:r>
        <w:rPr>
          <w:rFonts w:ascii="宋体" w:hAnsi="宋体"/>
          <w:szCs w:val="21"/>
          <w:highlight w:val="none"/>
        </w:rPr>
        <w:t>5</w:t>
      </w:r>
      <w:r>
        <w:rPr>
          <w:rFonts w:hint="eastAsia" w:ascii="宋体" w:hAnsi="宋体"/>
          <w:szCs w:val="21"/>
          <w:highlight w:val="none"/>
        </w:rPr>
        <w:t>如果投标人的有关规费、暂列金额、暂估价、绿色施工安全防护措施费等未按招标文件规定的金额填写的，由评标委员会按照招标文件规定的金额进行修正；</w:t>
      </w:r>
    </w:p>
    <w:p w14:paraId="63DF4E63">
      <w:pPr>
        <w:spacing w:line="360" w:lineRule="auto"/>
        <w:ind w:firstLine="420" w:firstLineChars="200"/>
        <w:rPr>
          <w:rFonts w:ascii="宋体" w:hAnsi="宋体"/>
          <w:szCs w:val="21"/>
          <w:highlight w:val="none"/>
        </w:rPr>
      </w:pPr>
      <w:r>
        <w:rPr>
          <w:rFonts w:ascii="宋体" w:hAnsi="宋体"/>
          <w:szCs w:val="21"/>
          <w:highlight w:val="none"/>
        </w:rPr>
        <w:t>4</w:t>
      </w:r>
      <w:r>
        <w:rPr>
          <w:rFonts w:hint="eastAsia" w:ascii="宋体" w:hAnsi="宋体"/>
          <w:szCs w:val="21"/>
          <w:highlight w:val="none"/>
        </w:rPr>
        <w:t>6.2.</w:t>
      </w:r>
      <w:r>
        <w:rPr>
          <w:rFonts w:ascii="宋体" w:hAnsi="宋体"/>
          <w:szCs w:val="21"/>
          <w:highlight w:val="none"/>
        </w:rPr>
        <w:t>6</w:t>
      </w:r>
      <w:r>
        <w:rPr>
          <w:rFonts w:hint="eastAsia" w:ascii="宋体" w:hAnsi="宋体"/>
          <w:szCs w:val="21"/>
          <w:highlight w:val="none"/>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2E3289D2">
      <w:pPr>
        <w:spacing w:line="360" w:lineRule="auto"/>
        <w:ind w:firstLine="420" w:firstLineChars="200"/>
        <w:rPr>
          <w:rFonts w:ascii="宋体" w:hAnsi="宋体"/>
          <w:szCs w:val="21"/>
          <w:highlight w:val="none"/>
        </w:rPr>
      </w:pPr>
      <w:r>
        <w:rPr>
          <w:rFonts w:ascii="宋体" w:hAnsi="宋体"/>
          <w:szCs w:val="21"/>
          <w:highlight w:val="none"/>
        </w:rPr>
        <w:t>4</w:t>
      </w:r>
      <w:r>
        <w:rPr>
          <w:rFonts w:hint="eastAsia" w:ascii="宋体" w:hAnsi="宋体"/>
          <w:szCs w:val="21"/>
          <w:highlight w:val="none"/>
        </w:rPr>
        <w:t>6.2.</w:t>
      </w:r>
      <w:r>
        <w:rPr>
          <w:rFonts w:ascii="宋体" w:hAnsi="宋体"/>
          <w:szCs w:val="21"/>
          <w:highlight w:val="none"/>
        </w:rPr>
        <w:t>7</w:t>
      </w:r>
      <w:r>
        <w:rPr>
          <w:rFonts w:hint="eastAsia" w:ascii="宋体" w:hAnsi="宋体"/>
          <w:szCs w:val="21"/>
          <w:highlight w:val="none"/>
        </w:rPr>
        <w:t>按就低不就高原则，当修正后报价小于原报价，总价按修正后报价；当修正后报价大于原报价，总价按原报价，并在签订合同时载明在结算价中扣除修正报价与原报价的差额。</w:t>
      </w:r>
    </w:p>
    <w:p w14:paraId="49D5BED9">
      <w:pPr>
        <w:spacing w:line="360" w:lineRule="auto"/>
        <w:ind w:firstLine="420" w:firstLineChars="200"/>
        <w:rPr>
          <w:rFonts w:ascii="宋体" w:hAnsi="宋体"/>
          <w:szCs w:val="21"/>
          <w:highlight w:val="none"/>
        </w:rPr>
      </w:pPr>
      <w:r>
        <w:rPr>
          <w:rFonts w:ascii="宋体" w:hAnsi="宋体"/>
          <w:szCs w:val="21"/>
          <w:highlight w:val="none"/>
        </w:rPr>
        <w:t>4</w:t>
      </w:r>
      <w:r>
        <w:rPr>
          <w:rFonts w:hint="eastAsia" w:ascii="宋体" w:hAnsi="宋体"/>
          <w:szCs w:val="21"/>
          <w:highlight w:val="none"/>
        </w:rPr>
        <w:t>6.2.</w:t>
      </w:r>
      <w:r>
        <w:rPr>
          <w:rFonts w:ascii="宋体" w:hAnsi="宋体"/>
          <w:szCs w:val="21"/>
          <w:highlight w:val="none"/>
        </w:rPr>
        <w:t>8</w:t>
      </w:r>
      <w:r>
        <w:rPr>
          <w:rFonts w:hint="eastAsia" w:ascii="宋体" w:hAnsi="宋体"/>
          <w:szCs w:val="21"/>
          <w:highlight w:val="none"/>
        </w:rPr>
        <w:t>按上述修正错误的原则及方法调整或修正投标文件的投标报价，调整后的投标报价对投标人起约束作用。如果投标人不接受修正后的报价，则取消其投标资格，并且其投标保证金也将不予退还。</w:t>
      </w:r>
    </w:p>
    <w:p w14:paraId="49939846">
      <w:pPr>
        <w:spacing w:line="360" w:lineRule="auto"/>
        <w:ind w:firstLine="420" w:firstLineChars="200"/>
        <w:rPr>
          <w:rFonts w:ascii="宋体" w:hAnsi="宋体"/>
          <w:szCs w:val="21"/>
          <w:highlight w:val="none"/>
        </w:rPr>
      </w:pPr>
      <w:r>
        <w:rPr>
          <w:rFonts w:ascii="宋体" w:hAnsi="宋体"/>
          <w:szCs w:val="21"/>
          <w:highlight w:val="none"/>
        </w:rPr>
        <w:t>4</w:t>
      </w:r>
      <w:r>
        <w:rPr>
          <w:rFonts w:hint="eastAsia" w:ascii="宋体" w:hAnsi="宋体"/>
          <w:szCs w:val="21"/>
          <w:highlight w:val="none"/>
        </w:rPr>
        <w:t>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14:paraId="7CC751B2">
      <w:pPr>
        <w:spacing w:line="360" w:lineRule="auto"/>
        <w:ind w:firstLine="420" w:firstLineChars="200"/>
        <w:rPr>
          <w:rFonts w:ascii="宋体" w:hAnsi="宋体"/>
          <w:szCs w:val="21"/>
          <w:highlight w:val="none"/>
        </w:rPr>
      </w:pPr>
      <w:r>
        <w:rPr>
          <w:rFonts w:ascii="宋体" w:hAnsi="宋体"/>
          <w:szCs w:val="21"/>
          <w:highlight w:val="none"/>
        </w:rPr>
        <w:t>4</w:t>
      </w:r>
      <w:r>
        <w:rPr>
          <w:rFonts w:hint="eastAsia" w:ascii="宋体" w:hAnsi="宋体"/>
          <w:szCs w:val="21"/>
          <w:highlight w:val="none"/>
        </w:rPr>
        <w:t>8.评标委员会应在通过投标文件经济标有效性审查的投标人中，按步骤45.4确定的投标人第二阶段排序，推荐前</w:t>
      </w:r>
      <w:r>
        <w:rPr>
          <w:rFonts w:ascii="宋体" w:hAnsi="宋体"/>
          <w:szCs w:val="21"/>
          <w:highlight w:val="none"/>
        </w:rPr>
        <w:t>3</w:t>
      </w:r>
      <w:r>
        <w:rPr>
          <w:rFonts w:hint="eastAsia" w:ascii="宋体" w:hAnsi="宋体"/>
          <w:szCs w:val="21"/>
          <w:highlight w:val="none"/>
        </w:rPr>
        <w:t>名依次为第一中标候选人至第三中标候选人</w:t>
      </w:r>
      <w:r>
        <w:rPr>
          <w:rFonts w:ascii="宋体" w:hAnsi="宋体"/>
          <w:szCs w:val="21"/>
          <w:highlight w:val="none"/>
        </w:rPr>
        <w:t>,</w:t>
      </w:r>
      <w:r>
        <w:rPr>
          <w:rFonts w:hint="eastAsia" w:ascii="宋体" w:hAnsi="宋体"/>
          <w:szCs w:val="21"/>
          <w:highlight w:val="none"/>
        </w:rPr>
        <w:t>并编制评标报告。</w:t>
      </w:r>
    </w:p>
    <w:p w14:paraId="5BE3718D">
      <w:pPr>
        <w:spacing w:line="460" w:lineRule="exact"/>
        <w:ind w:firstLine="420" w:firstLineChars="200"/>
        <w:rPr>
          <w:rFonts w:ascii="宋体" w:hAnsi="宋体"/>
          <w:szCs w:val="21"/>
          <w:highlight w:val="none"/>
        </w:rPr>
      </w:pPr>
      <w:r>
        <w:rPr>
          <w:rFonts w:ascii="宋体" w:hAnsi="宋体"/>
          <w:szCs w:val="21"/>
          <w:highlight w:val="none"/>
        </w:rPr>
        <w:t>4</w:t>
      </w:r>
      <w:r>
        <w:rPr>
          <w:rFonts w:hint="eastAsia" w:ascii="宋体" w:hAnsi="宋体"/>
          <w:szCs w:val="21"/>
          <w:highlight w:val="none"/>
        </w:rPr>
        <w:t>9.若通过经济标有效性审查的投标人不足三家，应当依法重新招标。（当</w:t>
      </w:r>
      <w:r>
        <w:rPr>
          <w:rFonts w:ascii="宋体" w:hAnsi="宋体"/>
          <w:szCs w:val="21"/>
          <w:highlight w:val="none"/>
        </w:rPr>
        <w:t>N</w:t>
      </w:r>
      <w:r>
        <w:rPr>
          <w:rFonts w:hint="eastAsia" w:ascii="宋体" w:hAnsi="宋体"/>
          <w:szCs w:val="21"/>
          <w:highlight w:val="none"/>
        </w:rPr>
        <w:t>个标段同时招标且不允许兼中时，若有效投标人不足</w:t>
      </w:r>
      <w:r>
        <w:rPr>
          <w:rFonts w:ascii="宋体" w:hAnsi="宋体"/>
          <w:szCs w:val="21"/>
          <w:highlight w:val="none"/>
        </w:rPr>
        <w:t>N+2</w:t>
      </w:r>
      <w:r>
        <w:rPr>
          <w:rFonts w:hint="eastAsia" w:ascii="宋体" w:hAnsi="宋体"/>
          <w:szCs w:val="21"/>
          <w:highlight w:val="none"/>
        </w:rPr>
        <w:t>家，应当依法重新招标）</w:t>
      </w:r>
    </w:p>
    <w:p w14:paraId="7759591A">
      <w:pPr>
        <w:spacing w:line="276" w:lineRule="auto"/>
        <w:rPr>
          <w:rStyle w:val="66"/>
          <w:rFonts w:ascii="宋体" w:hAnsi="宋体"/>
          <w:b/>
          <w:bCs/>
          <w:szCs w:val="21"/>
          <w:highlight w:val="none"/>
        </w:rPr>
      </w:pPr>
    </w:p>
    <w:p w14:paraId="5E199057">
      <w:pPr>
        <w:spacing w:line="276" w:lineRule="auto"/>
        <w:rPr>
          <w:rStyle w:val="66"/>
          <w:rFonts w:ascii="宋体" w:hAnsi="宋体"/>
          <w:b/>
          <w:bCs/>
          <w:szCs w:val="21"/>
          <w:highlight w:val="none"/>
        </w:rPr>
      </w:pPr>
    </w:p>
    <w:p w14:paraId="65F4D5F0">
      <w:pPr>
        <w:pStyle w:val="53"/>
        <w:rPr>
          <w:rStyle w:val="66"/>
          <w:rFonts w:hAnsi="宋体"/>
          <w:b/>
          <w:bCs/>
          <w:szCs w:val="21"/>
          <w:highlight w:val="none"/>
        </w:rPr>
      </w:pPr>
    </w:p>
    <w:p w14:paraId="74E94619">
      <w:pPr>
        <w:pStyle w:val="53"/>
        <w:rPr>
          <w:rStyle w:val="66"/>
          <w:rFonts w:hAnsi="宋体"/>
          <w:b/>
          <w:bCs/>
          <w:szCs w:val="21"/>
          <w:highlight w:val="none"/>
        </w:rPr>
      </w:pPr>
    </w:p>
    <w:p w14:paraId="0B4A34D2">
      <w:pPr>
        <w:spacing w:line="276" w:lineRule="auto"/>
        <w:rPr>
          <w:rStyle w:val="66"/>
          <w:rFonts w:ascii="宋体" w:hAnsi="宋体"/>
          <w:b/>
          <w:bCs/>
          <w:sz w:val="24"/>
          <w:szCs w:val="24"/>
          <w:highlight w:val="none"/>
        </w:rPr>
      </w:pPr>
      <w:r>
        <w:rPr>
          <w:rStyle w:val="66"/>
          <w:rFonts w:hAnsi="宋体"/>
          <w:b/>
          <w:bCs/>
          <w:szCs w:val="21"/>
          <w:highlight w:val="none"/>
        </w:rPr>
        <w:br w:type="page"/>
      </w:r>
      <w:r>
        <w:rPr>
          <w:rStyle w:val="66"/>
          <w:rFonts w:ascii="宋体" w:hAnsi="宋体"/>
          <w:b/>
          <w:bCs/>
          <w:szCs w:val="21"/>
          <w:highlight w:val="none"/>
        </w:rPr>
        <w:t>附表一：</w:t>
      </w:r>
    </w:p>
    <w:p w14:paraId="3D1207AC">
      <w:pPr>
        <w:spacing w:line="276" w:lineRule="auto"/>
        <w:jc w:val="center"/>
        <w:rPr>
          <w:rStyle w:val="66"/>
          <w:rFonts w:ascii="宋体" w:hAnsi="宋体"/>
          <w:b/>
          <w:sz w:val="32"/>
          <w:szCs w:val="32"/>
          <w:highlight w:val="none"/>
        </w:rPr>
      </w:pPr>
      <w:r>
        <w:rPr>
          <w:rStyle w:val="66"/>
          <w:rFonts w:ascii="宋体" w:hAnsi="宋体"/>
          <w:b/>
          <w:sz w:val="32"/>
          <w:szCs w:val="32"/>
          <w:highlight w:val="none"/>
        </w:rPr>
        <w:t>资格审查表</w:t>
      </w:r>
    </w:p>
    <w:p w14:paraId="3D89561B">
      <w:pPr>
        <w:spacing w:line="276" w:lineRule="auto"/>
        <w:rPr>
          <w:rStyle w:val="66"/>
          <w:rFonts w:ascii="宋体" w:hAnsi="宋体"/>
          <w:szCs w:val="21"/>
          <w:highlight w:val="none"/>
        </w:rPr>
      </w:pPr>
      <w:r>
        <w:rPr>
          <w:rStyle w:val="66"/>
          <w:rFonts w:ascii="宋体" w:hAnsi="宋体"/>
          <w:szCs w:val="21"/>
          <w:highlight w:val="none"/>
        </w:rPr>
        <w:t>工程名称：</w:t>
      </w:r>
    </w:p>
    <w:p w14:paraId="4E6B1EE4">
      <w:pPr>
        <w:spacing w:line="276" w:lineRule="auto"/>
        <w:rPr>
          <w:rStyle w:val="66"/>
          <w:rFonts w:ascii="宋体" w:hAnsi="宋体"/>
          <w:szCs w:val="21"/>
          <w:highlight w:val="none"/>
        </w:rPr>
      </w:pPr>
      <w:r>
        <w:rPr>
          <w:rStyle w:val="66"/>
          <w:rFonts w:ascii="宋体" w:hAnsi="宋体"/>
          <w:szCs w:val="21"/>
          <w:highlight w:val="none"/>
        </w:rPr>
        <w:t>投标人名称：</w:t>
      </w:r>
    </w:p>
    <w:tbl>
      <w:tblPr>
        <w:tblStyle w:val="2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2"/>
        <w:gridCol w:w="3410"/>
        <w:gridCol w:w="3882"/>
        <w:gridCol w:w="876"/>
      </w:tblGrid>
      <w:tr w14:paraId="2E7CE7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572" w:type="dxa"/>
            <w:tcBorders>
              <w:top w:val="single" w:color="000000" w:sz="4" w:space="0"/>
              <w:left w:val="single" w:color="000000" w:sz="4" w:space="0"/>
              <w:bottom w:val="single" w:color="000000" w:sz="4" w:space="0"/>
              <w:right w:val="single" w:color="000000" w:sz="4" w:space="0"/>
            </w:tcBorders>
            <w:vAlign w:val="center"/>
          </w:tcPr>
          <w:p w14:paraId="2EE74824">
            <w:pPr>
              <w:spacing w:before="120" w:after="60" w:line="276" w:lineRule="auto"/>
              <w:jc w:val="center"/>
              <w:rPr>
                <w:rStyle w:val="66"/>
                <w:rFonts w:ascii="宋体" w:hAnsi="宋体"/>
                <w:b/>
                <w:szCs w:val="21"/>
                <w:highlight w:val="none"/>
              </w:rPr>
            </w:pPr>
            <w:r>
              <w:rPr>
                <w:rStyle w:val="66"/>
                <w:rFonts w:ascii="宋体" w:hAnsi="宋体"/>
                <w:b/>
                <w:szCs w:val="21"/>
                <w:highlight w:val="none"/>
              </w:rPr>
              <w:t>序号</w:t>
            </w:r>
          </w:p>
        </w:tc>
        <w:tc>
          <w:tcPr>
            <w:tcW w:w="3410" w:type="dxa"/>
            <w:tcBorders>
              <w:top w:val="single" w:color="000000" w:sz="4" w:space="0"/>
              <w:left w:val="single" w:color="000000" w:sz="4" w:space="0"/>
              <w:bottom w:val="single" w:color="000000" w:sz="4" w:space="0"/>
              <w:right w:val="single" w:color="000000" w:sz="4" w:space="0"/>
            </w:tcBorders>
            <w:vAlign w:val="center"/>
          </w:tcPr>
          <w:p w14:paraId="599BE860">
            <w:pPr>
              <w:spacing w:before="120" w:after="60" w:line="276" w:lineRule="auto"/>
              <w:jc w:val="center"/>
              <w:rPr>
                <w:rStyle w:val="66"/>
                <w:rFonts w:ascii="宋体" w:hAnsi="宋体"/>
                <w:b/>
                <w:szCs w:val="21"/>
                <w:highlight w:val="none"/>
              </w:rPr>
            </w:pPr>
            <w:r>
              <w:rPr>
                <w:rStyle w:val="66"/>
                <w:rFonts w:ascii="宋体" w:hAnsi="宋体"/>
                <w:b/>
                <w:szCs w:val="21"/>
                <w:highlight w:val="none"/>
              </w:rPr>
              <w:t>审查项目</w:t>
            </w:r>
          </w:p>
        </w:tc>
        <w:tc>
          <w:tcPr>
            <w:tcW w:w="3882" w:type="dxa"/>
            <w:tcBorders>
              <w:top w:val="single" w:color="000000" w:sz="4" w:space="0"/>
              <w:left w:val="single" w:color="000000" w:sz="4" w:space="0"/>
              <w:bottom w:val="single" w:color="000000" w:sz="4" w:space="0"/>
              <w:right w:val="single" w:color="000000" w:sz="4" w:space="0"/>
            </w:tcBorders>
            <w:vAlign w:val="center"/>
          </w:tcPr>
          <w:p w14:paraId="5E8F0347">
            <w:pPr>
              <w:spacing w:before="120" w:after="60" w:line="276" w:lineRule="auto"/>
              <w:jc w:val="center"/>
              <w:rPr>
                <w:rStyle w:val="66"/>
                <w:rFonts w:ascii="宋体" w:hAnsi="宋体"/>
                <w:b/>
                <w:szCs w:val="21"/>
                <w:highlight w:val="none"/>
              </w:rPr>
            </w:pPr>
            <w:r>
              <w:rPr>
                <w:rStyle w:val="66"/>
                <w:rFonts w:ascii="宋体" w:hAnsi="宋体"/>
                <w:b/>
                <w:szCs w:val="21"/>
                <w:highlight w:val="none"/>
              </w:rPr>
              <w:t>须审查的资料</w:t>
            </w:r>
          </w:p>
        </w:tc>
        <w:tc>
          <w:tcPr>
            <w:tcW w:w="876" w:type="dxa"/>
            <w:tcBorders>
              <w:top w:val="single" w:color="000000" w:sz="4" w:space="0"/>
              <w:left w:val="single" w:color="000000" w:sz="4" w:space="0"/>
              <w:bottom w:val="single" w:color="000000" w:sz="4" w:space="0"/>
              <w:right w:val="single" w:color="000000" w:sz="4" w:space="0"/>
            </w:tcBorders>
            <w:vAlign w:val="center"/>
          </w:tcPr>
          <w:p w14:paraId="0F53A634">
            <w:pPr>
              <w:spacing w:before="120" w:after="60" w:line="276" w:lineRule="auto"/>
              <w:jc w:val="center"/>
              <w:rPr>
                <w:rStyle w:val="66"/>
                <w:rFonts w:ascii="宋体" w:hAnsi="宋体"/>
                <w:b/>
                <w:szCs w:val="21"/>
                <w:highlight w:val="none"/>
              </w:rPr>
            </w:pPr>
            <w:r>
              <w:rPr>
                <w:rStyle w:val="66"/>
                <w:rFonts w:ascii="宋体" w:hAnsi="宋体"/>
                <w:b/>
                <w:szCs w:val="21"/>
                <w:highlight w:val="none"/>
              </w:rPr>
              <w:t>审查</w:t>
            </w:r>
          </w:p>
          <w:p w14:paraId="5AC4B7BF">
            <w:pPr>
              <w:spacing w:before="120" w:after="60" w:line="276" w:lineRule="auto"/>
              <w:jc w:val="center"/>
              <w:rPr>
                <w:rStyle w:val="66"/>
                <w:rFonts w:ascii="宋体" w:hAnsi="宋体"/>
                <w:b/>
                <w:szCs w:val="21"/>
                <w:highlight w:val="none"/>
              </w:rPr>
            </w:pPr>
            <w:r>
              <w:rPr>
                <w:rStyle w:val="66"/>
                <w:rFonts w:ascii="宋体" w:hAnsi="宋体"/>
                <w:b/>
                <w:szCs w:val="21"/>
                <w:highlight w:val="none"/>
              </w:rPr>
              <w:t>结果</w:t>
            </w:r>
          </w:p>
        </w:tc>
      </w:tr>
      <w:tr w14:paraId="2CBD0D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572" w:type="dxa"/>
            <w:tcBorders>
              <w:top w:val="single" w:color="000000" w:sz="4" w:space="0"/>
              <w:left w:val="single" w:color="000000" w:sz="4" w:space="0"/>
              <w:bottom w:val="single" w:color="000000" w:sz="4" w:space="0"/>
              <w:right w:val="single" w:color="000000" w:sz="4" w:space="0"/>
            </w:tcBorders>
            <w:vAlign w:val="center"/>
          </w:tcPr>
          <w:p w14:paraId="09BE110A">
            <w:pPr>
              <w:spacing w:before="120" w:after="60" w:line="276" w:lineRule="auto"/>
              <w:jc w:val="center"/>
              <w:rPr>
                <w:rStyle w:val="66"/>
                <w:rFonts w:ascii="宋体" w:hAnsi="宋体"/>
                <w:szCs w:val="21"/>
                <w:highlight w:val="none"/>
              </w:rPr>
            </w:pPr>
            <w:r>
              <w:rPr>
                <w:rStyle w:val="66"/>
                <w:rFonts w:ascii="宋体" w:hAnsi="宋体"/>
                <w:szCs w:val="21"/>
                <w:highlight w:val="none"/>
              </w:rPr>
              <w:t>1</w:t>
            </w:r>
          </w:p>
        </w:tc>
        <w:tc>
          <w:tcPr>
            <w:tcW w:w="3410" w:type="dxa"/>
            <w:tcBorders>
              <w:top w:val="single" w:color="000000" w:sz="4" w:space="0"/>
              <w:left w:val="single" w:color="000000" w:sz="4" w:space="0"/>
              <w:bottom w:val="single" w:color="000000" w:sz="4" w:space="0"/>
              <w:right w:val="single" w:color="000000" w:sz="4" w:space="0"/>
            </w:tcBorders>
            <w:vAlign w:val="center"/>
          </w:tcPr>
          <w:p w14:paraId="332C368D">
            <w:pPr>
              <w:spacing w:before="120" w:after="60" w:line="276" w:lineRule="auto"/>
              <w:jc w:val="left"/>
              <w:rPr>
                <w:rStyle w:val="66"/>
                <w:rFonts w:ascii="宋体" w:hAnsi="宋体"/>
                <w:szCs w:val="21"/>
                <w:highlight w:val="none"/>
              </w:rPr>
            </w:pPr>
            <w:r>
              <w:rPr>
                <w:rStyle w:val="66"/>
                <w:rFonts w:ascii="宋体" w:hAnsi="宋体"/>
                <w:szCs w:val="21"/>
                <w:highlight w:val="none"/>
              </w:rPr>
              <w:t>投标人参加投标的意思表达清楚，投标人代表被授权有效</w:t>
            </w:r>
          </w:p>
        </w:tc>
        <w:tc>
          <w:tcPr>
            <w:tcW w:w="3882" w:type="dxa"/>
            <w:tcBorders>
              <w:top w:val="single" w:color="000000" w:sz="4" w:space="0"/>
              <w:left w:val="single" w:color="000000" w:sz="4" w:space="0"/>
              <w:bottom w:val="single" w:color="000000" w:sz="4" w:space="0"/>
              <w:right w:val="single" w:color="000000" w:sz="4" w:space="0"/>
            </w:tcBorders>
            <w:vAlign w:val="center"/>
          </w:tcPr>
          <w:p w14:paraId="54DBFFA1">
            <w:pPr>
              <w:spacing w:before="120" w:after="60" w:line="276" w:lineRule="auto"/>
              <w:jc w:val="left"/>
              <w:rPr>
                <w:rStyle w:val="66"/>
                <w:rFonts w:ascii="宋体" w:hAnsi="宋体"/>
                <w:szCs w:val="21"/>
                <w:highlight w:val="none"/>
              </w:rPr>
            </w:pPr>
            <w:r>
              <w:rPr>
                <w:rStyle w:val="66"/>
                <w:rFonts w:ascii="宋体" w:hAnsi="宋体"/>
                <w:szCs w:val="21"/>
                <w:highlight w:val="none"/>
              </w:rPr>
              <w:t>投标人声明、法定代表人证明书；委托投标的还应提供法人授权委托证明书</w:t>
            </w:r>
          </w:p>
        </w:tc>
        <w:tc>
          <w:tcPr>
            <w:tcW w:w="876" w:type="dxa"/>
            <w:tcBorders>
              <w:top w:val="single" w:color="000000" w:sz="4" w:space="0"/>
              <w:left w:val="single" w:color="000000" w:sz="4" w:space="0"/>
              <w:bottom w:val="single" w:color="000000" w:sz="4" w:space="0"/>
              <w:right w:val="single" w:color="000000" w:sz="4" w:space="0"/>
            </w:tcBorders>
            <w:vAlign w:val="center"/>
          </w:tcPr>
          <w:p w14:paraId="77684573">
            <w:pPr>
              <w:spacing w:before="120" w:after="60" w:line="276" w:lineRule="auto"/>
              <w:jc w:val="center"/>
              <w:rPr>
                <w:rStyle w:val="66"/>
                <w:rFonts w:ascii="宋体" w:hAnsi="宋体"/>
                <w:szCs w:val="21"/>
                <w:highlight w:val="none"/>
              </w:rPr>
            </w:pPr>
          </w:p>
        </w:tc>
      </w:tr>
      <w:tr w14:paraId="23E02E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 w:hRule="atLeast"/>
        </w:trPr>
        <w:tc>
          <w:tcPr>
            <w:tcW w:w="572" w:type="dxa"/>
            <w:tcBorders>
              <w:top w:val="single" w:color="000000" w:sz="4" w:space="0"/>
              <w:left w:val="single" w:color="000000" w:sz="4" w:space="0"/>
              <w:bottom w:val="single" w:color="000000" w:sz="4" w:space="0"/>
              <w:right w:val="single" w:color="000000" w:sz="4" w:space="0"/>
            </w:tcBorders>
            <w:vAlign w:val="center"/>
          </w:tcPr>
          <w:p w14:paraId="464EFD01">
            <w:pPr>
              <w:spacing w:before="120" w:after="60" w:line="276" w:lineRule="auto"/>
              <w:jc w:val="center"/>
              <w:rPr>
                <w:rStyle w:val="66"/>
                <w:rFonts w:ascii="宋体" w:hAnsi="宋体"/>
                <w:szCs w:val="21"/>
                <w:highlight w:val="none"/>
              </w:rPr>
            </w:pPr>
            <w:r>
              <w:rPr>
                <w:rStyle w:val="66"/>
                <w:rFonts w:ascii="宋体" w:hAnsi="宋体"/>
                <w:szCs w:val="21"/>
                <w:highlight w:val="none"/>
              </w:rPr>
              <w:t>2</w:t>
            </w:r>
          </w:p>
        </w:tc>
        <w:tc>
          <w:tcPr>
            <w:tcW w:w="3410" w:type="dxa"/>
            <w:tcBorders>
              <w:top w:val="single" w:color="000000" w:sz="4" w:space="0"/>
              <w:left w:val="single" w:color="000000" w:sz="4" w:space="0"/>
              <w:bottom w:val="single" w:color="000000" w:sz="4" w:space="0"/>
              <w:right w:val="single" w:color="000000" w:sz="4" w:space="0"/>
            </w:tcBorders>
            <w:vAlign w:val="center"/>
          </w:tcPr>
          <w:p w14:paraId="2E03B0E8">
            <w:pPr>
              <w:spacing w:before="120" w:after="60" w:line="276" w:lineRule="auto"/>
              <w:jc w:val="left"/>
              <w:rPr>
                <w:rStyle w:val="66"/>
                <w:rFonts w:ascii="宋体" w:hAnsi="宋体"/>
                <w:szCs w:val="21"/>
                <w:highlight w:val="none"/>
              </w:rPr>
            </w:pPr>
            <w:r>
              <w:rPr>
                <w:rStyle w:val="66"/>
                <w:rFonts w:ascii="宋体" w:hAnsi="宋体"/>
                <w:szCs w:val="21"/>
                <w:highlight w:val="none"/>
              </w:rPr>
              <w:t>投标人均具有独立法人资格，按国家法律经营</w:t>
            </w:r>
          </w:p>
        </w:tc>
        <w:tc>
          <w:tcPr>
            <w:tcW w:w="3882" w:type="dxa"/>
            <w:tcBorders>
              <w:top w:val="single" w:color="000000" w:sz="4" w:space="0"/>
              <w:left w:val="single" w:color="000000" w:sz="4" w:space="0"/>
              <w:bottom w:val="single" w:color="000000" w:sz="4" w:space="0"/>
              <w:right w:val="single" w:color="000000" w:sz="4" w:space="0"/>
            </w:tcBorders>
            <w:vAlign w:val="center"/>
          </w:tcPr>
          <w:p w14:paraId="4FAAF4CA">
            <w:pPr>
              <w:spacing w:before="120" w:after="60" w:line="276" w:lineRule="auto"/>
              <w:jc w:val="left"/>
              <w:rPr>
                <w:rStyle w:val="66"/>
                <w:rFonts w:ascii="宋体" w:hAnsi="宋体"/>
                <w:szCs w:val="21"/>
                <w:highlight w:val="none"/>
              </w:rPr>
            </w:pPr>
            <w:r>
              <w:rPr>
                <w:rStyle w:val="66"/>
                <w:rFonts w:hint="eastAsia" w:ascii="宋体" w:hAnsi="宋体"/>
                <w:szCs w:val="21"/>
                <w:highlight w:val="none"/>
              </w:rPr>
              <w:t>营业执照在广州市住建行业信用管理平台内上传件</w:t>
            </w:r>
          </w:p>
        </w:tc>
        <w:tc>
          <w:tcPr>
            <w:tcW w:w="876" w:type="dxa"/>
            <w:tcBorders>
              <w:top w:val="single" w:color="000000" w:sz="4" w:space="0"/>
              <w:left w:val="single" w:color="000000" w:sz="4" w:space="0"/>
              <w:bottom w:val="single" w:color="000000" w:sz="4" w:space="0"/>
              <w:right w:val="single" w:color="000000" w:sz="4" w:space="0"/>
            </w:tcBorders>
            <w:vAlign w:val="center"/>
          </w:tcPr>
          <w:p w14:paraId="262A072D">
            <w:pPr>
              <w:spacing w:before="120" w:after="60" w:line="276" w:lineRule="auto"/>
              <w:jc w:val="center"/>
              <w:rPr>
                <w:rStyle w:val="66"/>
                <w:rFonts w:ascii="宋体" w:hAnsi="宋体"/>
                <w:szCs w:val="21"/>
                <w:highlight w:val="none"/>
              </w:rPr>
            </w:pPr>
          </w:p>
        </w:tc>
      </w:tr>
      <w:tr w14:paraId="6BE4A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572" w:type="dxa"/>
            <w:tcBorders>
              <w:top w:val="single" w:color="000000" w:sz="4" w:space="0"/>
              <w:left w:val="single" w:color="000000" w:sz="4" w:space="0"/>
              <w:bottom w:val="single" w:color="000000" w:sz="4" w:space="0"/>
              <w:right w:val="single" w:color="000000" w:sz="4" w:space="0"/>
            </w:tcBorders>
            <w:vAlign w:val="center"/>
          </w:tcPr>
          <w:p w14:paraId="19CB32B2">
            <w:pPr>
              <w:spacing w:before="120" w:after="60" w:line="276" w:lineRule="auto"/>
              <w:jc w:val="center"/>
              <w:rPr>
                <w:rStyle w:val="66"/>
                <w:rFonts w:ascii="宋体" w:hAnsi="宋体"/>
                <w:szCs w:val="21"/>
                <w:highlight w:val="none"/>
              </w:rPr>
            </w:pPr>
            <w:r>
              <w:rPr>
                <w:rStyle w:val="66"/>
                <w:rFonts w:ascii="宋体" w:hAnsi="宋体"/>
                <w:szCs w:val="21"/>
                <w:highlight w:val="none"/>
              </w:rPr>
              <w:t>3</w:t>
            </w:r>
          </w:p>
        </w:tc>
        <w:tc>
          <w:tcPr>
            <w:tcW w:w="3410" w:type="dxa"/>
            <w:tcBorders>
              <w:top w:val="single" w:color="000000" w:sz="4" w:space="0"/>
              <w:left w:val="single" w:color="000000" w:sz="4" w:space="0"/>
              <w:bottom w:val="single" w:color="000000" w:sz="4" w:space="0"/>
              <w:right w:val="single" w:color="000000" w:sz="4" w:space="0"/>
            </w:tcBorders>
            <w:vAlign w:val="center"/>
          </w:tcPr>
          <w:p w14:paraId="22613DCB">
            <w:pPr>
              <w:spacing w:before="120" w:after="60" w:line="276" w:lineRule="auto"/>
              <w:jc w:val="left"/>
              <w:rPr>
                <w:rStyle w:val="66"/>
                <w:rFonts w:ascii="宋体" w:hAnsi="宋体"/>
                <w:szCs w:val="21"/>
                <w:highlight w:val="none"/>
              </w:rPr>
            </w:pPr>
            <w:r>
              <w:rPr>
                <w:rStyle w:val="66"/>
                <w:rFonts w:ascii="宋体" w:hAnsi="宋体"/>
                <w:szCs w:val="21"/>
                <w:highlight w:val="none"/>
              </w:rPr>
              <w:t>投标人均持有</w:t>
            </w:r>
            <w:r>
              <w:rPr>
                <w:rStyle w:val="66"/>
                <w:rFonts w:hint="eastAsia" w:ascii="宋体" w:hAnsi="宋体"/>
                <w:szCs w:val="21"/>
                <w:highlight w:val="none"/>
                <w:u w:val="single"/>
              </w:rPr>
              <w:t>相关</w:t>
            </w:r>
            <w:r>
              <w:rPr>
                <w:rStyle w:val="66"/>
                <w:rFonts w:ascii="宋体" w:hAnsi="宋体"/>
                <w:szCs w:val="21"/>
                <w:highlight w:val="none"/>
              </w:rPr>
              <w:t>行政主管部门颁发的有效期内的企业资质证书及安全生产许可证；投标人资质符合公告要求</w:t>
            </w:r>
          </w:p>
        </w:tc>
        <w:tc>
          <w:tcPr>
            <w:tcW w:w="3882" w:type="dxa"/>
            <w:tcBorders>
              <w:top w:val="single" w:color="000000" w:sz="4" w:space="0"/>
              <w:left w:val="single" w:color="000000" w:sz="4" w:space="0"/>
              <w:bottom w:val="single" w:color="000000" w:sz="4" w:space="0"/>
              <w:right w:val="single" w:color="000000" w:sz="4" w:space="0"/>
            </w:tcBorders>
            <w:vAlign w:val="center"/>
          </w:tcPr>
          <w:p w14:paraId="74B3FF27">
            <w:pPr>
              <w:spacing w:before="120" w:after="60" w:line="276" w:lineRule="auto"/>
              <w:jc w:val="left"/>
              <w:rPr>
                <w:rStyle w:val="66"/>
                <w:rFonts w:ascii="宋体" w:hAnsi="宋体"/>
                <w:szCs w:val="21"/>
                <w:highlight w:val="none"/>
              </w:rPr>
            </w:pPr>
            <w:r>
              <w:rPr>
                <w:rStyle w:val="66"/>
                <w:rFonts w:hint="eastAsia" w:ascii="宋体" w:hAnsi="宋体"/>
                <w:szCs w:val="21"/>
                <w:highlight w:val="none"/>
              </w:rPr>
              <w:t>1.资质证书及安全生产许可证在广州市住建行业信用管理平台内上传件；</w:t>
            </w:r>
          </w:p>
          <w:p w14:paraId="2A87A36E">
            <w:pPr>
              <w:pStyle w:val="2"/>
              <w:rPr>
                <w:highlight w:val="none"/>
                <w:u w:val="single"/>
              </w:rPr>
            </w:pPr>
            <w:r>
              <w:rPr>
                <w:highlight w:val="none"/>
                <w:u w:val="single"/>
              </w:rPr>
              <w:t>2.</w:t>
            </w:r>
            <w:r>
              <w:rPr>
                <w:rStyle w:val="66"/>
                <w:rFonts w:hint="eastAsia" w:hAnsi="宋体" w:eastAsia="宋体"/>
                <w:szCs w:val="21"/>
                <w:highlight w:val="none"/>
                <w:u w:val="single"/>
              </w:rPr>
              <w:t>《承装</w:t>
            </w:r>
            <w:r>
              <w:rPr>
                <w:rStyle w:val="66"/>
                <w:rFonts w:hAnsi="宋体" w:eastAsia="宋体"/>
                <w:szCs w:val="21"/>
                <w:highlight w:val="none"/>
                <w:u w:val="single"/>
              </w:rPr>
              <w:t>(修、试)电力设施许可证》扫描件或在广州市住建行业信用管理平台内上传件。</w:t>
            </w:r>
          </w:p>
        </w:tc>
        <w:tc>
          <w:tcPr>
            <w:tcW w:w="876" w:type="dxa"/>
            <w:tcBorders>
              <w:top w:val="single" w:color="000000" w:sz="4" w:space="0"/>
              <w:left w:val="single" w:color="000000" w:sz="4" w:space="0"/>
              <w:bottom w:val="single" w:color="000000" w:sz="4" w:space="0"/>
              <w:right w:val="single" w:color="000000" w:sz="4" w:space="0"/>
            </w:tcBorders>
            <w:vAlign w:val="center"/>
          </w:tcPr>
          <w:p w14:paraId="6630C65A">
            <w:pPr>
              <w:spacing w:before="120" w:after="60" w:line="276" w:lineRule="auto"/>
              <w:jc w:val="center"/>
              <w:rPr>
                <w:rStyle w:val="66"/>
                <w:rFonts w:ascii="宋体" w:hAnsi="宋体"/>
                <w:szCs w:val="21"/>
                <w:highlight w:val="none"/>
              </w:rPr>
            </w:pPr>
          </w:p>
        </w:tc>
      </w:tr>
      <w:tr w14:paraId="59F86E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572" w:type="dxa"/>
            <w:tcBorders>
              <w:top w:val="single" w:color="000000" w:sz="4" w:space="0"/>
              <w:left w:val="single" w:color="000000" w:sz="4" w:space="0"/>
              <w:bottom w:val="single" w:color="000000" w:sz="4" w:space="0"/>
              <w:right w:val="single" w:color="000000" w:sz="4" w:space="0"/>
            </w:tcBorders>
            <w:vAlign w:val="center"/>
          </w:tcPr>
          <w:p w14:paraId="08935192">
            <w:pPr>
              <w:spacing w:before="120" w:after="60" w:line="276" w:lineRule="auto"/>
              <w:jc w:val="center"/>
              <w:rPr>
                <w:rStyle w:val="66"/>
                <w:rFonts w:ascii="宋体" w:hAnsi="宋体"/>
                <w:szCs w:val="21"/>
                <w:highlight w:val="none"/>
              </w:rPr>
            </w:pPr>
            <w:r>
              <w:rPr>
                <w:rStyle w:val="66"/>
                <w:rFonts w:ascii="宋体" w:hAnsi="宋体"/>
                <w:szCs w:val="21"/>
                <w:highlight w:val="none"/>
              </w:rPr>
              <w:t>4</w:t>
            </w:r>
          </w:p>
        </w:tc>
        <w:tc>
          <w:tcPr>
            <w:tcW w:w="3410" w:type="dxa"/>
            <w:tcBorders>
              <w:top w:val="single" w:color="000000" w:sz="4" w:space="0"/>
              <w:left w:val="single" w:color="000000" w:sz="4" w:space="0"/>
              <w:bottom w:val="single" w:color="000000" w:sz="4" w:space="0"/>
              <w:right w:val="single" w:color="000000" w:sz="4" w:space="0"/>
            </w:tcBorders>
            <w:vAlign w:val="center"/>
          </w:tcPr>
          <w:p w14:paraId="458A8054">
            <w:pPr>
              <w:spacing w:before="120" w:after="60" w:line="276" w:lineRule="auto"/>
              <w:jc w:val="left"/>
              <w:rPr>
                <w:rStyle w:val="66"/>
                <w:rFonts w:ascii="宋体" w:hAnsi="宋体"/>
                <w:szCs w:val="21"/>
                <w:highlight w:val="none"/>
              </w:rPr>
            </w:pPr>
            <w:r>
              <w:rPr>
                <w:rStyle w:val="66"/>
                <w:rFonts w:ascii="宋体" w:hAnsi="宋体"/>
                <w:szCs w:val="21"/>
                <w:highlight w:val="none"/>
              </w:rPr>
              <w:t>投标人拟担任本工程项目负责人符合公告要求</w:t>
            </w:r>
          </w:p>
        </w:tc>
        <w:tc>
          <w:tcPr>
            <w:tcW w:w="3882" w:type="dxa"/>
            <w:tcBorders>
              <w:top w:val="single" w:color="000000" w:sz="4" w:space="0"/>
              <w:left w:val="single" w:color="000000" w:sz="4" w:space="0"/>
              <w:bottom w:val="single" w:color="000000" w:sz="4" w:space="0"/>
              <w:right w:val="single" w:color="000000" w:sz="4" w:space="0"/>
            </w:tcBorders>
            <w:vAlign w:val="center"/>
          </w:tcPr>
          <w:p w14:paraId="6711E601">
            <w:pPr>
              <w:spacing w:before="120" w:after="60" w:line="276" w:lineRule="auto"/>
              <w:jc w:val="left"/>
              <w:rPr>
                <w:rStyle w:val="66"/>
                <w:highlight w:val="none"/>
              </w:rPr>
            </w:pPr>
            <w:r>
              <w:rPr>
                <w:rStyle w:val="66"/>
                <w:rFonts w:hint="eastAsia"/>
                <w:highlight w:val="none"/>
              </w:rPr>
              <w:t>使用有效期内的注册建造师注册证书在广州市住建行业信用平台内上传件。</w:t>
            </w:r>
          </w:p>
          <w:p w14:paraId="027AEB06">
            <w:pPr>
              <w:spacing w:before="120" w:after="60" w:line="276" w:lineRule="auto"/>
              <w:jc w:val="left"/>
              <w:rPr>
                <w:rStyle w:val="66"/>
                <w:rFonts w:ascii="宋体" w:hAnsi="宋体"/>
                <w:szCs w:val="21"/>
                <w:highlight w:val="none"/>
                <w:u w:val="single"/>
              </w:rPr>
            </w:pPr>
            <w:r>
              <w:rPr>
                <w:rStyle w:val="66"/>
                <w:rFonts w:hint="eastAsia"/>
                <w:highlight w:val="none"/>
              </w:rPr>
              <w:t>（注：打印建造师电子证书后，在个人签名处手写本人签名再上传广州市住建行业信用平台）</w:t>
            </w:r>
          </w:p>
        </w:tc>
        <w:tc>
          <w:tcPr>
            <w:tcW w:w="876" w:type="dxa"/>
            <w:tcBorders>
              <w:top w:val="single" w:color="000000" w:sz="4" w:space="0"/>
              <w:left w:val="single" w:color="000000" w:sz="4" w:space="0"/>
              <w:bottom w:val="single" w:color="000000" w:sz="4" w:space="0"/>
              <w:right w:val="single" w:color="000000" w:sz="4" w:space="0"/>
            </w:tcBorders>
            <w:vAlign w:val="center"/>
          </w:tcPr>
          <w:p w14:paraId="4A29A339">
            <w:pPr>
              <w:spacing w:before="120" w:after="60" w:line="276" w:lineRule="auto"/>
              <w:jc w:val="center"/>
              <w:rPr>
                <w:rStyle w:val="66"/>
                <w:rFonts w:ascii="宋体" w:hAnsi="宋体"/>
                <w:szCs w:val="21"/>
                <w:highlight w:val="none"/>
              </w:rPr>
            </w:pPr>
          </w:p>
        </w:tc>
      </w:tr>
      <w:tr w14:paraId="280194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70" w:hRule="atLeast"/>
        </w:trPr>
        <w:tc>
          <w:tcPr>
            <w:tcW w:w="572" w:type="dxa"/>
            <w:tcBorders>
              <w:top w:val="single" w:color="000000" w:sz="4" w:space="0"/>
              <w:left w:val="single" w:color="000000" w:sz="4" w:space="0"/>
              <w:bottom w:val="single" w:color="000000" w:sz="4" w:space="0"/>
              <w:right w:val="single" w:color="000000" w:sz="4" w:space="0"/>
            </w:tcBorders>
            <w:vAlign w:val="center"/>
          </w:tcPr>
          <w:p w14:paraId="4758B4A0">
            <w:pPr>
              <w:spacing w:before="120" w:after="60" w:line="276" w:lineRule="auto"/>
              <w:jc w:val="center"/>
              <w:rPr>
                <w:rStyle w:val="66"/>
                <w:rFonts w:ascii="宋体" w:hAnsi="宋体"/>
                <w:szCs w:val="21"/>
                <w:highlight w:val="none"/>
              </w:rPr>
            </w:pPr>
            <w:r>
              <w:rPr>
                <w:rStyle w:val="66"/>
                <w:rFonts w:ascii="宋体" w:hAnsi="宋体"/>
                <w:szCs w:val="21"/>
                <w:highlight w:val="none"/>
              </w:rPr>
              <w:t>5</w:t>
            </w:r>
          </w:p>
        </w:tc>
        <w:tc>
          <w:tcPr>
            <w:tcW w:w="3410" w:type="dxa"/>
            <w:tcBorders>
              <w:top w:val="single" w:color="000000" w:sz="4" w:space="0"/>
              <w:left w:val="single" w:color="000000" w:sz="4" w:space="0"/>
              <w:bottom w:val="single" w:color="000000" w:sz="4" w:space="0"/>
              <w:right w:val="single" w:color="000000" w:sz="4" w:space="0"/>
            </w:tcBorders>
            <w:vAlign w:val="center"/>
          </w:tcPr>
          <w:p w14:paraId="1C4A2015">
            <w:pPr>
              <w:spacing w:before="120" w:after="60" w:line="276" w:lineRule="auto"/>
              <w:jc w:val="left"/>
              <w:rPr>
                <w:rStyle w:val="66"/>
                <w:rFonts w:ascii="宋体" w:hAnsi="宋体"/>
                <w:szCs w:val="21"/>
                <w:highlight w:val="none"/>
              </w:rPr>
            </w:pPr>
            <w:r>
              <w:rPr>
                <w:rStyle w:val="66"/>
                <w:rFonts w:hint="eastAsia" w:ascii="宋体" w:hAnsi="宋体"/>
                <w:szCs w:val="21"/>
                <w:highlight w:val="none"/>
              </w:rPr>
              <w:t>持有项目负责人安全</w:t>
            </w:r>
            <w:r>
              <w:rPr>
                <w:rStyle w:val="66"/>
                <w:rFonts w:hint="eastAsia" w:ascii="宋体" w:hAnsi="宋体"/>
                <w:bCs/>
                <w:szCs w:val="21"/>
                <w:highlight w:val="none"/>
              </w:rPr>
              <w:t>生产</w:t>
            </w:r>
            <w:r>
              <w:rPr>
                <w:rStyle w:val="66"/>
                <w:rFonts w:hint="eastAsia" w:ascii="宋体" w:hAnsi="宋体"/>
                <w:szCs w:val="21"/>
                <w:highlight w:val="none"/>
              </w:rPr>
              <w:t>考核合格证（B类）或建筑施工企业项目负责人安全生产考核合格证</w:t>
            </w:r>
          </w:p>
        </w:tc>
        <w:tc>
          <w:tcPr>
            <w:tcW w:w="3882" w:type="dxa"/>
            <w:tcBorders>
              <w:top w:val="single" w:color="000000" w:sz="4" w:space="0"/>
              <w:left w:val="single" w:color="000000" w:sz="4" w:space="0"/>
              <w:bottom w:val="single" w:color="000000" w:sz="4" w:space="0"/>
              <w:right w:val="single" w:color="000000" w:sz="4" w:space="0"/>
            </w:tcBorders>
            <w:vAlign w:val="center"/>
          </w:tcPr>
          <w:p w14:paraId="5E72CE2C">
            <w:pPr>
              <w:spacing w:before="120" w:after="60" w:line="276" w:lineRule="auto"/>
              <w:jc w:val="left"/>
              <w:rPr>
                <w:rStyle w:val="66"/>
                <w:rFonts w:ascii="宋体" w:hAnsi="宋体"/>
                <w:szCs w:val="21"/>
                <w:highlight w:val="none"/>
              </w:rPr>
            </w:pPr>
            <w:r>
              <w:rPr>
                <w:rStyle w:val="66"/>
                <w:rFonts w:hint="eastAsia" w:ascii="宋体" w:hAnsi="宋体"/>
                <w:szCs w:val="21"/>
                <w:highlight w:val="none"/>
              </w:rPr>
              <w:t>项目负责人安全</w:t>
            </w:r>
            <w:r>
              <w:rPr>
                <w:rStyle w:val="66"/>
                <w:rFonts w:hint="eastAsia" w:ascii="宋体" w:hAnsi="宋体"/>
                <w:b/>
                <w:bCs/>
                <w:szCs w:val="21"/>
                <w:highlight w:val="none"/>
              </w:rPr>
              <w:t>生产</w:t>
            </w:r>
            <w:r>
              <w:rPr>
                <w:rStyle w:val="66"/>
                <w:rFonts w:hint="eastAsia" w:ascii="宋体" w:hAnsi="宋体"/>
                <w:szCs w:val="21"/>
                <w:highlight w:val="none"/>
              </w:rPr>
              <w:t>考核合格证（</w:t>
            </w:r>
            <w:r>
              <w:rPr>
                <w:rStyle w:val="66"/>
                <w:rFonts w:hint="eastAsia" w:ascii="宋体" w:hAnsi="宋体"/>
                <w:b/>
                <w:bCs/>
                <w:szCs w:val="21"/>
                <w:highlight w:val="none"/>
              </w:rPr>
              <w:t>B类</w:t>
            </w:r>
            <w:r>
              <w:rPr>
                <w:rStyle w:val="66"/>
                <w:rFonts w:hint="eastAsia" w:ascii="宋体" w:hAnsi="宋体"/>
                <w:szCs w:val="21"/>
                <w:highlight w:val="none"/>
              </w:rPr>
              <w:t>）或建筑施工企业项目负责人安全生产考核合格证在广州市住建行业信用管理平台内上传件</w:t>
            </w:r>
          </w:p>
        </w:tc>
        <w:tc>
          <w:tcPr>
            <w:tcW w:w="876" w:type="dxa"/>
            <w:tcBorders>
              <w:top w:val="single" w:color="000000" w:sz="4" w:space="0"/>
              <w:left w:val="single" w:color="000000" w:sz="4" w:space="0"/>
              <w:bottom w:val="single" w:color="000000" w:sz="4" w:space="0"/>
              <w:right w:val="single" w:color="000000" w:sz="4" w:space="0"/>
            </w:tcBorders>
            <w:vAlign w:val="center"/>
          </w:tcPr>
          <w:p w14:paraId="14BDC536">
            <w:pPr>
              <w:spacing w:before="120" w:after="60" w:line="276" w:lineRule="auto"/>
              <w:jc w:val="center"/>
              <w:rPr>
                <w:rStyle w:val="66"/>
                <w:rFonts w:ascii="宋体" w:hAnsi="宋体"/>
                <w:szCs w:val="21"/>
                <w:highlight w:val="none"/>
              </w:rPr>
            </w:pPr>
          </w:p>
        </w:tc>
      </w:tr>
      <w:tr w14:paraId="7DCB75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572" w:type="dxa"/>
            <w:tcBorders>
              <w:top w:val="single" w:color="000000" w:sz="4" w:space="0"/>
              <w:left w:val="single" w:color="000000" w:sz="4" w:space="0"/>
              <w:bottom w:val="single" w:color="000000" w:sz="4" w:space="0"/>
              <w:right w:val="single" w:color="000000" w:sz="4" w:space="0"/>
            </w:tcBorders>
            <w:vAlign w:val="center"/>
          </w:tcPr>
          <w:p w14:paraId="34DAE103">
            <w:pPr>
              <w:spacing w:before="120" w:after="60" w:line="276" w:lineRule="auto"/>
              <w:jc w:val="center"/>
              <w:rPr>
                <w:rStyle w:val="66"/>
                <w:rFonts w:ascii="宋体" w:hAnsi="宋体"/>
                <w:szCs w:val="21"/>
                <w:highlight w:val="none"/>
              </w:rPr>
            </w:pPr>
            <w:r>
              <w:rPr>
                <w:rStyle w:val="66"/>
                <w:rFonts w:ascii="宋体" w:hAnsi="宋体"/>
                <w:szCs w:val="21"/>
                <w:highlight w:val="none"/>
              </w:rPr>
              <w:t>6</w:t>
            </w:r>
          </w:p>
        </w:tc>
        <w:tc>
          <w:tcPr>
            <w:tcW w:w="3410" w:type="dxa"/>
            <w:tcBorders>
              <w:top w:val="single" w:color="000000" w:sz="4" w:space="0"/>
              <w:left w:val="single" w:color="000000" w:sz="4" w:space="0"/>
              <w:bottom w:val="single" w:color="000000" w:sz="4" w:space="0"/>
              <w:right w:val="single" w:color="000000" w:sz="4" w:space="0"/>
            </w:tcBorders>
            <w:vAlign w:val="center"/>
          </w:tcPr>
          <w:p w14:paraId="4A62D480">
            <w:pPr>
              <w:spacing w:before="120" w:after="60" w:line="276" w:lineRule="auto"/>
              <w:jc w:val="left"/>
              <w:rPr>
                <w:rStyle w:val="66"/>
                <w:rFonts w:ascii="宋体" w:hAnsi="宋体"/>
                <w:szCs w:val="21"/>
                <w:highlight w:val="none"/>
              </w:rPr>
            </w:pPr>
            <w:r>
              <w:rPr>
                <w:rStyle w:val="66"/>
                <w:rFonts w:ascii="宋体" w:hAnsi="宋体"/>
                <w:szCs w:val="21"/>
                <w:highlight w:val="none"/>
              </w:rPr>
              <w:t>投标人拟担任本工程技术负责人符合公告要求</w:t>
            </w:r>
          </w:p>
        </w:tc>
        <w:tc>
          <w:tcPr>
            <w:tcW w:w="3882" w:type="dxa"/>
            <w:tcBorders>
              <w:top w:val="single" w:color="000000" w:sz="4" w:space="0"/>
              <w:left w:val="single" w:color="000000" w:sz="4" w:space="0"/>
              <w:bottom w:val="single" w:color="000000" w:sz="4" w:space="0"/>
              <w:right w:val="single" w:color="000000" w:sz="4" w:space="0"/>
            </w:tcBorders>
            <w:vAlign w:val="center"/>
          </w:tcPr>
          <w:p w14:paraId="61442CBD">
            <w:pPr>
              <w:spacing w:before="120" w:after="60" w:line="276" w:lineRule="auto"/>
              <w:jc w:val="left"/>
              <w:rPr>
                <w:rStyle w:val="66"/>
                <w:rFonts w:ascii="宋体" w:hAnsi="宋体"/>
                <w:szCs w:val="21"/>
                <w:highlight w:val="none"/>
              </w:rPr>
            </w:pPr>
            <w:r>
              <w:rPr>
                <w:rStyle w:val="66"/>
                <w:rFonts w:ascii="宋体" w:hAnsi="宋体"/>
                <w:szCs w:val="21"/>
                <w:highlight w:val="none"/>
              </w:rPr>
              <w:t>拟委托技术负责人的</w:t>
            </w:r>
            <w:r>
              <w:rPr>
                <w:rStyle w:val="66"/>
                <w:rFonts w:hint="eastAsia" w:ascii="宋体" w:hAnsi="宋体"/>
                <w:szCs w:val="21"/>
                <w:highlight w:val="none"/>
              </w:rPr>
              <w:t>职称</w:t>
            </w:r>
            <w:r>
              <w:rPr>
                <w:rStyle w:val="66"/>
                <w:rFonts w:ascii="宋体" w:hAnsi="宋体"/>
                <w:szCs w:val="21"/>
                <w:highlight w:val="none"/>
              </w:rPr>
              <w:t>证书</w:t>
            </w:r>
            <w:r>
              <w:rPr>
                <w:rStyle w:val="66"/>
                <w:rFonts w:hint="eastAsia" w:ascii="宋体" w:hAnsi="宋体"/>
                <w:szCs w:val="21"/>
                <w:highlight w:val="none"/>
              </w:rPr>
              <w:t>扫描件</w:t>
            </w:r>
          </w:p>
        </w:tc>
        <w:tc>
          <w:tcPr>
            <w:tcW w:w="876" w:type="dxa"/>
            <w:tcBorders>
              <w:top w:val="single" w:color="000000" w:sz="4" w:space="0"/>
              <w:left w:val="single" w:color="000000" w:sz="4" w:space="0"/>
              <w:bottom w:val="single" w:color="000000" w:sz="4" w:space="0"/>
              <w:right w:val="single" w:color="000000" w:sz="4" w:space="0"/>
            </w:tcBorders>
            <w:vAlign w:val="center"/>
          </w:tcPr>
          <w:p w14:paraId="58C7093D">
            <w:pPr>
              <w:spacing w:before="120" w:after="60" w:line="276" w:lineRule="auto"/>
              <w:jc w:val="center"/>
              <w:rPr>
                <w:rStyle w:val="66"/>
                <w:rFonts w:ascii="宋体" w:hAnsi="宋体"/>
                <w:szCs w:val="21"/>
                <w:highlight w:val="none"/>
              </w:rPr>
            </w:pPr>
          </w:p>
        </w:tc>
      </w:tr>
      <w:tr w14:paraId="576572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572" w:type="dxa"/>
            <w:tcBorders>
              <w:top w:val="single" w:color="000000" w:sz="4" w:space="0"/>
              <w:left w:val="single" w:color="000000" w:sz="4" w:space="0"/>
              <w:bottom w:val="single" w:color="000000" w:sz="4" w:space="0"/>
              <w:right w:val="single" w:color="000000" w:sz="4" w:space="0"/>
            </w:tcBorders>
            <w:vAlign w:val="center"/>
          </w:tcPr>
          <w:p w14:paraId="57ECC65C">
            <w:pPr>
              <w:spacing w:before="120" w:after="60" w:line="276" w:lineRule="auto"/>
              <w:jc w:val="center"/>
              <w:rPr>
                <w:rStyle w:val="66"/>
                <w:rFonts w:ascii="宋体" w:hAnsi="宋体"/>
                <w:szCs w:val="21"/>
                <w:highlight w:val="none"/>
              </w:rPr>
            </w:pPr>
            <w:r>
              <w:rPr>
                <w:rStyle w:val="66"/>
                <w:rFonts w:ascii="宋体" w:hAnsi="宋体"/>
                <w:szCs w:val="21"/>
                <w:highlight w:val="none"/>
              </w:rPr>
              <w:t>7</w:t>
            </w:r>
          </w:p>
        </w:tc>
        <w:tc>
          <w:tcPr>
            <w:tcW w:w="3410" w:type="dxa"/>
            <w:tcBorders>
              <w:top w:val="single" w:color="000000" w:sz="4" w:space="0"/>
              <w:left w:val="single" w:color="000000" w:sz="4" w:space="0"/>
              <w:bottom w:val="single" w:color="000000" w:sz="4" w:space="0"/>
              <w:right w:val="single" w:color="000000" w:sz="4" w:space="0"/>
            </w:tcBorders>
            <w:vAlign w:val="center"/>
          </w:tcPr>
          <w:p w14:paraId="0968EC33">
            <w:pPr>
              <w:spacing w:before="120" w:after="60" w:line="276" w:lineRule="auto"/>
              <w:jc w:val="left"/>
              <w:rPr>
                <w:rStyle w:val="66"/>
                <w:rFonts w:ascii="宋体" w:hAnsi="宋体"/>
                <w:szCs w:val="21"/>
                <w:highlight w:val="none"/>
              </w:rPr>
            </w:pPr>
            <w:r>
              <w:rPr>
                <w:rStyle w:val="66"/>
                <w:rFonts w:hint="eastAsia" w:ascii="宋体" w:hAnsi="宋体"/>
                <w:szCs w:val="21"/>
                <w:highlight w:val="none"/>
              </w:rPr>
              <w:t>专职安全员须具有在有效期内的安全生产考核合格证（C类）或建筑施工企业专职安全生产管理人员安全生产考核合格证（C3）</w:t>
            </w:r>
          </w:p>
        </w:tc>
        <w:tc>
          <w:tcPr>
            <w:tcW w:w="3882" w:type="dxa"/>
            <w:tcBorders>
              <w:top w:val="single" w:color="000000" w:sz="4" w:space="0"/>
              <w:left w:val="single" w:color="000000" w:sz="4" w:space="0"/>
              <w:bottom w:val="single" w:color="000000" w:sz="4" w:space="0"/>
              <w:right w:val="single" w:color="000000" w:sz="4" w:space="0"/>
            </w:tcBorders>
            <w:vAlign w:val="center"/>
          </w:tcPr>
          <w:p w14:paraId="3F1E853A">
            <w:pPr>
              <w:spacing w:before="120" w:after="60" w:line="276" w:lineRule="auto"/>
              <w:jc w:val="left"/>
              <w:rPr>
                <w:rStyle w:val="66"/>
                <w:rFonts w:ascii="宋体" w:hAnsi="宋体"/>
                <w:szCs w:val="21"/>
                <w:highlight w:val="none"/>
              </w:rPr>
            </w:pPr>
            <w:r>
              <w:rPr>
                <w:rStyle w:val="66"/>
                <w:rFonts w:hint="eastAsia" w:ascii="宋体" w:hAnsi="宋体"/>
                <w:highlight w:val="none"/>
              </w:rPr>
              <w:t>专职安全员的安全生产考核合格证（C类）或建筑施工企业专职安全生产管理人员安全生产考核合格证（C3）在广州市住建行业信用管理平台内上传件</w:t>
            </w:r>
          </w:p>
        </w:tc>
        <w:tc>
          <w:tcPr>
            <w:tcW w:w="876" w:type="dxa"/>
            <w:tcBorders>
              <w:top w:val="single" w:color="000000" w:sz="4" w:space="0"/>
              <w:left w:val="single" w:color="000000" w:sz="4" w:space="0"/>
              <w:bottom w:val="single" w:color="000000" w:sz="4" w:space="0"/>
              <w:right w:val="single" w:color="000000" w:sz="4" w:space="0"/>
            </w:tcBorders>
            <w:vAlign w:val="center"/>
          </w:tcPr>
          <w:p w14:paraId="6B3037E4">
            <w:pPr>
              <w:spacing w:before="120" w:after="60" w:line="276" w:lineRule="auto"/>
              <w:jc w:val="center"/>
              <w:rPr>
                <w:rStyle w:val="66"/>
                <w:rFonts w:ascii="宋体" w:hAnsi="宋体"/>
                <w:szCs w:val="21"/>
                <w:highlight w:val="none"/>
              </w:rPr>
            </w:pPr>
          </w:p>
        </w:tc>
      </w:tr>
      <w:tr w14:paraId="738C3D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572" w:type="dxa"/>
            <w:tcBorders>
              <w:top w:val="single" w:color="000000" w:sz="4" w:space="0"/>
              <w:left w:val="single" w:color="000000" w:sz="4" w:space="0"/>
              <w:bottom w:val="single" w:color="000000" w:sz="4" w:space="0"/>
              <w:right w:val="single" w:color="000000" w:sz="4" w:space="0"/>
            </w:tcBorders>
            <w:vAlign w:val="center"/>
          </w:tcPr>
          <w:p w14:paraId="23ED0963">
            <w:pPr>
              <w:spacing w:before="120" w:after="60" w:line="276" w:lineRule="auto"/>
              <w:jc w:val="center"/>
              <w:rPr>
                <w:rStyle w:val="66"/>
                <w:rFonts w:ascii="宋体" w:hAnsi="宋体"/>
                <w:szCs w:val="21"/>
                <w:highlight w:val="none"/>
              </w:rPr>
            </w:pPr>
            <w:r>
              <w:rPr>
                <w:rStyle w:val="66"/>
                <w:rFonts w:ascii="宋体" w:hAnsi="宋体"/>
                <w:szCs w:val="21"/>
                <w:highlight w:val="none"/>
              </w:rPr>
              <w:t>8</w:t>
            </w:r>
          </w:p>
        </w:tc>
        <w:tc>
          <w:tcPr>
            <w:tcW w:w="3410" w:type="dxa"/>
            <w:tcBorders>
              <w:top w:val="single" w:color="000000" w:sz="4" w:space="0"/>
              <w:left w:val="single" w:color="000000" w:sz="4" w:space="0"/>
              <w:bottom w:val="single" w:color="000000" w:sz="4" w:space="0"/>
              <w:right w:val="single" w:color="000000" w:sz="4" w:space="0"/>
            </w:tcBorders>
            <w:vAlign w:val="center"/>
          </w:tcPr>
          <w:p w14:paraId="46C180FC">
            <w:pPr>
              <w:spacing w:before="120" w:after="60" w:line="276" w:lineRule="auto"/>
              <w:jc w:val="left"/>
              <w:rPr>
                <w:rStyle w:val="66"/>
                <w:rFonts w:ascii="宋体" w:hAnsi="宋体"/>
                <w:szCs w:val="21"/>
                <w:highlight w:val="none"/>
              </w:rPr>
            </w:pPr>
            <w:r>
              <w:rPr>
                <w:rStyle w:val="66"/>
                <w:rFonts w:ascii="宋体" w:hAnsi="宋体"/>
                <w:szCs w:val="21"/>
                <w:highlight w:val="none"/>
              </w:rPr>
              <w:t>投标人提供的投标人声明符合公告要求</w:t>
            </w:r>
          </w:p>
        </w:tc>
        <w:tc>
          <w:tcPr>
            <w:tcW w:w="3882" w:type="dxa"/>
            <w:tcBorders>
              <w:top w:val="single" w:color="000000" w:sz="4" w:space="0"/>
              <w:left w:val="single" w:color="000000" w:sz="4" w:space="0"/>
              <w:bottom w:val="single" w:color="000000" w:sz="4" w:space="0"/>
              <w:right w:val="single" w:color="000000" w:sz="4" w:space="0"/>
            </w:tcBorders>
            <w:vAlign w:val="center"/>
          </w:tcPr>
          <w:p w14:paraId="23785271">
            <w:pPr>
              <w:spacing w:before="120" w:after="60" w:line="276" w:lineRule="auto"/>
              <w:jc w:val="left"/>
              <w:rPr>
                <w:rStyle w:val="66"/>
                <w:rFonts w:ascii="宋体" w:hAnsi="宋体"/>
                <w:szCs w:val="21"/>
                <w:highlight w:val="none"/>
              </w:rPr>
            </w:pPr>
            <w:r>
              <w:rPr>
                <w:rStyle w:val="66"/>
                <w:rFonts w:ascii="宋体" w:hAnsi="宋体"/>
                <w:szCs w:val="21"/>
                <w:highlight w:val="none"/>
              </w:rPr>
              <w:t>投标人声明</w:t>
            </w:r>
          </w:p>
        </w:tc>
        <w:tc>
          <w:tcPr>
            <w:tcW w:w="876" w:type="dxa"/>
            <w:tcBorders>
              <w:top w:val="single" w:color="000000" w:sz="4" w:space="0"/>
              <w:left w:val="single" w:color="000000" w:sz="4" w:space="0"/>
              <w:bottom w:val="single" w:color="000000" w:sz="4" w:space="0"/>
              <w:right w:val="single" w:color="000000" w:sz="4" w:space="0"/>
            </w:tcBorders>
            <w:vAlign w:val="center"/>
          </w:tcPr>
          <w:p w14:paraId="208D6DDA">
            <w:pPr>
              <w:spacing w:before="120" w:after="60" w:line="276" w:lineRule="auto"/>
              <w:jc w:val="center"/>
              <w:rPr>
                <w:rStyle w:val="66"/>
                <w:rFonts w:ascii="宋体" w:hAnsi="宋体"/>
                <w:szCs w:val="21"/>
                <w:highlight w:val="none"/>
              </w:rPr>
            </w:pPr>
          </w:p>
        </w:tc>
      </w:tr>
      <w:tr w14:paraId="51F669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572" w:type="dxa"/>
            <w:tcBorders>
              <w:top w:val="single" w:color="000000" w:sz="4" w:space="0"/>
              <w:left w:val="single" w:color="000000" w:sz="4" w:space="0"/>
              <w:bottom w:val="single" w:color="000000" w:sz="4" w:space="0"/>
              <w:right w:val="single" w:color="000000" w:sz="4" w:space="0"/>
            </w:tcBorders>
            <w:vAlign w:val="center"/>
          </w:tcPr>
          <w:p w14:paraId="3D808789">
            <w:pPr>
              <w:spacing w:before="120" w:after="60" w:line="276" w:lineRule="auto"/>
              <w:jc w:val="center"/>
              <w:rPr>
                <w:rStyle w:val="66"/>
                <w:rFonts w:ascii="宋体" w:hAnsi="宋体"/>
                <w:szCs w:val="21"/>
                <w:highlight w:val="none"/>
              </w:rPr>
            </w:pPr>
            <w:r>
              <w:rPr>
                <w:rStyle w:val="66"/>
                <w:rFonts w:ascii="宋体" w:hAnsi="宋体"/>
                <w:szCs w:val="21"/>
                <w:highlight w:val="none"/>
              </w:rPr>
              <w:t>9</w:t>
            </w:r>
          </w:p>
        </w:tc>
        <w:tc>
          <w:tcPr>
            <w:tcW w:w="3410" w:type="dxa"/>
            <w:tcBorders>
              <w:top w:val="single" w:color="000000" w:sz="4" w:space="0"/>
              <w:left w:val="single" w:color="000000" w:sz="4" w:space="0"/>
              <w:bottom w:val="single" w:color="000000" w:sz="4" w:space="0"/>
              <w:right w:val="single" w:color="000000" w:sz="4" w:space="0"/>
            </w:tcBorders>
            <w:vAlign w:val="center"/>
          </w:tcPr>
          <w:p w14:paraId="7122A31A">
            <w:pPr>
              <w:spacing w:before="120" w:after="60" w:line="276" w:lineRule="auto"/>
              <w:jc w:val="left"/>
              <w:rPr>
                <w:rStyle w:val="66"/>
                <w:rFonts w:ascii="宋体" w:hAnsi="宋体"/>
                <w:szCs w:val="21"/>
                <w:highlight w:val="none"/>
              </w:rPr>
            </w:pPr>
            <w:r>
              <w:rPr>
                <w:rStyle w:val="66"/>
                <w:rFonts w:ascii="宋体" w:hAnsi="宋体"/>
                <w:szCs w:val="21"/>
                <w:highlight w:val="none"/>
              </w:rPr>
              <w:t>投标人声明中签字的项目负责人和技术负责人与本项目拟派的项目负责人和技术负责人一致</w:t>
            </w:r>
          </w:p>
        </w:tc>
        <w:tc>
          <w:tcPr>
            <w:tcW w:w="3882" w:type="dxa"/>
            <w:tcBorders>
              <w:top w:val="single" w:color="000000" w:sz="4" w:space="0"/>
              <w:left w:val="single" w:color="000000" w:sz="4" w:space="0"/>
              <w:bottom w:val="single" w:color="000000" w:sz="4" w:space="0"/>
              <w:right w:val="single" w:color="000000" w:sz="4" w:space="0"/>
            </w:tcBorders>
            <w:vAlign w:val="center"/>
          </w:tcPr>
          <w:p w14:paraId="0E098AE2">
            <w:pPr>
              <w:spacing w:before="120" w:after="60" w:line="276" w:lineRule="auto"/>
              <w:jc w:val="left"/>
              <w:rPr>
                <w:rStyle w:val="66"/>
                <w:rFonts w:ascii="宋体" w:hAnsi="宋体"/>
                <w:szCs w:val="21"/>
                <w:highlight w:val="none"/>
              </w:rPr>
            </w:pPr>
            <w:r>
              <w:rPr>
                <w:rStyle w:val="66"/>
                <w:rFonts w:ascii="宋体" w:hAnsi="宋体"/>
                <w:szCs w:val="21"/>
                <w:highlight w:val="none"/>
              </w:rPr>
              <w:t>网上投标时选择拟投标的项目负责人、资格审查文件中拟委派的技术负责人及投标人声明</w:t>
            </w:r>
          </w:p>
        </w:tc>
        <w:tc>
          <w:tcPr>
            <w:tcW w:w="876" w:type="dxa"/>
            <w:tcBorders>
              <w:top w:val="single" w:color="000000" w:sz="4" w:space="0"/>
              <w:left w:val="single" w:color="000000" w:sz="4" w:space="0"/>
              <w:bottom w:val="single" w:color="000000" w:sz="4" w:space="0"/>
              <w:right w:val="single" w:color="000000" w:sz="4" w:space="0"/>
            </w:tcBorders>
            <w:vAlign w:val="center"/>
          </w:tcPr>
          <w:p w14:paraId="56497B87">
            <w:pPr>
              <w:spacing w:before="120" w:after="60" w:line="276" w:lineRule="auto"/>
              <w:jc w:val="center"/>
              <w:rPr>
                <w:rStyle w:val="66"/>
                <w:rFonts w:ascii="宋体" w:hAnsi="宋体"/>
                <w:szCs w:val="21"/>
                <w:highlight w:val="none"/>
              </w:rPr>
            </w:pPr>
          </w:p>
        </w:tc>
      </w:tr>
      <w:tr w14:paraId="171DD9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572" w:type="dxa"/>
            <w:tcBorders>
              <w:top w:val="single" w:color="000000" w:sz="4" w:space="0"/>
              <w:left w:val="single" w:color="000000" w:sz="4" w:space="0"/>
              <w:bottom w:val="single" w:color="000000" w:sz="4" w:space="0"/>
              <w:right w:val="single" w:color="000000" w:sz="4" w:space="0"/>
            </w:tcBorders>
            <w:vAlign w:val="center"/>
          </w:tcPr>
          <w:p w14:paraId="352FDF51">
            <w:pPr>
              <w:spacing w:before="120" w:after="60" w:line="276" w:lineRule="auto"/>
              <w:jc w:val="center"/>
              <w:rPr>
                <w:rStyle w:val="66"/>
                <w:rFonts w:ascii="宋体" w:hAnsi="宋体"/>
                <w:szCs w:val="21"/>
                <w:highlight w:val="none"/>
              </w:rPr>
            </w:pPr>
            <w:r>
              <w:rPr>
                <w:rStyle w:val="66"/>
                <w:rFonts w:ascii="宋体" w:hAnsi="宋体"/>
                <w:szCs w:val="21"/>
                <w:highlight w:val="none"/>
              </w:rPr>
              <w:t>10</w:t>
            </w:r>
          </w:p>
        </w:tc>
        <w:tc>
          <w:tcPr>
            <w:tcW w:w="3410" w:type="dxa"/>
            <w:tcBorders>
              <w:top w:val="single" w:color="000000" w:sz="4" w:space="0"/>
              <w:left w:val="single" w:color="000000" w:sz="4" w:space="0"/>
              <w:bottom w:val="single" w:color="000000" w:sz="4" w:space="0"/>
              <w:right w:val="single" w:color="000000" w:sz="4" w:space="0"/>
            </w:tcBorders>
            <w:vAlign w:val="center"/>
          </w:tcPr>
          <w:p w14:paraId="4F327AC4">
            <w:pPr>
              <w:spacing w:before="120" w:after="60" w:line="276" w:lineRule="auto"/>
              <w:jc w:val="left"/>
              <w:rPr>
                <w:rStyle w:val="66"/>
                <w:rFonts w:ascii="宋体" w:hAnsi="宋体"/>
                <w:szCs w:val="21"/>
                <w:highlight w:val="none"/>
              </w:rPr>
            </w:pPr>
            <w:r>
              <w:rPr>
                <w:rFonts w:hint="eastAsia" w:ascii="宋体" w:hAnsi="宋体"/>
                <w:szCs w:val="21"/>
                <w:highlight w:val="none"/>
              </w:rPr>
              <w:t>关于联合体投标</w:t>
            </w:r>
            <w:r>
              <w:rPr>
                <w:rFonts w:ascii="宋体" w:hAnsi="宋体"/>
                <w:szCs w:val="21"/>
                <w:highlight w:val="none"/>
              </w:rPr>
              <w:t>：本项目不接受联合体投标</w:t>
            </w:r>
          </w:p>
        </w:tc>
        <w:tc>
          <w:tcPr>
            <w:tcW w:w="3882" w:type="dxa"/>
            <w:tcBorders>
              <w:top w:val="single" w:color="000000" w:sz="4" w:space="0"/>
              <w:left w:val="single" w:color="000000" w:sz="4" w:space="0"/>
              <w:bottom w:val="single" w:color="000000" w:sz="4" w:space="0"/>
              <w:right w:val="single" w:color="000000" w:sz="4" w:space="0"/>
            </w:tcBorders>
            <w:vAlign w:val="center"/>
          </w:tcPr>
          <w:p w14:paraId="206A6FD9">
            <w:pPr>
              <w:spacing w:before="120" w:after="60" w:line="276" w:lineRule="auto"/>
              <w:jc w:val="left"/>
              <w:rPr>
                <w:rStyle w:val="66"/>
                <w:rFonts w:ascii="宋体" w:hAnsi="宋体"/>
                <w:szCs w:val="21"/>
                <w:highlight w:val="none"/>
              </w:rPr>
            </w:pPr>
            <w:r>
              <w:rPr>
                <w:rStyle w:val="66"/>
                <w:rFonts w:hint="eastAsia" w:ascii="宋体" w:hAnsi="宋体"/>
                <w:highlight w:val="none"/>
              </w:rPr>
              <w:t>/</w:t>
            </w:r>
          </w:p>
        </w:tc>
        <w:tc>
          <w:tcPr>
            <w:tcW w:w="876" w:type="dxa"/>
            <w:tcBorders>
              <w:top w:val="single" w:color="000000" w:sz="4" w:space="0"/>
              <w:left w:val="single" w:color="000000" w:sz="4" w:space="0"/>
              <w:bottom w:val="single" w:color="000000" w:sz="4" w:space="0"/>
              <w:right w:val="single" w:color="000000" w:sz="4" w:space="0"/>
            </w:tcBorders>
            <w:vAlign w:val="center"/>
          </w:tcPr>
          <w:p w14:paraId="151A3B0E">
            <w:pPr>
              <w:spacing w:before="120" w:after="60" w:line="276" w:lineRule="auto"/>
              <w:jc w:val="center"/>
              <w:rPr>
                <w:rStyle w:val="66"/>
                <w:rFonts w:ascii="宋体" w:hAnsi="宋体"/>
                <w:szCs w:val="21"/>
                <w:highlight w:val="none"/>
              </w:rPr>
            </w:pPr>
          </w:p>
        </w:tc>
      </w:tr>
      <w:tr w14:paraId="00EBC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572" w:type="dxa"/>
            <w:tcBorders>
              <w:top w:val="single" w:color="000000" w:sz="4" w:space="0"/>
              <w:left w:val="single" w:color="000000" w:sz="4" w:space="0"/>
              <w:bottom w:val="single" w:color="000000" w:sz="4" w:space="0"/>
              <w:right w:val="single" w:color="000000" w:sz="4" w:space="0"/>
            </w:tcBorders>
            <w:vAlign w:val="center"/>
          </w:tcPr>
          <w:p w14:paraId="01393E65">
            <w:pPr>
              <w:spacing w:before="120" w:after="60" w:line="276" w:lineRule="auto"/>
              <w:jc w:val="center"/>
              <w:rPr>
                <w:rStyle w:val="66"/>
                <w:rFonts w:ascii="宋体" w:hAnsi="宋体"/>
                <w:szCs w:val="21"/>
                <w:highlight w:val="none"/>
              </w:rPr>
            </w:pPr>
            <w:r>
              <w:rPr>
                <w:rStyle w:val="66"/>
                <w:rFonts w:ascii="宋体" w:hAnsi="宋体"/>
                <w:szCs w:val="21"/>
                <w:highlight w:val="none"/>
              </w:rPr>
              <w:t>11</w:t>
            </w:r>
          </w:p>
        </w:tc>
        <w:tc>
          <w:tcPr>
            <w:tcW w:w="3410" w:type="dxa"/>
            <w:tcBorders>
              <w:top w:val="single" w:color="000000" w:sz="4" w:space="0"/>
              <w:left w:val="single" w:color="000000" w:sz="4" w:space="0"/>
              <w:bottom w:val="single" w:color="000000" w:sz="4" w:space="0"/>
              <w:right w:val="single" w:color="000000" w:sz="4" w:space="0"/>
            </w:tcBorders>
            <w:vAlign w:val="center"/>
          </w:tcPr>
          <w:p w14:paraId="0B48657D">
            <w:pPr>
              <w:spacing w:before="120" w:after="60" w:line="276" w:lineRule="auto"/>
              <w:jc w:val="left"/>
              <w:rPr>
                <w:rStyle w:val="66"/>
                <w:rFonts w:ascii="宋体" w:hAnsi="宋体"/>
                <w:szCs w:val="21"/>
                <w:highlight w:val="none"/>
              </w:rPr>
            </w:pPr>
            <w:r>
              <w:rPr>
                <w:rStyle w:val="66"/>
                <w:rFonts w:hint="eastAsia" w:ascii="宋体" w:hAnsi="宋体"/>
                <w:szCs w:val="21"/>
                <w:highlight w:val="none"/>
              </w:rPr>
              <w:t>资格审查前，投标人须在广州市住房和城乡建设局建立企业信用档案及拟担任本工程项目负责人、专职安全员须是本企业中的在册人员</w:t>
            </w:r>
          </w:p>
        </w:tc>
        <w:tc>
          <w:tcPr>
            <w:tcW w:w="3882" w:type="dxa"/>
            <w:tcBorders>
              <w:top w:val="single" w:color="000000" w:sz="4" w:space="0"/>
              <w:left w:val="single" w:color="000000" w:sz="4" w:space="0"/>
              <w:bottom w:val="single" w:color="000000" w:sz="4" w:space="0"/>
              <w:right w:val="single" w:color="000000" w:sz="4" w:space="0"/>
            </w:tcBorders>
            <w:vAlign w:val="center"/>
          </w:tcPr>
          <w:p w14:paraId="017D0E07">
            <w:pPr>
              <w:spacing w:before="120" w:after="60" w:line="276" w:lineRule="auto"/>
              <w:jc w:val="left"/>
              <w:rPr>
                <w:rStyle w:val="66"/>
                <w:rFonts w:ascii="宋体" w:hAnsi="宋体"/>
                <w:szCs w:val="21"/>
                <w:highlight w:val="none"/>
              </w:rPr>
            </w:pPr>
            <w:r>
              <w:rPr>
                <w:rStyle w:val="66"/>
                <w:rFonts w:hint="eastAsia" w:ascii="宋体" w:hAnsi="宋体"/>
                <w:szCs w:val="21"/>
                <w:highlight w:val="none"/>
              </w:rPr>
              <w:t>投标人在广州市住建行业信用管理平台内企业信用档案的企业和人员信息</w:t>
            </w:r>
          </w:p>
        </w:tc>
        <w:tc>
          <w:tcPr>
            <w:tcW w:w="876" w:type="dxa"/>
            <w:tcBorders>
              <w:top w:val="single" w:color="000000" w:sz="4" w:space="0"/>
              <w:left w:val="single" w:color="000000" w:sz="4" w:space="0"/>
              <w:bottom w:val="single" w:color="000000" w:sz="4" w:space="0"/>
              <w:right w:val="single" w:color="000000" w:sz="4" w:space="0"/>
            </w:tcBorders>
            <w:vAlign w:val="center"/>
          </w:tcPr>
          <w:p w14:paraId="21DD29D0">
            <w:pPr>
              <w:spacing w:before="120" w:after="60" w:line="276" w:lineRule="auto"/>
              <w:jc w:val="center"/>
              <w:rPr>
                <w:rStyle w:val="66"/>
                <w:rFonts w:ascii="宋体" w:hAnsi="宋体"/>
                <w:szCs w:val="21"/>
                <w:highlight w:val="none"/>
              </w:rPr>
            </w:pPr>
          </w:p>
        </w:tc>
      </w:tr>
      <w:tr w14:paraId="55FA8F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7" w:hRule="atLeast"/>
        </w:trPr>
        <w:tc>
          <w:tcPr>
            <w:tcW w:w="572" w:type="dxa"/>
            <w:tcBorders>
              <w:top w:val="single" w:color="000000" w:sz="4" w:space="0"/>
              <w:left w:val="single" w:color="000000" w:sz="4" w:space="0"/>
              <w:bottom w:val="single" w:color="000000" w:sz="4" w:space="0"/>
              <w:right w:val="single" w:color="000000" w:sz="4" w:space="0"/>
            </w:tcBorders>
            <w:vAlign w:val="center"/>
          </w:tcPr>
          <w:p w14:paraId="05C42DD0">
            <w:pPr>
              <w:spacing w:before="120" w:after="60" w:line="276" w:lineRule="auto"/>
              <w:jc w:val="center"/>
              <w:rPr>
                <w:rStyle w:val="66"/>
                <w:rFonts w:ascii="宋体" w:hAnsi="宋体"/>
                <w:szCs w:val="21"/>
                <w:highlight w:val="none"/>
              </w:rPr>
            </w:pPr>
            <w:r>
              <w:rPr>
                <w:rStyle w:val="66"/>
                <w:rFonts w:ascii="宋体" w:hAnsi="宋体"/>
                <w:szCs w:val="21"/>
                <w:highlight w:val="none"/>
              </w:rPr>
              <w:t>12</w:t>
            </w:r>
          </w:p>
        </w:tc>
        <w:tc>
          <w:tcPr>
            <w:tcW w:w="3410" w:type="dxa"/>
            <w:tcBorders>
              <w:top w:val="single" w:color="000000" w:sz="4" w:space="0"/>
              <w:left w:val="single" w:color="000000" w:sz="4" w:space="0"/>
              <w:bottom w:val="single" w:color="000000" w:sz="4" w:space="0"/>
              <w:right w:val="single" w:color="000000" w:sz="4" w:space="0"/>
            </w:tcBorders>
            <w:vAlign w:val="center"/>
          </w:tcPr>
          <w:p w14:paraId="34577E28">
            <w:pPr>
              <w:spacing w:line="276" w:lineRule="auto"/>
              <w:rPr>
                <w:rStyle w:val="66"/>
                <w:highlight w:val="none"/>
              </w:rPr>
            </w:pPr>
            <w:r>
              <w:rPr>
                <w:rFonts w:hint="eastAsia" w:ascii="宋体" w:hAnsi="宋体"/>
                <w:highlight w:val="none"/>
              </w:rPr>
              <w:t>投标人未出现以下情形：与其它投标人的单位负责人为同一人或者存在控股、管理关系的（按投标人提供的《投标人声明》第八条内容进行评审）。</w:t>
            </w:r>
          </w:p>
        </w:tc>
        <w:tc>
          <w:tcPr>
            <w:tcW w:w="3882" w:type="dxa"/>
            <w:tcBorders>
              <w:top w:val="single" w:color="000000" w:sz="4" w:space="0"/>
              <w:left w:val="single" w:color="000000" w:sz="4" w:space="0"/>
              <w:bottom w:val="single" w:color="000000" w:sz="4" w:space="0"/>
              <w:right w:val="single" w:color="000000" w:sz="4" w:space="0"/>
            </w:tcBorders>
            <w:vAlign w:val="center"/>
          </w:tcPr>
          <w:p w14:paraId="021B6BEB">
            <w:pPr>
              <w:spacing w:before="120" w:after="60" w:line="276" w:lineRule="auto"/>
              <w:jc w:val="left"/>
              <w:rPr>
                <w:rStyle w:val="66"/>
                <w:rFonts w:ascii="宋体" w:hAnsi="宋体"/>
                <w:szCs w:val="21"/>
                <w:highlight w:val="none"/>
              </w:rPr>
            </w:pPr>
            <w:r>
              <w:rPr>
                <w:rStyle w:val="66"/>
                <w:rFonts w:hint="eastAsia" w:ascii="宋体" w:hAnsi="宋体"/>
                <w:szCs w:val="21"/>
                <w:highlight w:val="none"/>
              </w:rPr>
              <w:t>投标人声明</w:t>
            </w:r>
          </w:p>
        </w:tc>
        <w:tc>
          <w:tcPr>
            <w:tcW w:w="876" w:type="dxa"/>
            <w:tcBorders>
              <w:top w:val="single" w:color="000000" w:sz="4" w:space="0"/>
              <w:left w:val="single" w:color="000000" w:sz="4" w:space="0"/>
              <w:bottom w:val="single" w:color="000000" w:sz="4" w:space="0"/>
              <w:right w:val="single" w:color="000000" w:sz="4" w:space="0"/>
            </w:tcBorders>
            <w:vAlign w:val="center"/>
          </w:tcPr>
          <w:p w14:paraId="3A9FFD39">
            <w:pPr>
              <w:spacing w:before="120" w:after="60" w:line="276" w:lineRule="auto"/>
              <w:jc w:val="center"/>
              <w:rPr>
                <w:rStyle w:val="66"/>
                <w:rFonts w:ascii="宋体" w:hAnsi="宋体"/>
                <w:szCs w:val="21"/>
                <w:highlight w:val="none"/>
              </w:rPr>
            </w:pPr>
          </w:p>
        </w:tc>
      </w:tr>
      <w:tr w14:paraId="4DCA78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572" w:type="dxa"/>
            <w:tcBorders>
              <w:top w:val="single" w:color="000000" w:sz="4" w:space="0"/>
              <w:left w:val="single" w:color="000000" w:sz="4" w:space="0"/>
              <w:bottom w:val="single" w:color="000000" w:sz="4" w:space="0"/>
              <w:right w:val="single" w:color="000000" w:sz="4" w:space="0"/>
            </w:tcBorders>
            <w:vAlign w:val="center"/>
          </w:tcPr>
          <w:p w14:paraId="62705E6D">
            <w:pPr>
              <w:spacing w:before="120" w:after="60" w:line="276" w:lineRule="auto"/>
              <w:jc w:val="center"/>
              <w:rPr>
                <w:rStyle w:val="66"/>
                <w:rFonts w:ascii="宋体" w:hAnsi="宋体"/>
                <w:szCs w:val="21"/>
                <w:highlight w:val="none"/>
              </w:rPr>
            </w:pPr>
            <w:r>
              <w:rPr>
                <w:rStyle w:val="66"/>
                <w:rFonts w:hint="eastAsia" w:ascii="宋体" w:hAnsi="宋体"/>
                <w:szCs w:val="21"/>
                <w:highlight w:val="none"/>
              </w:rPr>
              <w:t>13</w:t>
            </w:r>
          </w:p>
        </w:tc>
        <w:tc>
          <w:tcPr>
            <w:tcW w:w="3410" w:type="dxa"/>
            <w:tcBorders>
              <w:top w:val="single" w:color="000000" w:sz="4" w:space="0"/>
              <w:left w:val="single" w:color="000000" w:sz="4" w:space="0"/>
              <w:bottom w:val="single" w:color="000000" w:sz="4" w:space="0"/>
              <w:right w:val="single" w:color="000000" w:sz="4" w:space="0"/>
            </w:tcBorders>
            <w:vAlign w:val="center"/>
          </w:tcPr>
          <w:p w14:paraId="2EA0E13A">
            <w:pPr>
              <w:spacing w:before="120" w:after="60" w:line="276" w:lineRule="auto"/>
              <w:jc w:val="left"/>
              <w:rPr>
                <w:rStyle w:val="66"/>
                <w:rFonts w:ascii="宋体" w:hAnsi="宋体"/>
                <w:szCs w:val="21"/>
                <w:highlight w:val="none"/>
              </w:rPr>
            </w:pPr>
            <w:r>
              <w:rPr>
                <w:rFonts w:hint="eastAsia" w:ascii="宋体" w:hAnsi="宋体" w:cs="宋体"/>
                <w:szCs w:val="21"/>
                <w:highlight w:val="none"/>
              </w:rPr>
              <w:t>未被列入拖欠农民工工资失信联合惩戒对象名单</w:t>
            </w:r>
          </w:p>
        </w:tc>
        <w:tc>
          <w:tcPr>
            <w:tcW w:w="3882" w:type="dxa"/>
            <w:tcBorders>
              <w:top w:val="single" w:color="000000" w:sz="4" w:space="0"/>
              <w:left w:val="single" w:color="000000" w:sz="4" w:space="0"/>
              <w:bottom w:val="single" w:color="000000" w:sz="4" w:space="0"/>
              <w:right w:val="single" w:color="000000" w:sz="4" w:space="0"/>
            </w:tcBorders>
            <w:vAlign w:val="center"/>
          </w:tcPr>
          <w:p w14:paraId="0B2FDB90">
            <w:pPr>
              <w:spacing w:before="120" w:after="60" w:line="276" w:lineRule="auto"/>
              <w:jc w:val="left"/>
              <w:rPr>
                <w:rStyle w:val="66"/>
                <w:rFonts w:ascii="宋体" w:hAnsi="宋体"/>
                <w:szCs w:val="21"/>
                <w:highlight w:val="none"/>
              </w:rPr>
            </w:pPr>
            <w:r>
              <w:rPr>
                <w:rFonts w:hint="eastAsia" w:ascii="宋体" w:hAnsi="宋体" w:cs="宋体"/>
                <w:szCs w:val="21"/>
                <w:highlight w:val="none"/>
              </w:rPr>
              <w:t>投标人无需提供资料，按交易系统比对的结果进行评审</w:t>
            </w:r>
          </w:p>
        </w:tc>
        <w:tc>
          <w:tcPr>
            <w:tcW w:w="876" w:type="dxa"/>
            <w:tcBorders>
              <w:top w:val="single" w:color="000000" w:sz="4" w:space="0"/>
              <w:left w:val="single" w:color="000000" w:sz="4" w:space="0"/>
              <w:bottom w:val="single" w:color="000000" w:sz="4" w:space="0"/>
              <w:right w:val="single" w:color="000000" w:sz="4" w:space="0"/>
            </w:tcBorders>
            <w:vAlign w:val="center"/>
          </w:tcPr>
          <w:p w14:paraId="701C94CD">
            <w:pPr>
              <w:spacing w:before="120" w:after="60" w:line="276" w:lineRule="auto"/>
              <w:jc w:val="center"/>
              <w:rPr>
                <w:rStyle w:val="66"/>
                <w:rFonts w:ascii="宋体" w:hAnsi="宋体"/>
                <w:szCs w:val="21"/>
                <w:highlight w:val="none"/>
              </w:rPr>
            </w:pPr>
          </w:p>
        </w:tc>
      </w:tr>
    </w:tbl>
    <w:p w14:paraId="1ADD1F00">
      <w:pPr>
        <w:ind w:firstLine="89" w:firstLineChars="224"/>
        <w:rPr>
          <w:rStyle w:val="66"/>
          <w:rFonts w:ascii="宋体" w:hAnsi="宋体"/>
          <w:sz w:val="4"/>
          <w:szCs w:val="4"/>
          <w:highlight w:val="none"/>
        </w:rPr>
      </w:pPr>
    </w:p>
    <w:p w14:paraId="2B819AA4">
      <w:pPr>
        <w:spacing w:line="276" w:lineRule="auto"/>
        <w:ind w:firstLine="470" w:firstLineChars="224"/>
        <w:rPr>
          <w:rStyle w:val="66"/>
          <w:rFonts w:ascii="宋体" w:hAnsi="宋体"/>
          <w:szCs w:val="21"/>
          <w:highlight w:val="none"/>
        </w:rPr>
      </w:pPr>
      <w:r>
        <w:rPr>
          <w:rStyle w:val="66"/>
          <w:rFonts w:hint="eastAsia" w:ascii="宋体" w:hAnsi="宋体"/>
          <w:szCs w:val="21"/>
          <w:highlight w:val="none"/>
        </w:rPr>
        <w:t>备注：</w:t>
      </w:r>
    </w:p>
    <w:p w14:paraId="6C05BFCD">
      <w:pPr>
        <w:spacing w:line="276" w:lineRule="auto"/>
        <w:ind w:firstLine="470" w:firstLineChars="224"/>
        <w:rPr>
          <w:rStyle w:val="66"/>
          <w:rFonts w:ascii="宋体" w:hAnsi="宋体"/>
          <w:szCs w:val="21"/>
          <w:highlight w:val="none"/>
        </w:rPr>
      </w:pPr>
      <w:r>
        <w:rPr>
          <w:rStyle w:val="66"/>
          <w:rFonts w:hint="eastAsia" w:ascii="宋体" w:hAnsi="宋体"/>
          <w:szCs w:val="21"/>
          <w:highlight w:val="none"/>
        </w:rPr>
        <w:t xml:space="preserve">1、每一项目符合的打“○”，不符合的打“×”； </w:t>
      </w:r>
    </w:p>
    <w:p w14:paraId="103A47DB">
      <w:pPr>
        <w:spacing w:line="276" w:lineRule="auto"/>
        <w:ind w:firstLine="470" w:firstLineChars="224"/>
        <w:rPr>
          <w:rStyle w:val="66"/>
          <w:rFonts w:ascii="宋体" w:hAnsi="宋体"/>
          <w:szCs w:val="21"/>
          <w:highlight w:val="none"/>
        </w:rPr>
      </w:pPr>
      <w:r>
        <w:rPr>
          <w:rStyle w:val="66"/>
          <w:rFonts w:hint="eastAsia" w:ascii="宋体" w:hAnsi="宋体"/>
          <w:szCs w:val="21"/>
          <w:highlight w:val="none"/>
        </w:rPr>
        <w:t>2、若评委意见不一致时，则按少数服从多数的原则，作出评审结论。汇总后，出现一个“×”的结论为“不通过”。</w:t>
      </w:r>
    </w:p>
    <w:p w14:paraId="03A6A6EB">
      <w:pPr>
        <w:spacing w:line="276" w:lineRule="auto"/>
        <w:ind w:firstLine="470" w:firstLineChars="224"/>
        <w:rPr>
          <w:rStyle w:val="66"/>
          <w:rFonts w:ascii="宋体" w:hAnsi="宋体"/>
          <w:szCs w:val="21"/>
          <w:highlight w:val="none"/>
        </w:rPr>
        <w:sectPr>
          <w:footerReference r:id="rId10" w:type="first"/>
          <w:footerReference r:id="rId9" w:type="default"/>
          <w:pgSz w:w="11906" w:h="16838"/>
          <w:pgMar w:top="1418" w:right="1588" w:bottom="1418" w:left="1588" w:header="851" w:footer="907" w:gutter="0"/>
          <w:pgNumType w:start="1"/>
          <w:cols w:space="720" w:num="1"/>
          <w:docGrid w:type="lines" w:linePitch="312" w:charSpace="0"/>
        </w:sectPr>
      </w:pPr>
      <w:r>
        <w:rPr>
          <w:rStyle w:val="66"/>
          <w:rFonts w:hint="eastAsia" w:ascii="宋体" w:hAnsi="宋体"/>
          <w:szCs w:val="21"/>
          <w:highlight w:val="none"/>
        </w:rPr>
        <w:t>3.</w:t>
      </w:r>
      <w:r>
        <w:rPr>
          <w:rStyle w:val="66"/>
          <w:rFonts w:ascii="宋体" w:hAnsi="宋体"/>
          <w:szCs w:val="21"/>
          <w:highlight w:val="none"/>
        </w:rPr>
        <w:t>不得将</w:t>
      </w:r>
      <w:r>
        <w:rPr>
          <w:rStyle w:val="66"/>
          <w:rFonts w:hint="eastAsia" w:ascii="宋体" w:hAnsi="宋体"/>
          <w:szCs w:val="21"/>
          <w:highlight w:val="none"/>
        </w:rPr>
        <w:t>文件顺序、</w:t>
      </w:r>
      <w:r>
        <w:rPr>
          <w:rStyle w:val="66"/>
          <w:rFonts w:ascii="宋体" w:hAnsi="宋体"/>
          <w:szCs w:val="21"/>
          <w:highlight w:val="none"/>
        </w:rPr>
        <w:t>明显的文字错误等列为否</w:t>
      </w:r>
      <w:r>
        <w:rPr>
          <w:rStyle w:val="66"/>
          <w:rFonts w:hint="eastAsia" w:ascii="宋体" w:hAnsi="宋体"/>
          <w:szCs w:val="21"/>
          <w:highlight w:val="none"/>
        </w:rPr>
        <w:t>决</w:t>
      </w:r>
      <w:r>
        <w:rPr>
          <w:rStyle w:val="66"/>
          <w:rFonts w:ascii="宋体" w:hAnsi="宋体"/>
          <w:szCs w:val="21"/>
          <w:highlight w:val="none"/>
        </w:rPr>
        <w:t>投标的</w:t>
      </w:r>
      <w:r>
        <w:rPr>
          <w:rStyle w:val="66"/>
          <w:rFonts w:hint="eastAsia" w:ascii="宋体" w:hAnsi="宋体"/>
          <w:szCs w:val="21"/>
          <w:highlight w:val="none"/>
        </w:rPr>
        <w:t>情形。评委</w:t>
      </w:r>
      <w:r>
        <w:rPr>
          <w:rStyle w:val="66"/>
          <w:rFonts w:ascii="宋体" w:hAnsi="宋体"/>
          <w:szCs w:val="21"/>
          <w:highlight w:val="none"/>
        </w:rPr>
        <w:t>发现</w:t>
      </w:r>
      <w:r>
        <w:rPr>
          <w:rStyle w:val="66"/>
          <w:rFonts w:hint="eastAsia" w:ascii="宋体" w:hAnsi="宋体"/>
          <w:szCs w:val="21"/>
          <w:highlight w:val="none"/>
        </w:rPr>
        <w:t>资格审查文件</w:t>
      </w:r>
      <w:r>
        <w:rPr>
          <w:rStyle w:val="66"/>
          <w:rFonts w:ascii="宋体" w:hAnsi="宋体"/>
          <w:szCs w:val="21"/>
          <w:highlight w:val="none"/>
        </w:rPr>
        <w:t>中</w:t>
      </w:r>
      <w:r>
        <w:rPr>
          <w:rStyle w:val="66"/>
          <w:rFonts w:hint="eastAsia" w:ascii="宋体" w:hAnsi="宋体"/>
          <w:szCs w:val="21"/>
          <w:highlight w:val="none"/>
        </w:rPr>
        <w:t>含义不明确</w:t>
      </w:r>
      <w:r>
        <w:rPr>
          <w:rStyle w:val="66"/>
          <w:rFonts w:ascii="宋体" w:hAnsi="宋体"/>
          <w:szCs w:val="21"/>
          <w:highlight w:val="none"/>
        </w:rPr>
        <w:t>、对同类问题表述不一致、有明显</w:t>
      </w:r>
      <w:r>
        <w:rPr>
          <w:rStyle w:val="66"/>
          <w:rFonts w:hint="eastAsia" w:ascii="宋体" w:hAnsi="宋体"/>
          <w:szCs w:val="21"/>
          <w:highlight w:val="none"/>
        </w:rPr>
        <w:t>文字</w:t>
      </w:r>
      <w:r>
        <w:rPr>
          <w:rStyle w:val="66"/>
          <w:rFonts w:ascii="宋体" w:hAnsi="宋体"/>
          <w:szCs w:val="21"/>
          <w:highlight w:val="none"/>
        </w:rPr>
        <w:t>和计算错误的，应当</w:t>
      </w:r>
      <w:r>
        <w:rPr>
          <w:rStyle w:val="66"/>
          <w:rFonts w:hint="eastAsia" w:ascii="宋体" w:hAnsi="宋体"/>
          <w:szCs w:val="21"/>
          <w:highlight w:val="none"/>
        </w:rPr>
        <w:t>要求</w:t>
      </w:r>
      <w:r>
        <w:rPr>
          <w:rStyle w:val="66"/>
          <w:rFonts w:ascii="宋体" w:hAnsi="宋体"/>
          <w:szCs w:val="21"/>
          <w:highlight w:val="none"/>
        </w:rPr>
        <w:t>投标人作必要的澄清、说明</w:t>
      </w:r>
      <w:r>
        <w:rPr>
          <w:rStyle w:val="66"/>
          <w:rFonts w:hint="eastAsia" w:ascii="宋体" w:hAnsi="宋体"/>
          <w:szCs w:val="21"/>
          <w:highlight w:val="none"/>
        </w:rPr>
        <w:t>后再判定投标人是否通过资格审查</w:t>
      </w:r>
      <w:r>
        <w:rPr>
          <w:rStyle w:val="66"/>
          <w:rFonts w:ascii="宋体" w:hAnsi="宋体"/>
          <w:szCs w:val="21"/>
          <w:highlight w:val="none"/>
        </w:rPr>
        <w:t>，不得直接</w:t>
      </w:r>
      <w:r>
        <w:rPr>
          <w:rStyle w:val="66"/>
          <w:rFonts w:hint="eastAsia" w:ascii="宋体" w:hAnsi="宋体"/>
          <w:szCs w:val="21"/>
          <w:highlight w:val="none"/>
        </w:rPr>
        <w:t>认定其不通过资格审查。</w:t>
      </w:r>
    </w:p>
    <w:p w14:paraId="509289F8">
      <w:pPr>
        <w:spacing w:line="276" w:lineRule="auto"/>
        <w:rPr>
          <w:rStyle w:val="66"/>
          <w:rFonts w:ascii="宋体" w:hAnsi="宋体"/>
          <w:b/>
          <w:bCs/>
          <w:szCs w:val="21"/>
          <w:highlight w:val="none"/>
        </w:rPr>
      </w:pPr>
      <w:r>
        <w:rPr>
          <w:rStyle w:val="66"/>
          <w:rFonts w:ascii="宋体" w:hAnsi="宋体"/>
          <w:b/>
          <w:bCs/>
          <w:szCs w:val="21"/>
          <w:highlight w:val="none"/>
        </w:rPr>
        <w:t>附表二</w:t>
      </w:r>
    </w:p>
    <w:p w14:paraId="66CD8372">
      <w:pPr>
        <w:spacing w:line="276" w:lineRule="auto"/>
        <w:jc w:val="center"/>
        <w:rPr>
          <w:rStyle w:val="66"/>
          <w:rFonts w:ascii="宋体" w:hAnsi="宋体"/>
          <w:b/>
          <w:sz w:val="36"/>
          <w:szCs w:val="36"/>
          <w:highlight w:val="none"/>
        </w:rPr>
      </w:pPr>
      <w:r>
        <w:rPr>
          <w:rStyle w:val="66"/>
          <w:rFonts w:ascii="宋体" w:hAnsi="宋体"/>
          <w:b/>
          <w:sz w:val="36"/>
          <w:szCs w:val="36"/>
          <w:highlight w:val="none"/>
        </w:rPr>
        <w:t>技术标有效性审查表</w:t>
      </w:r>
    </w:p>
    <w:p w14:paraId="7A7131C8">
      <w:pPr>
        <w:spacing w:line="276" w:lineRule="auto"/>
        <w:rPr>
          <w:rStyle w:val="66"/>
          <w:rFonts w:ascii="宋体" w:hAnsi="宋体"/>
          <w:szCs w:val="21"/>
          <w:highlight w:val="none"/>
        </w:rPr>
      </w:pPr>
      <w:r>
        <w:rPr>
          <w:rStyle w:val="66"/>
          <w:rFonts w:ascii="宋体" w:hAnsi="宋体"/>
          <w:szCs w:val="21"/>
          <w:highlight w:val="none"/>
        </w:rPr>
        <w:t>工程名称：</w:t>
      </w:r>
    </w:p>
    <w:tbl>
      <w:tblPr>
        <w:tblStyle w:val="2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9"/>
        <w:gridCol w:w="11117"/>
        <w:gridCol w:w="1250"/>
      </w:tblGrid>
      <w:tr w14:paraId="6BA6C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1079" w:type="dxa"/>
            <w:tcBorders>
              <w:top w:val="single" w:color="000000" w:sz="4" w:space="0"/>
              <w:left w:val="single" w:color="000000" w:sz="4" w:space="0"/>
              <w:bottom w:val="single" w:color="000000" w:sz="4" w:space="0"/>
              <w:right w:val="single" w:color="000000" w:sz="4" w:space="0"/>
            </w:tcBorders>
            <w:vAlign w:val="center"/>
          </w:tcPr>
          <w:p w14:paraId="78638F41">
            <w:pPr>
              <w:spacing w:line="276" w:lineRule="auto"/>
              <w:jc w:val="center"/>
              <w:rPr>
                <w:rStyle w:val="66"/>
                <w:rFonts w:ascii="宋体" w:hAnsi="宋体"/>
                <w:szCs w:val="21"/>
                <w:highlight w:val="none"/>
              </w:rPr>
            </w:pPr>
            <w:r>
              <w:rPr>
                <w:rStyle w:val="66"/>
                <w:rFonts w:ascii="宋体" w:hAnsi="宋体"/>
                <w:szCs w:val="21"/>
                <w:highlight w:val="none"/>
              </w:rPr>
              <w:t>序号</w:t>
            </w:r>
          </w:p>
        </w:tc>
        <w:tc>
          <w:tcPr>
            <w:tcW w:w="11117" w:type="dxa"/>
            <w:tcBorders>
              <w:top w:val="single" w:color="000000" w:sz="4" w:space="0"/>
              <w:left w:val="single" w:color="000000" w:sz="4" w:space="0"/>
              <w:bottom w:val="single" w:color="000000" w:sz="4" w:space="0"/>
              <w:right w:val="single" w:color="000000" w:sz="4" w:space="0"/>
              <w:tl2br w:val="single" w:color="auto" w:sz="4" w:space="0"/>
            </w:tcBorders>
          </w:tcPr>
          <w:p w14:paraId="2354D6B2">
            <w:pPr>
              <w:spacing w:line="276" w:lineRule="auto"/>
              <w:ind w:firstLine="7035" w:firstLineChars="3350"/>
              <w:rPr>
                <w:rStyle w:val="66"/>
                <w:rFonts w:ascii="宋体" w:hAnsi="宋体"/>
                <w:szCs w:val="21"/>
                <w:highlight w:val="none"/>
              </w:rPr>
            </w:pPr>
            <w:r>
              <w:rPr>
                <w:rStyle w:val="66"/>
                <w:rFonts w:ascii="宋体" w:hAnsi="宋体"/>
                <w:szCs w:val="21"/>
                <w:highlight w:val="none"/>
              </w:rPr>
              <w:t>投标人</w:t>
            </w:r>
          </w:p>
          <w:p w14:paraId="0E757F7A">
            <w:pPr>
              <w:spacing w:line="276" w:lineRule="auto"/>
              <w:rPr>
                <w:rStyle w:val="66"/>
                <w:rFonts w:ascii="宋体" w:hAnsi="宋体"/>
                <w:szCs w:val="21"/>
                <w:highlight w:val="none"/>
              </w:rPr>
            </w:pPr>
            <w:r>
              <w:rPr>
                <w:rStyle w:val="66"/>
                <w:rFonts w:ascii="宋体" w:hAnsi="宋体"/>
                <w:szCs w:val="21"/>
                <w:highlight w:val="none"/>
              </w:rPr>
              <w:t>评审内容</w:t>
            </w:r>
          </w:p>
        </w:tc>
        <w:tc>
          <w:tcPr>
            <w:tcW w:w="1250" w:type="dxa"/>
            <w:tcBorders>
              <w:top w:val="single" w:color="000000" w:sz="4" w:space="0"/>
              <w:left w:val="single" w:color="000000" w:sz="4" w:space="0"/>
              <w:bottom w:val="single" w:color="000000" w:sz="4" w:space="0"/>
              <w:right w:val="single" w:color="000000" w:sz="4" w:space="0"/>
            </w:tcBorders>
          </w:tcPr>
          <w:p w14:paraId="49F6EB96">
            <w:pPr>
              <w:spacing w:line="276" w:lineRule="auto"/>
              <w:rPr>
                <w:rStyle w:val="66"/>
                <w:rFonts w:ascii="宋体" w:hAnsi="宋体"/>
                <w:szCs w:val="21"/>
                <w:highlight w:val="none"/>
              </w:rPr>
            </w:pPr>
          </w:p>
        </w:tc>
      </w:tr>
      <w:tr w14:paraId="68D0D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 w:hRule="atLeast"/>
          <w:jc w:val="center"/>
        </w:trPr>
        <w:tc>
          <w:tcPr>
            <w:tcW w:w="1079" w:type="dxa"/>
            <w:tcBorders>
              <w:top w:val="single" w:color="000000" w:sz="4" w:space="0"/>
              <w:left w:val="single" w:color="000000" w:sz="4" w:space="0"/>
              <w:bottom w:val="single" w:color="000000" w:sz="4" w:space="0"/>
              <w:right w:val="single" w:color="000000" w:sz="4" w:space="0"/>
            </w:tcBorders>
            <w:vAlign w:val="center"/>
          </w:tcPr>
          <w:p w14:paraId="4CE27FFC">
            <w:pPr>
              <w:spacing w:line="276" w:lineRule="auto"/>
              <w:jc w:val="center"/>
              <w:rPr>
                <w:rStyle w:val="66"/>
                <w:rFonts w:ascii="宋体" w:hAnsi="宋体"/>
                <w:szCs w:val="21"/>
                <w:highlight w:val="none"/>
              </w:rPr>
            </w:pPr>
            <w:r>
              <w:rPr>
                <w:rStyle w:val="66"/>
                <w:rFonts w:ascii="宋体" w:hAnsi="宋体"/>
                <w:szCs w:val="21"/>
                <w:highlight w:val="none"/>
              </w:rPr>
              <w:t>1</w:t>
            </w:r>
          </w:p>
        </w:tc>
        <w:tc>
          <w:tcPr>
            <w:tcW w:w="11117" w:type="dxa"/>
            <w:tcBorders>
              <w:top w:val="single" w:color="000000" w:sz="4" w:space="0"/>
              <w:left w:val="single" w:color="000000" w:sz="4" w:space="0"/>
              <w:bottom w:val="single" w:color="000000" w:sz="4" w:space="0"/>
              <w:right w:val="single" w:color="000000" w:sz="4" w:space="0"/>
            </w:tcBorders>
            <w:vAlign w:val="center"/>
          </w:tcPr>
          <w:p w14:paraId="4E826B64">
            <w:pPr>
              <w:spacing w:line="276" w:lineRule="auto"/>
              <w:rPr>
                <w:rStyle w:val="66"/>
                <w:rFonts w:ascii="宋体" w:hAnsi="宋体"/>
                <w:szCs w:val="21"/>
                <w:highlight w:val="none"/>
              </w:rPr>
            </w:pPr>
            <w:r>
              <w:rPr>
                <w:rStyle w:val="66"/>
                <w:rFonts w:ascii="宋体" w:hAnsi="宋体"/>
                <w:szCs w:val="21"/>
                <w:highlight w:val="none"/>
                <w:u w:val="single"/>
              </w:rPr>
              <w:t>《广州建设工程施工招标投标书（技术标）》中的投标总工期</w:t>
            </w:r>
            <w:r>
              <w:rPr>
                <w:rStyle w:val="66"/>
                <w:rFonts w:ascii="宋体" w:hAnsi="宋体"/>
                <w:szCs w:val="21"/>
                <w:highlight w:val="none"/>
              </w:rPr>
              <w:t>不能满足完成投标项目工期的；</w:t>
            </w:r>
          </w:p>
        </w:tc>
        <w:tc>
          <w:tcPr>
            <w:tcW w:w="1250" w:type="dxa"/>
            <w:tcBorders>
              <w:top w:val="single" w:color="000000" w:sz="4" w:space="0"/>
              <w:left w:val="single" w:color="000000" w:sz="4" w:space="0"/>
              <w:bottom w:val="single" w:color="000000" w:sz="4" w:space="0"/>
              <w:right w:val="single" w:color="000000" w:sz="4" w:space="0"/>
            </w:tcBorders>
          </w:tcPr>
          <w:p w14:paraId="0D9A6100">
            <w:pPr>
              <w:spacing w:line="276" w:lineRule="auto"/>
              <w:rPr>
                <w:rStyle w:val="66"/>
                <w:rFonts w:ascii="宋体" w:hAnsi="宋体"/>
                <w:szCs w:val="21"/>
                <w:highlight w:val="none"/>
              </w:rPr>
            </w:pPr>
          </w:p>
        </w:tc>
      </w:tr>
      <w:tr w14:paraId="60F741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1079" w:type="dxa"/>
            <w:tcBorders>
              <w:top w:val="single" w:color="000000" w:sz="4" w:space="0"/>
              <w:left w:val="single" w:color="000000" w:sz="4" w:space="0"/>
              <w:bottom w:val="single" w:color="000000" w:sz="4" w:space="0"/>
              <w:right w:val="single" w:color="000000" w:sz="4" w:space="0"/>
            </w:tcBorders>
            <w:vAlign w:val="center"/>
          </w:tcPr>
          <w:p w14:paraId="428019DB">
            <w:pPr>
              <w:spacing w:line="276" w:lineRule="auto"/>
              <w:jc w:val="center"/>
              <w:rPr>
                <w:rStyle w:val="66"/>
                <w:rFonts w:ascii="宋体" w:hAnsi="宋体"/>
                <w:szCs w:val="21"/>
                <w:highlight w:val="none"/>
              </w:rPr>
            </w:pPr>
            <w:r>
              <w:rPr>
                <w:rStyle w:val="66"/>
                <w:rFonts w:ascii="宋体" w:hAnsi="宋体"/>
                <w:szCs w:val="21"/>
                <w:highlight w:val="none"/>
              </w:rPr>
              <w:t>2</w:t>
            </w:r>
          </w:p>
        </w:tc>
        <w:tc>
          <w:tcPr>
            <w:tcW w:w="11117" w:type="dxa"/>
            <w:tcBorders>
              <w:top w:val="single" w:color="000000" w:sz="4" w:space="0"/>
              <w:left w:val="single" w:color="000000" w:sz="4" w:space="0"/>
              <w:bottom w:val="single" w:color="000000" w:sz="4" w:space="0"/>
              <w:right w:val="single" w:color="000000" w:sz="4" w:space="0"/>
            </w:tcBorders>
            <w:vAlign w:val="center"/>
          </w:tcPr>
          <w:p w14:paraId="46F04E7B">
            <w:pPr>
              <w:spacing w:line="276" w:lineRule="auto"/>
              <w:rPr>
                <w:rStyle w:val="66"/>
                <w:rFonts w:ascii="宋体" w:hAnsi="宋体"/>
                <w:szCs w:val="21"/>
                <w:highlight w:val="none"/>
              </w:rPr>
            </w:pPr>
            <w:r>
              <w:rPr>
                <w:rStyle w:val="66"/>
                <w:rFonts w:ascii="宋体" w:hAnsi="宋体"/>
                <w:szCs w:val="21"/>
                <w:highlight w:val="none"/>
                <w:u w:val="single"/>
              </w:rPr>
              <w:t>《广州建设工程施工招标投标书（技术标）》中的工程质量标准</w:t>
            </w:r>
            <w:r>
              <w:rPr>
                <w:rStyle w:val="66"/>
                <w:rFonts w:ascii="宋体" w:hAnsi="宋体"/>
                <w:szCs w:val="21"/>
                <w:highlight w:val="none"/>
              </w:rPr>
              <w:t>不符合招标文件质量标准的；</w:t>
            </w:r>
          </w:p>
        </w:tc>
        <w:tc>
          <w:tcPr>
            <w:tcW w:w="1250" w:type="dxa"/>
            <w:tcBorders>
              <w:top w:val="single" w:color="000000" w:sz="4" w:space="0"/>
              <w:left w:val="single" w:color="000000" w:sz="4" w:space="0"/>
              <w:bottom w:val="single" w:color="000000" w:sz="4" w:space="0"/>
              <w:right w:val="single" w:color="000000" w:sz="4" w:space="0"/>
            </w:tcBorders>
          </w:tcPr>
          <w:p w14:paraId="70C6CA46">
            <w:pPr>
              <w:spacing w:line="276" w:lineRule="auto"/>
              <w:rPr>
                <w:rStyle w:val="66"/>
                <w:rFonts w:ascii="宋体" w:hAnsi="宋体"/>
                <w:szCs w:val="21"/>
                <w:highlight w:val="none"/>
              </w:rPr>
            </w:pPr>
          </w:p>
        </w:tc>
      </w:tr>
      <w:tr w14:paraId="53BAE8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1079" w:type="dxa"/>
            <w:tcBorders>
              <w:top w:val="single" w:color="000000" w:sz="4" w:space="0"/>
              <w:left w:val="single" w:color="000000" w:sz="4" w:space="0"/>
              <w:bottom w:val="single" w:color="000000" w:sz="4" w:space="0"/>
              <w:right w:val="single" w:color="000000" w:sz="4" w:space="0"/>
            </w:tcBorders>
            <w:vAlign w:val="center"/>
          </w:tcPr>
          <w:p w14:paraId="316D0F0A">
            <w:pPr>
              <w:spacing w:line="276" w:lineRule="auto"/>
              <w:jc w:val="center"/>
              <w:rPr>
                <w:rStyle w:val="66"/>
                <w:rFonts w:ascii="宋体" w:hAnsi="宋体"/>
                <w:szCs w:val="21"/>
                <w:highlight w:val="none"/>
              </w:rPr>
            </w:pPr>
            <w:r>
              <w:rPr>
                <w:rStyle w:val="66"/>
                <w:rFonts w:ascii="宋体" w:hAnsi="宋体"/>
                <w:szCs w:val="21"/>
                <w:highlight w:val="none"/>
              </w:rPr>
              <w:t>3</w:t>
            </w:r>
          </w:p>
        </w:tc>
        <w:tc>
          <w:tcPr>
            <w:tcW w:w="11117" w:type="dxa"/>
            <w:tcBorders>
              <w:top w:val="single" w:color="000000" w:sz="4" w:space="0"/>
              <w:left w:val="single" w:color="000000" w:sz="4" w:space="0"/>
              <w:bottom w:val="single" w:color="000000" w:sz="4" w:space="0"/>
              <w:right w:val="single" w:color="000000" w:sz="4" w:space="0"/>
            </w:tcBorders>
            <w:vAlign w:val="center"/>
          </w:tcPr>
          <w:p w14:paraId="6420792A">
            <w:pPr>
              <w:spacing w:line="276" w:lineRule="auto"/>
              <w:rPr>
                <w:rStyle w:val="66"/>
                <w:rFonts w:ascii="宋体" w:hAnsi="宋体"/>
                <w:szCs w:val="21"/>
                <w:highlight w:val="none"/>
              </w:rPr>
            </w:pPr>
            <w:r>
              <w:rPr>
                <w:rStyle w:val="66"/>
                <w:rFonts w:ascii="宋体" w:hAnsi="宋体"/>
                <w:szCs w:val="21"/>
                <w:highlight w:val="none"/>
              </w:rPr>
              <w:t>投标文件中没有有效的法定代表人证明书，或由委托代理人签署或盖章的投标文件中没有法定代表人授权书；</w:t>
            </w:r>
          </w:p>
        </w:tc>
        <w:tc>
          <w:tcPr>
            <w:tcW w:w="1250" w:type="dxa"/>
            <w:tcBorders>
              <w:top w:val="single" w:color="000000" w:sz="4" w:space="0"/>
              <w:left w:val="single" w:color="000000" w:sz="4" w:space="0"/>
              <w:bottom w:val="single" w:color="000000" w:sz="4" w:space="0"/>
              <w:right w:val="single" w:color="000000" w:sz="4" w:space="0"/>
            </w:tcBorders>
          </w:tcPr>
          <w:p w14:paraId="60DA878F">
            <w:pPr>
              <w:spacing w:line="276" w:lineRule="auto"/>
              <w:rPr>
                <w:rStyle w:val="66"/>
                <w:rFonts w:ascii="宋体" w:hAnsi="宋体"/>
                <w:szCs w:val="21"/>
                <w:highlight w:val="none"/>
              </w:rPr>
            </w:pPr>
          </w:p>
        </w:tc>
      </w:tr>
      <w:tr w14:paraId="36304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1079" w:type="dxa"/>
            <w:tcBorders>
              <w:top w:val="single" w:color="000000" w:sz="4" w:space="0"/>
              <w:left w:val="single" w:color="000000" w:sz="4" w:space="0"/>
              <w:bottom w:val="single" w:color="000000" w:sz="4" w:space="0"/>
              <w:right w:val="single" w:color="000000" w:sz="4" w:space="0"/>
            </w:tcBorders>
            <w:vAlign w:val="center"/>
          </w:tcPr>
          <w:p w14:paraId="0BAA330C">
            <w:pPr>
              <w:spacing w:line="276" w:lineRule="auto"/>
              <w:jc w:val="center"/>
              <w:rPr>
                <w:rStyle w:val="66"/>
                <w:rFonts w:ascii="宋体" w:hAnsi="宋体"/>
                <w:szCs w:val="21"/>
                <w:highlight w:val="none"/>
              </w:rPr>
            </w:pPr>
            <w:r>
              <w:rPr>
                <w:rStyle w:val="66"/>
                <w:rFonts w:ascii="宋体" w:hAnsi="宋体"/>
                <w:szCs w:val="21"/>
                <w:highlight w:val="none"/>
              </w:rPr>
              <w:t>4</w:t>
            </w:r>
          </w:p>
        </w:tc>
        <w:tc>
          <w:tcPr>
            <w:tcW w:w="11117" w:type="dxa"/>
            <w:tcBorders>
              <w:top w:val="single" w:color="000000" w:sz="4" w:space="0"/>
              <w:left w:val="single" w:color="000000" w:sz="4" w:space="0"/>
              <w:bottom w:val="single" w:color="000000" w:sz="4" w:space="0"/>
              <w:right w:val="single" w:color="000000" w:sz="4" w:space="0"/>
            </w:tcBorders>
            <w:vAlign w:val="center"/>
          </w:tcPr>
          <w:p w14:paraId="1B03B915">
            <w:pPr>
              <w:spacing w:line="276" w:lineRule="auto"/>
              <w:rPr>
                <w:rStyle w:val="66"/>
                <w:highlight w:val="none"/>
              </w:rPr>
            </w:pPr>
            <w:r>
              <w:rPr>
                <w:rFonts w:hint="eastAsia" w:ascii="宋体" w:hAnsi="宋体"/>
                <w:highlight w:val="none"/>
              </w:rPr>
              <w:t>投标文件未按规定的格式（技术标投标文件</w:t>
            </w:r>
            <w:r>
              <w:rPr>
                <w:rFonts w:hint="eastAsia" w:ascii="宋体" w:hAnsi="宋体"/>
                <w:highlight w:val="none"/>
                <w:u w:val="single"/>
              </w:rPr>
              <w:t>格式一、格式</w:t>
            </w:r>
            <w:r>
              <w:rPr>
                <w:rFonts w:ascii="宋体" w:hAnsi="宋体"/>
                <w:highlight w:val="none"/>
                <w:u w:val="single"/>
              </w:rPr>
              <w:t>三</w:t>
            </w:r>
            <w:r>
              <w:rPr>
                <w:rFonts w:hint="eastAsia" w:ascii="宋体" w:hAnsi="宋体"/>
                <w:highlight w:val="none"/>
              </w:rPr>
              <w:t>）填写，或主要内容不全，或关键字迹模糊、无法辨认的；</w:t>
            </w:r>
          </w:p>
        </w:tc>
        <w:tc>
          <w:tcPr>
            <w:tcW w:w="1250" w:type="dxa"/>
            <w:tcBorders>
              <w:top w:val="single" w:color="000000" w:sz="4" w:space="0"/>
              <w:left w:val="single" w:color="000000" w:sz="4" w:space="0"/>
              <w:bottom w:val="single" w:color="000000" w:sz="4" w:space="0"/>
              <w:right w:val="single" w:color="000000" w:sz="4" w:space="0"/>
            </w:tcBorders>
          </w:tcPr>
          <w:p w14:paraId="391490BA">
            <w:pPr>
              <w:spacing w:line="276" w:lineRule="auto"/>
              <w:rPr>
                <w:rStyle w:val="66"/>
                <w:rFonts w:ascii="宋体" w:hAnsi="宋体"/>
                <w:szCs w:val="21"/>
                <w:highlight w:val="none"/>
              </w:rPr>
            </w:pPr>
          </w:p>
        </w:tc>
      </w:tr>
      <w:tr w14:paraId="696AD1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1079" w:type="dxa"/>
            <w:tcBorders>
              <w:top w:val="single" w:color="000000" w:sz="4" w:space="0"/>
              <w:left w:val="single" w:color="000000" w:sz="4" w:space="0"/>
              <w:bottom w:val="single" w:color="000000" w:sz="4" w:space="0"/>
              <w:right w:val="single" w:color="000000" w:sz="4" w:space="0"/>
            </w:tcBorders>
            <w:vAlign w:val="center"/>
          </w:tcPr>
          <w:p w14:paraId="720D590F">
            <w:pPr>
              <w:spacing w:line="276" w:lineRule="auto"/>
              <w:jc w:val="center"/>
              <w:rPr>
                <w:rStyle w:val="66"/>
                <w:rFonts w:ascii="宋体" w:hAnsi="宋体"/>
                <w:szCs w:val="21"/>
                <w:highlight w:val="none"/>
              </w:rPr>
            </w:pPr>
            <w:r>
              <w:rPr>
                <w:rStyle w:val="66"/>
                <w:rFonts w:ascii="宋体" w:hAnsi="宋体"/>
                <w:szCs w:val="21"/>
                <w:highlight w:val="none"/>
              </w:rPr>
              <w:t>5</w:t>
            </w:r>
          </w:p>
        </w:tc>
        <w:tc>
          <w:tcPr>
            <w:tcW w:w="11117" w:type="dxa"/>
            <w:tcBorders>
              <w:top w:val="single" w:color="000000" w:sz="4" w:space="0"/>
              <w:left w:val="single" w:color="000000" w:sz="4" w:space="0"/>
              <w:bottom w:val="single" w:color="000000" w:sz="4" w:space="0"/>
              <w:right w:val="single" w:color="000000" w:sz="4" w:space="0"/>
            </w:tcBorders>
            <w:vAlign w:val="center"/>
          </w:tcPr>
          <w:p w14:paraId="177FE9EA">
            <w:pPr>
              <w:spacing w:line="276" w:lineRule="auto"/>
              <w:rPr>
                <w:rStyle w:val="66"/>
                <w:rFonts w:ascii="宋体" w:hAnsi="宋体"/>
                <w:szCs w:val="21"/>
                <w:highlight w:val="none"/>
              </w:rPr>
            </w:pPr>
            <w:r>
              <w:rPr>
                <w:rStyle w:val="66"/>
                <w:rFonts w:ascii="宋体" w:hAnsi="宋体"/>
                <w:szCs w:val="21"/>
                <w:highlight w:val="none"/>
              </w:rPr>
              <w:t>投标人之间存在《广东省实施&lt;中华人民共和国招标投标法&gt;》第十六条所禁止的情形的；</w:t>
            </w:r>
          </w:p>
        </w:tc>
        <w:tc>
          <w:tcPr>
            <w:tcW w:w="1250" w:type="dxa"/>
            <w:tcBorders>
              <w:top w:val="single" w:color="000000" w:sz="4" w:space="0"/>
              <w:left w:val="single" w:color="000000" w:sz="4" w:space="0"/>
              <w:bottom w:val="single" w:color="000000" w:sz="4" w:space="0"/>
              <w:right w:val="single" w:color="000000" w:sz="4" w:space="0"/>
            </w:tcBorders>
          </w:tcPr>
          <w:p w14:paraId="0EADF368">
            <w:pPr>
              <w:spacing w:line="276" w:lineRule="auto"/>
              <w:rPr>
                <w:rStyle w:val="66"/>
                <w:rFonts w:ascii="宋体" w:hAnsi="宋体"/>
                <w:szCs w:val="21"/>
                <w:highlight w:val="none"/>
              </w:rPr>
            </w:pPr>
          </w:p>
        </w:tc>
      </w:tr>
      <w:tr w14:paraId="5B1428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1079" w:type="dxa"/>
            <w:tcBorders>
              <w:top w:val="single" w:color="000000" w:sz="4" w:space="0"/>
              <w:left w:val="single" w:color="000000" w:sz="4" w:space="0"/>
              <w:bottom w:val="single" w:color="000000" w:sz="4" w:space="0"/>
              <w:right w:val="single" w:color="000000" w:sz="4" w:space="0"/>
            </w:tcBorders>
            <w:vAlign w:val="center"/>
          </w:tcPr>
          <w:p w14:paraId="5D0FB4E1">
            <w:pPr>
              <w:spacing w:line="276" w:lineRule="auto"/>
              <w:jc w:val="center"/>
              <w:rPr>
                <w:rStyle w:val="66"/>
                <w:rFonts w:ascii="宋体" w:hAnsi="宋体"/>
                <w:szCs w:val="21"/>
                <w:highlight w:val="none"/>
              </w:rPr>
            </w:pPr>
            <w:r>
              <w:rPr>
                <w:rStyle w:val="66"/>
                <w:rFonts w:ascii="宋体" w:hAnsi="宋体"/>
                <w:szCs w:val="21"/>
                <w:highlight w:val="none"/>
              </w:rPr>
              <w:t>6</w:t>
            </w:r>
          </w:p>
        </w:tc>
        <w:tc>
          <w:tcPr>
            <w:tcW w:w="11117" w:type="dxa"/>
            <w:tcBorders>
              <w:top w:val="single" w:color="000000" w:sz="4" w:space="0"/>
              <w:left w:val="single" w:color="000000" w:sz="4" w:space="0"/>
              <w:bottom w:val="single" w:color="000000" w:sz="4" w:space="0"/>
              <w:right w:val="single" w:color="000000" w:sz="4" w:space="0"/>
            </w:tcBorders>
            <w:vAlign w:val="center"/>
          </w:tcPr>
          <w:p w14:paraId="586D983E">
            <w:pPr>
              <w:spacing w:line="276" w:lineRule="auto"/>
              <w:rPr>
                <w:rStyle w:val="66"/>
                <w:rFonts w:ascii="宋体" w:hAnsi="宋体"/>
                <w:szCs w:val="21"/>
                <w:highlight w:val="none"/>
              </w:rPr>
            </w:pPr>
            <w:r>
              <w:rPr>
                <w:rStyle w:val="66"/>
                <w:rFonts w:ascii="宋体" w:hAnsi="宋体"/>
                <w:szCs w:val="21"/>
                <w:highlight w:val="none"/>
              </w:rPr>
              <w:t>无《参与编制技术标投标文件人员名单》的</w:t>
            </w:r>
          </w:p>
        </w:tc>
        <w:tc>
          <w:tcPr>
            <w:tcW w:w="1250" w:type="dxa"/>
            <w:tcBorders>
              <w:top w:val="single" w:color="000000" w:sz="4" w:space="0"/>
              <w:left w:val="single" w:color="000000" w:sz="4" w:space="0"/>
              <w:bottom w:val="single" w:color="000000" w:sz="4" w:space="0"/>
              <w:right w:val="single" w:color="000000" w:sz="4" w:space="0"/>
            </w:tcBorders>
          </w:tcPr>
          <w:p w14:paraId="7FDD9D4D">
            <w:pPr>
              <w:spacing w:line="276" w:lineRule="auto"/>
              <w:rPr>
                <w:rStyle w:val="66"/>
                <w:rFonts w:ascii="宋体" w:hAnsi="宋体"/>
                <w:szCs w:val="21"/>
                <w:highlight w:val="none"/>
                <w:shd w:val="pct10" w:color="auto" w:fill="FFFFFF"/>
              </w:rPr>
            </w:pPr>
          </w:p>
        </w:tc>
      </w:tr>
      <w:tr w14:paraId="7C29EC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1079" w:type="dxa"/>
            <w:tcBorders>
              <w:top w:val="single" w:color="000000" w:sz="4" w:space="0"/>
              <w:left w:val="single" w:color="000000" w:sz="4" w:space="0"/>
              <w:bottom w:val="single" w:color="000000" w:sz="4" w:space="0"/>
              <w:right w:val="single" w:color="000000" w:sz="4" w:space="0"/>
            </w:tcBorders>
            <w:vAlign w:val="center"/>
          </w:tcPr>
          <w:p w14:paraId="06EC0963">
            <w:pPr>
              <w:spacing w:line="276" w:lineRule="auto"/>
              <w:jc w:val="center"/>
              <w:rPr>
                <w:rStyle w:val="66"/>
                <w:rFonts w:ascii="宋体" w:hAnsi="宋体"/>
                <w:szCs w:val="21"/>
                <w:highlight w:val="none"/>
              </w:rPr>
            </w:pPr>
            <w:r>
              <w:rPr>
                <w:rStyle w:val="66"/>
                <w:rFonts w:ascii="宋体" w:hAnsi="宋体"/>
                <w:szCs w:val="21"/>
                <w:highlight w:val="none"/>
              </w:rPr>
              <w:t>7</w:t>
            </w:r>
          </w:p>
        </w:tc>
        <w:tc>
          <w:tcPr>
            <w:tcW w:w="11117" w:type="dxa"/>
            <w:tcBorders>
              <w:top w:val="single" w:color="000000" w:sz="4" w:space="0"/>
              <w:left w:val="single" w:color="000000" w:sz="4" w:space="0"/>
              <w:bottom w:val="single" w:color="000000" w:sz="4" w:space="0"/>
              <w:right w:val="single" w:color="000000" w:sz="4" w:space="0"/>
            </w:tcBorders>
            <w:vAlign w:val="center"/>
          </w:tcPr>
          <w:p w14:paraId="0950BF88">
            <w:pPr>
              <w:spacing w:line="276" w:lineRule="auto"/>
              <w:rPr>
                <w:rStyle w:val="66"/>
                <w:rFonts w:ascii="宋体" w:hAnsi="宋体"/>
                <w:szCs w:val="21"/>
                <w:highlight w:val="none"/>
              </w:rPr>
            </w:pPr>
            <w:r>
              <w:rPr>
                <w:rStyle w:val="66"/>
                <w:rFonts w:ascii="宋体" w:hAnsi="宋体"/>
                <w:szCs w:val="21"/>
                <w:highlight w:val="none"/>
              </w:rPr>
              <w:t>投标人与</w:t>
            </w:r>
            <w:r>
              <w:rPr>
                <w:rStyle w:val="66"/>
                <w:rFonts w:hint="eastAsia" w:ascii="宋体" w:hAnsi="宋体"/>
                <w:szCs w:val="21"/>
                <w:highlight w:val="none"/>
              </w:rPr>
              <w:t>本项目</w:t>
            </w:r>
            <w:r>
              <w:rPr>
                <w:rStyle w:val="66"/>
                <w:rFonts w:ascii="宋体" w:hAnsi="宋体"/>
                <w:szCs w:val="21"/>
                <w:highlight w:val="none"/>
              </w:rPr>
              <w:t>其他投标人加密打包投标文件电脑机器特征码一致的</w:t>
            </w:r>
            <w:r>
              <w:rPr>
                <w:rStyle w:val="66"/>
                <w:rFonts w:hint="eastAsia" w:ascii="宋体" w:hAnsi="宋体"/>
                <w:szCs w:val="21"/>
                <w:highlight w:val="none"/>
              </w:rPr>
              <w:t>（</w:t>
            </w:r>
            <w:r>
              <w:rPr>
                <w:rStyle w:val="66"/>
                <w:rFonts w:ascii="宋体" w:hAnsi="宋体"/>
                <w:szCs w:val="21"/>
                <w:highlight w:val="none"/>
              </w:rPr>
              <w:t>以交易平台评标系统的检索信息为准</w:t>
            </w:r>
            <w:r>
              <w:rPr>
                <w:rStyle w:val="66"/>
                <w:rFonts w:hint="eastAsia" w:ascii="宋体" w:hAnsi="宋体"/>
                <w:szCs w:val="21"/>
                <w:highlight w:val="none"/>
              </w:rPr>
              <w:t>）</w:t>
            </w:r>
          </w:p>
        </w:tc>
        <w:tc>
          <w:tcPr>
            <w:tcW w:w="1250" w:type="dxa"/>
            <w:tcBorders>
              <w:top w:val="single" w:color="000000" w:sz="4" w:space="0"/>
              <w:left w:val="single" w:color="000000" w:sz="4" w:space="0"/>
              <w:bottom w:val="single" w:color="000000" w:sz="4" w:space="0"/>
              <w:right w:val="single" w:color="000000" w:sz="4" w:space="0"/>
            </w:tcBorders>
          </w:tcPr>
          <w:p w14:paraId="3035809D">
            <w:pPr>
              <w:spacing w:line="276" w:lineRule="auto"/>
              <w:rPr>
                <w:rStyle w:val="66"/>
                <w:rFonts w:ascii="宋体" w:hAnsi="宋体"/>
                <w:szCs w:val="21"/>
                <w:highlight w:val="none"/>
              </w:rPr>
            </w:pPr>
          </w:p>
        </w:tc>
      </w:tr>
    </w:tbl>
    <w:p w14:paraId="4AAA35E0">
      <w:pPr>
        <w:spacing w:line="276" w:lineRule="auto"/>
        <w:ind w:firstLine="420" w:firstLineChars="200"/>
        <w:rPr>
          <w:rStyle w:val="66"/>
          <w:rFonts w:ascii="宋体" w:hAnsi="宋体"/>
          <w:szCs w:val="21"/>
          <w:highlight w:val="none"/>
        </w:rPr>
      </w:pPr>
    </w:p>
    <w:p w14:paraId="22C16118">
      <w:pPr>
        <w:spacing w:line="276" w:lineRule="auto"/>
        <w:ind w:firstLine="420" w:firstLineChars="200"/>
        <w:rPr>
          <w:rStyle w:val="66"/>
          <w:rFonts w:ascii="宋体" w:hAnsi="宋体"/>
          <w:szCs w:val="21"/>
          <w:highlight w:val="none"/>
        </w:rPr>
      </w:pPr>
      <w:r>
        <w:rPr>
          <w:rStyle w:val="66"/>
          <w:rFonts w:hint="eastAsia" w:ascii="宋体" w:hAnsi="宋体"/>
          <w:szCs w:val="21"/>
          <w:highlight w:val="none"/>
        </w:rPr>
        <w:t>注：1.本表使用GZZB2018-3招标文件范本，与范本内容不同之处均以下划线标明。技术标评审中，响应性、承诺性内容不应作为评分因素，可在该表中对上述内容进行符合性审查。审查标准须具备可操作性。</w:t>
      </w:r>
    </w:p>
    <w:p w14:paraId="5237EC75">
      <w:pPr>
        <w:spacing w:line="276" w:lineRule="auto"/>
        <w:ind w:firstLine="420" w:firstLineChars="200"/>
        <w:rPr>
          <w:rStyle w:val="66"/>
          <w:rFonts w:ascii="宋体" w:hAnsi="宋体"/>
          <w:szCs w:val="21"/>
          <w:highlight w:val="none"/>
        </w:rPr>
      </w:pPr>
      <w:r>
        <w:rPr>
          <w:rStyle w:val="66"/>
          <w:rFonts w:hint="eastAsia" w:ascii="宋体" w:hAnsi="宋体"/>
          <w:szCs w:val="21"/>
          <w:highlight w:val="none"/>
        </w:rPr>
        <w:t>2.</w:t>
      </w:r>
      <w:r>
        <w:rPr>
          <w:rStyle w:val="66"/>
          <w:rFonts w:ascii="宋体" w:hAnsi="宋体"/>
          <w:szCs w:val="21"/>
          <w:highlight w:val="none"/>
        </w:rPr>
        <w:t>不得将</w:t>
      </w:r>
      <w:r>
        <w:rPr>
          <w:rStyle w:val="66"/>
          <w:rFonts w:hint="eastAsia" w:ascii="宋体" w:hAnsi="宋体"/>
          <w:szCs w:val="21"/>
          <w:highlight w:val="none"/>
        </w:rPr>
        <w:t>文件顺序、</w:t>
      </w:r>
      <w:r>
        <w:rPr>
          <w:rStyle w:val="66"/>
          <w:rFonts w:ascii="宋体" w:hAnsi="宋体"/>
          <w:szCs w:val="21"/>
          <w:highlight w:val="none"/>
        </w:rPr>
        <w:t>明显的文字错误等列为否</w:t>
      </w:r>
      <w:r>
        <w:rPr>
          <w:rStyle w:val="66"/>
          <w:rFonts w:hint="eastAsia" w:ascii="宋体" w:hAnsi="宋体"/>
          <w:szCs w:val="21"/>
          <w:highlight w:val="none"/>
        </w:rPr>
        <w:t>决</w:t>
      </w:r>
      <w:r>
        <w:rPr>
          <w:rStyle w:val="66"/>
          <w:rFonts w:ascii="宋体" w:hAnsi="宋体"/>
          <w:szCs w:val="21"/>
          <w:highlight w:val="none"/>
        </w:rPr>
        <w:t>投标的</w:t>
      </w:r>
      <w:r>
        <w:rPr>
          <w:rStyle w:val="66"/>
          <w:rFonts w:hint="eastAsia" w:ascii="宋体" w:hAnsi="宋体"/>
          <w:szCs w:val="21"/>
          <w:highlight w:val="none"/>
        </w:rPr>
        <w:t>情形。评委</w:t>
      </w:r>
      <w:r>
        <w:rPr>
          <w:rStyle w:val="66"/>
          <w:rFonts w:ascii="宋体" w:hAnsi="宋体"/>
          <w:szCs w:val="21"/>
          <w:highlight w:val="none"/>
        </w:rPr>
        <w:t>发现投标</w:t>
      </w:r>
      <w:r>
        <w:rPr>
          <w:rStyle w:val="66"/>
          <w:rFonts w:hint="eastAsia" w:ascii="宋体" w:hAnsi="宋体"/>
          <w:szCs w:val="21"/>
          <w:highlight w:val="none"/>
        </w:rPr>
        <w:t>文件</w:t>
      </w:r>
      <w:r>
        <w:rPr>
          <w:rStyle w:val="66"/>
          <w:rFonts w:ascii="宋体" w:hAnsi="宋体"/>
          <w:szCs w:val="21"/>
          <w:highlight w:val="none"/>
        </w:rPr>
        <w:t>中</w:t>
      </w:r>
      <w:r>
        <w:rPr>
          <w:rStyle w:val="66"/>
          <w:rFonts w:hint="eastAsia" w:ascii="宋体" w:hAnsi="宋体"/>
          <w:szCs w:val="21"/>
          <w:highlight w:val="none"/>
        </w:rPr>
        <w:t>含义不明确</w:t>
      </w:r>
      <w:r>
        <w:rPr>
          <w:rStyle w:val="66"/>
          <w:rFonts w:ascii="宋体" w:hAnsi="宋体"/>
          <w:szCs w:val="21"/>
          <w:highlight w:val="none"/>
        </w:rPr>
        <w:t>、对同类问题表述不一致、有明显</w:t>
      </w:r>
      <w:r>
        <w:rPr>
          <w:rStyle w:val="66"/>
          <w:rFonts w:hint="eastAsia" w:ascii="宋体" w:hAnsi="宋体"/>
          <w:szCs w:val="21"/>
          <w:highlight w:val="none"/>
        </w:rPr>
        <w:t>文字</w:t>
      </w:r>
      <w:r>
        <w:rPr>
          <w:rStyle w:val="66"/>
          <w:rFonts w:ascii="宋体" w:hAnsi="宋体"/>
          <w:szCs w:val="21"/>
          <w:highlight w:val="none"/>
        </w:rPr>
        <w:t>和计算错误</w:t>
      </w:r>
      <w:r>
        <w:rPr>
          <w:rStyle w:val="66"/>
          <w:rFonts w:hint="eastAsia" w:ascii="宋体" w:hAnsi="宋体"/>
          <w:szCs w:val="21"/>
          <w:highlight w:val="none"/>
        </w:rPr>
        <w:t>的，</w:t>
      </w:r>
      <w:r>
        <w:rPr>
          <w:rStyle w:val="66"/>
          <w:rFonts w:ascii="宋体" w:hAnsi="宋体"/>
          <w:szCs w:val="21"/>
          <w:highlight w:val="none"/>
        </w:rPr>
        <w:t>应当</w:t>
      </w:r>
      <w:r>
        <w:rPr>
          <w:rStyle w:val="66"/>
          <w:rFonts w:hint="eastAsia" w:ascii="宋体" w:hAnsi="宋体"/>
          <w:szCs w:val="21"/>
          <w:highlight w:val="none"/>
        </w:rPr>
        <w:t>要求</w:t>
      </w:r>
      <w:r>
        <w:rPr>
          <w:rStyle w:val="66"/>
          <w:rFonts w:ascii="宋体" w:hAnsi="宋体"/>
          <w:szCs w:val="21"/>
          <w:highlight w:val="none"/>
        </w:rPr>
        <w:t>投标人作必要的澄清、说明</w:t>
      </w:r>
      <w:r>
        <w:rPr>
          <w:rStyle w:val="66"/>
          <w:rFonts w:hint="eastAsia" w:ascii="宋体" w:hAnsi="宋体"/>
          <w:szCs w:val="21"/>
          <w:highlight w:val="none"/>
        </w:rPr>
        <w:t>后再判定投标人是否通过有效性审查</w:t>
      </w:r>
      <w:r>
        <w:rPr>
          <w:rStyle w:val="66"/>
          <w:rFonts w:ascii="宋体" w:hAnsi="宋体"/>
          <w:szCs w:val="21"/>
          <w:highlight w:val="none"/>
        </w:rPr>
        <w:t>，不得直接否决投标</w:t>
      </w:r>
      <w:r>
        <w:rPr>
          <w:rStyle w:val="66"/>
          <w:rFonts w:hint="eastAsia" w:ascii="宋体" w:hAnsi="宋体"/>
          <w:szCs w:val="21"/>
          <w:highlight w:val="none"/>
        </w:rPr>
        <w:t>，若出现评标委员会否决投标的，应在评标报告中载明否决投标的具体情形、原因；</w:t>
      </w:r>
    </w:p>
    <w:p w14:paraId="36D13BD7">
      <w:pPr>
        <w:spacing w:line="276" w:lineRule="auto"/>
        <w:ind w:firstLine="420" w:firstLineChars="200"/>
        <w:rPr>
          <w:rStyle w:val="66"/>
          <w:rFonts w:ascii="宋体" w:hAnsi="宋体"/>
          <w:szCs w:val="21"/>
          <w:highlight w:val="none"/>
        </w:rPr>
      </w:pPr>
      <w:r>
        <w:rPr>
          <w:rStyle w:val="66"/>
          <w:rFonts w:hint="eastAsia" w:ascii="宋体" w:hAnsi="宋体"/>
          <w:szCs w:val="21"/>
          <w:highlight w:val="none"/>
        </w:rPr>
        <w:t>3.凡出现以上任何一项情形，结论均为无效，否则就为有效。</w:t>
      </w:r>
    </w:p>
    <w:p w14:paraId="7A70CD38">
      <w:pPr>
        <w:spacing w:line="276" w:lineRule="auto"/>
        <w:ind w:firstLine="420" w:firstLineChars="200"/>
        <w:rPr>
          <w:rStyle w:val="66"/>
          <w:rFonts w:ascii="宋体" w:hAnsi="宋体"/>
          <w:szCs w:val="21"/>
          <w:highlight w:val="none"/>
        </w:rPr>
      </w:pPr>
      <w:r>
        <w:rPr>
          <w:rStyle w:val="66"/>
          <w:rFonts w:hint="eastAsia" w:ascii="宋体" w:hAnsi="宋体"/>
          <w:szCs w:val="21"/>
          <w:highlight w:val="none"/>
        </w:rPr>
        <w:t>4.如对本表中某种情形的评审意见不一致时，以评标委员会过半数成员的意见作为评标委员会对该情形的认定结论。</w:t>
      </w:r>
    </w:p>
    <w:p w14:paraId="65796EBF">
      <w:pPr>
        <w:spacing w:line="276" w:lineRule="auto"/>
        <w:ind w:firstLine="420" w:firstLineChars="200"/>
        <w:rPr>
          <w:rStyle w:val="66"/>
          <w:rFonts w:ascii="宋体" w:hAnsi="宋体"/>
          <w:szCs w:val="21"/>
          <w:highlight w:val="none"/>
        </w:rPr>
      </w:pPr>
    </w:p>
    <w:p w14:paraId="50909FAC">
      <w:pPr>
        <w:spacing w:line="276" w:lineRule="auto"/>
        <w:ind w:firstLine="420" w:firstLineChars="200"/>
        <w:rPr>
          <w:rStyle w:val="66"/>
          <w:rFonts w:ascii="宋体" w:hAnsi="宋体"/>
          <w:szCs w:val="21"/>
          <w:highlight w:val="none"/>
        </w:rPr>
      </w:pPr>
      <w:r>
        <w:rPr>
          <w:rStyle w:val="66"/>
          <w:rFonts w:ascii="宋体" w:hAnsi="宋体"/>
          <w:szCs w:val="21"/>
          <w:highlight w:val="none"/>
        </w:rPr>
        <w:t>评委签名：</w:t>
      </w:r>
    </w:p>
    <w:p w14:paraId="5FB72688">
      <w:pPr>
        <w:spacing w:line="276" w:lineRule="auto"/>
        <w:rPr>
          <w:rStyle w:val="66"/>
          <w:rFonts w:ascii="宋体" w:hAnsi="宋体"/>
          <w:b/>
          <w:bCs/>
          <w:szCs w:val="21"/>
          <w:highlight w:val="none"/>
        </w:rPr>
      </w:pPr>
      <w:r>
        <w:rPr>
          <w:rStyle w:val="66"/>
          <w:rFonts w:ascii="宋体" w:hAnsi="宋体"/>
          <w:highlight w:val="none"/>
        </w:rPr>
        <w:br w:type="page"/>
      </w:r>
      <w:r>
        <w:rPr>
          <w:rFonts w:ascii="宋体" w:hAnsi="宋体"/>
          <w:szCs w:val="21"/>
          <w:highlight w:val="none"/>
        </w:rPr>
        <mc:AlternateContent>
          <mc:Choice Requires="wps">
            <w:drawing>
              <wp:anchor distT="0" distB="0" distL="114300" distR="114300" simplePos="0" relativeHeight="251659264" behindDoc="0" locked="0" layoutInCell="1" allowOverlap="1">
                <wp:simplePos x="0" y="0"/>
                <wp:positionH relativeFrom="column">
                  <wp:posOffset>701040</wp:posOffset>
                </wp:positionH>
                <wp:positionV relativeFrom="paragraph">
                  <wp:posOffset>-1598930</wp:posOffset>
                </wp:positionV>
                <wp:extent cx="6982460" cy="424180"/>
                <wp:effectExtent l="0" t="4444" r="8889" b="9525"/>
                <wp:wrapNone/>
                <wp:docPr id="7" name="自选图形 14"/>
                <wp:cNvGraphicFramePr/>
                <a:graphic xmlns:a="http://schemas.openxmlformats.org/drawingml/2006/main">
                  <a:graphicData uri="http://schemas.microsoft.com/office/word/2010/wordprocessingShape">
                    <wps:wsp>
                      <wps:cNvCnPr/>
                      <wps:spPr>
                        <a:xfrm>
                          <a:off x="0" y="0"/>
                          <a:ext cx="6982459" cy="424180"/>
                        </a:xfrm>
                        <a:prstGeom prst="straightConnector1">
                          <a:avLst/>
                        </a:prstGeom>
                        <a:noFill/>
                        <a:ln w="9525" cap="flat" cmpd="sng">
                          <a:solidFill>
                            <a:srgbClr val="000000"/>
                          </a:solidFill>
                          <a:prstDash val="solid"/>
                          <a:round/>
                        </a:ln>
                      </wps:spPr>
                      <wps:bodyPr vert="horz" wrap="square" lIns="91440" tIns="45720" rIns="91440" bIns="45720" anchor="t" anchorCtr="0" upright="0">
                        <a:noAutofit/>
                      </wps:bodyPr>
                    </wps:wsp>
                  </a:graphicData>
                </a:graphic>
              </wp:anchor>
            </w:drawing>
          </mc:Choice>
          <mc:Fallback>
            <w:pict>
              <v:shape id="自选图形 14" o:spid="_x0000_s1026" o:spt="32" type="#_x0000_t32" style="position:absolute;left:0pt;margin-left:55.2pt;margin-top:-125.9pt;height:33.4pt;width:549.8pt;z-index:251659264;mso-width-relative:page;mso-height-relative:page;" filled="f" stroked="t" coordsize="21600,21600" o:gfxdata="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10KiXZAAAADgEAAA8AAAAAAAAAAQAgAAAAIgAAAGRycy9kb3ducmV2LnhtbFBLAQIU&#10;ABQAAAAIAIdO4kBYmbxmKwIAADcEAAAOAAAAAAAAAAEAIAAAACgBAABkcnMvZTJvRG9jLnhtbFBL&#10;BQYAAAAABgAGAFkBAADFBQAAAAA=&#10;">
                <v:fill on="f" focussize="0,0"/>
                <v:stroke color="#000000" joinstyle="round"/>
                <v:imagedata o:title=""/>
                <o:lock v:ext="edit" aspectratio="f"/>
              </v:shape>
            </w:pict>
          </mc:Fallback>
        </mc:AlternateContent>
      </w:r>
      <w:r>
        <w:rPr>
          <w:rStyle w:val="66"/>
          <w:rFonts w:ascii="宋体" w:hAnsi="宋体"/>
          <w:b/>
          <w:bCs/>
          <w:szCs w:val="21"/>
          <w:highlight w:val="none"/>
        </w:rPr>
        <w:t>附表三</w:t>
      </w:r>
    </w:p>
    <w:p w14:paraId="5D7362BA">
      <w:pPr>
        <w:spacing w:line="276" w:lineRule="auto"/>
        <w:jc w:val="center"/>
        <w:rPr>
          <w:rStyle w:val="66"/>
          <w:rFonts w:ascii="宋体" w:hAnsi="宋体"/>
          <w:b/>
          <w:sz w:val="36"/>
          <w:szCs w:val="36"/>
          <w:highlight w:val="none"/>
        </w:rPr>
      </w:pPr>
      <w:r>
        <w:rPr>
          <w:rStyle w:val="66"/>
          <w:rFonts w:ascii="宋体" w:hAnsi="宋体"/>
          <w:b/>
          <w:sz w:val="36"/>
          <w:szCs w:val="36"/>
          <w:highlight w:val="none"/>
        </w:rPr>
        <w:t>经济标有效性审查表</w:t>
      </w:r>
    </w:p>
    <w:p w14:paraId="76F5F0DB">
      <w:pPr>
        <w:spacing w:line="276" w:lineRule="auto"/>
        <w:rPr>
          <w:rStyle w:val="66"/>
          <w:rFonts w:ascii="宋体" w:hAnsi="宋体"/>
          <w:szCs w:val="21"/>
          <w:highlight w:val="none"/>
        </w:rPr>
      </w:pPr>
      <w:r>
        <w:rPr>
          <w:rStyle w:val="66"/>
          <w:rFonts w:ascii="宋体" w:hAnsi="宋体"/>
          <w:szCs w:val="21"/>
          <w:highlight w:val="none"/>
        </w:rPr>
        <w:t>工程名称：</w:t>
      </w:r>
    </w:p>
    <w:tbl>
      <w:tblPr>
        <w:tblStyle w:val="2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0"/>
        <w:gridCol w:w="10738"/>
        <w:gridCol w:w="1818"/>
      </w:tblGrid>
      <w:tr w14:paraId="60D877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jc w:val="center"/>
        </w:trPr>
        <w:tc>
          <w:tcPr>
            <w:tcW w:w="890" w:type="dxa"/>
            <w:tcBorders>
              <w:top w:val="single" w:color="000000" w:sz="4" w:space="0"/>
              <w:left w:val="single" w:color="000000" w:sz="4" w:space="0"/>
              <w:bottom w:val="single" w:color="000000" w:sz="4" w:space="0"/>
              <w:right w:val="single" w:color="000000" w:sz="4" w:space="0"/>
            </w:tcBorders>
            <w:vAlign w:val="center"/>
          </w:tcPr>
          <w:p w14:paraId="14671022">
            <w:pPr>
              <w:spacing w:line="276" w:lineRule="auto"/>
              <w:jc w:val="center"/>
              <w:rPr>
                <w:rStyle w:val="66"/>
                <w:rFonts w:ascii="宋体" w:hAnsi="宋体"/>
                <w:szCs w:val="21"/>
                <w:highlight w:val="none"/>
              </w:rPr>
            </w:pPr>
            <w:r>
              <w:rPr>
                <w:rStyle w:val="66"/>
                <w:rFonts w:ascii="宋体" w:hAnsi="宋体"/>
                <w:szCs w:val="21"/>
                <w:highlight w:val="none"/>
              </w:rPr>
              <w:t>序号</w:t>
            </w:r>
          </w:p>
        </w:tc>
        <w:tc>
          <w:tcPr>
            <w:tcW w:w="10738" w:type="dxa"/>
            <w:tcBorders>
              <w:top w:val="single" w:color="000000" w:sz="4" w:space="0"/>
              <w:left w:val="single" w:color="000000" w:sz="4" w:space="0"/>
              <w:bottom w:val="single" w:color="000000" w:sz="4" w:space="0"/>
              <w:right w:val="single" w:color="000000" w:sz="4" w:space="0"/>
              <w:tl2br w:val="single" w:color="auto" w:sz="4" w:space="0"/>
            </w:tcBorders>
          </w:tcPr>
          <w:p w14:paraId="53154E7C">
            <w:pPr>
              <w:spacing w:line="276" w:lineRule="auto"/>
              <w:ind w:firstLine="7245" w:firstLineChars="3450"/>
              <w:rPr>
                <w:rStyle w:val="66"/>
                <w:rFonts w:ascii="宋体" w:hAnsi="宋体"/>
                <w:szCs w:val="21"/>
                <w:highlight w:val="none"/>
              </w:rPr>
            </w:pPr>
            <w:r>
              <w:rPr>
                <w:rStyle w:val="66"/>
                <w:rFonts w:ascii="宋体" w:hAnsi="宋体"/>
                <w:szCs w:val="21"/>
                <w:highlight w:val="none"/>
              </w:rPr>
              <w:t>投标人</w:t>
            </w:r>
          </w:p>
          <w:p w14:paraId="46050380">
            <w:pPr>
              <w:spacing w:line="276" w:lineRule="auto"/>
              <w:rPr>
                <w:rStyle w:val="66"/>
                <w:rFonts w:ascii="宋体" w:hAnsi="宋体"/>
                <w:szCs w:val="21"/>
                <w:highlight w:val="none"/>
              </w:rPr>
            </w:pPr>
            <w:r>
              <w:rPr>
                <w:rStyle w:val="66"/>
                <w:rFonts w:ascii="宋体" w:hAnsi="宋体"/>
                <w:szCs w:val="21"/>
                <w:highlight w:val="none"/>
              </w:rPr>
              <w:t>评审内容</w:t>
            </w:r>
          </w:p>
        </w:tc>
        <w:tc>
          <w:tcPr>
            <w:tcW w:w="1818" w:type="dxa"/>
            <w:tcBorders>
              <w:top w:val="single" w:color="000000" w:sz="4" w:space="0"/>
              <w:left w:val="single" w:color="000000" w:sz="4" w:space="0"/>
              <w:bottom w:val="single" w:color="000000" w:sz="4" w:space="0"/>
              <w:right w:val="single" w:color="000000" w:sz="4" w:space="0"/>
            </w:tcBorders>
          </w:tcPr>
          <w:p w14:paraId="2D6FED8A">
            <w:pPr>
              <w:spacing w:line="276" w:lineRule="auto"/>
              <w:rPr>
                <w:rStyle w:val="66"/>
                <w:rFonts w:ascii="宋体" w:hAnsi="宋体"/>
                <w:szCs w:val="21"/>
                <w:highlight w:val="none"/>
              </w:rPr>
            </w:pPr>
          </w:p>
        </w:tc>
      </w:tr>
      <w:tr w14:paraId="4A2BC6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890" w:type="dxa"/>
            <w:tcBorders>
              <w:top w:val="single" w:color="000000" w:sz="4" w:space="0"/>
              <w:left w:val="single" w:color="000000" w:sz="4" w:space="0"/>
              <w:bottom w:val="single" w:color="000000" w:sz="4" w:space="0"/>
              <w:right w:val="single" w:color="000000" w:sz="4" w:space="0"/>
            </w:tcBorders>
            <w:vAlign w:val="center"/>
          </w:tcPr>
          <w:p w14:paraId="324FF4B8">
            <w:pPr>
              <w:spacing w:line="276" w:lineRule="auto"/>
              <w:jc w:val="center"/>
              <w:rPr>
                <w:rStyle w:val="66"/>
                <w:rFonts w:ascii="宋体" w:hAnsi="宋体"/>
                <w:szCs w:val="21"/>
                <w:highlight w:val="none"/>
              </w:rPr>
            </w:pPr>
            <w:r>
              <w:rPr>
                <w:rStyle w:val="66"/>
                <w:rFonts w:ascii="宋体" w:hAnsi="宋体"/>
                <w:szCs w:val="21"/>
                <w:highlight w:val="none"/>
              </w:rPr>
              <w:t>1</w:t>
            </w:r>
          </w:p>
        </w:tc>
        <w:tc>
          <w:tcPr>
            <w:tcW w:w="10738" w:type="dxa"/>
            <w:tcBorders>
              <w:top w:val="single" w:color="000000" w:sz="4" w:space="0"/>
              <w:left w:val="single" w:color="000000" w:sz="4" w:space="0"/>
              <w:bottom w:val="single" w:color="000000" w:sz="4" w:space="0"/>
              <w:right w:val="single" w:color="000000" w:sz="4" w:space="0"/>
            </w:tcBorders>
            <w:vAlign w:val="center"/>
          </w:tcPr>
          <w:p w14:paraId="5B9177AB">
            <w:pPr>
              <w:spacing w:line="276" w:lineRule="auto"/>
              <w:rPr>
                <w:rStyle w:val="66"/>
                <w:rFonts w:ascii="宋体" w:hAnsi="宋体"/>
                <w:szCs w:val="21"/>
                <w:highlight w:val="none"/>
              </w:rPr>
            </w:pPr>
            <w:r>
              <w:rPr>
                <w:rStyle w:val="66"/>
                <w:rFonts w:ascii="宋体" w:hAnsi="宋体"/>
                <w:szCs w:val="21"/>
                <w:highlight w:val="none"/>
              </w:rPr>
              <w:t>对同一招标项目出现两个或以上的投标报价，且没有申明哪个有效；</w:t>
            </w:r>
          </w:p>
        </w:tc>
        <w:tc>
          <w:tcPr>
            <w:tcW w:w="1818" w:type="dxa"/>
            <w:tcBorders>
              <w:top w:val="single" w:color="000000" w:sz="4" w:space="0"/>
              <w:left w:val="single" w:color="000000" w:sz="4" w:space="0"/>
              <w:bottom w:val="single" w:color="000000" w:sz="4" w:space="0"/>
              <w:right w:val="single" w:color="000000" w:sz="4" w:space="0"/>
            </w:tcBorders>
          </w:tcPr>
          <w:p w14:paraId="6F85A0D7">
            <w:pPr>
              <w:spacing w:line="276" w:lineRule="auto"/>
              <w:rPr>
                <w:rStyle w:val="66"/>
                <w:rFonts w:ascii="宋体" w:hAnsi="宋体"/>
                <w:szCs w:val="21"/>
                <w:highlight w:val="none"/>
              </w:rPr>
            </w:pPr>
          </w:p>
        </w:tc>
      </w:tr>
      <w:tr w14:paraId="55DFBC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890" w:type="dxa"/>
            <w:tcBorders>
              <w:top w:val="single" w:color="000000" w:sz="4" w:space="0"/>
              <w:left w:val="single" w:color="000000" w:sz="4" w:space="0"/>
              <w:bottom w:val="single" w:color="000000" w:sz="4" w:space="0"/>
              <w:right w:val="single" w:color="000000" w:sz="4" w:space="0"/>
            </w:tcBorders>
            <w:vAlign w:val="center"/>
          </w:tcPr>
          <w:p w14:paraId="11B2904D">
            <w:pPr>
              <w:spacing w:line="276" w:lineRule="auto"/>
              <w:jc w:val="center"/>
              <w:rPr>
                <w:rStyle w:val="66"/>
                <w:rFonts w:ascii="宋体" w:hAnsi="宋体"/>
                <w:szCs w:val="21"/>
                <w:highlight w:val="none"/>
              </w:rPr>
            </w:pPr>
            <w:r>
              <w:rPr>
                <w:rStyle w:val="66"/>
                <w:rFonts w:ascii="宋体" w:hAnsi="宋体"/>
                <w:szCs w:val="21"/>
                <w:highlight w:val="none"/>
              </w:rPr>
              <w:t>2</w:t>
            </w:r>
          </w:p>
        </w:tc>
        <w:tc>
          <w:tcPr>
            <w:tcW w:w="10738" w:type="dxa"/>
            <w:tcBorders>
              <w:top w:val="single" w:color="000000" w:sz="4" w:space="0"/>
              <w:left w:val="single" w:color="000000" w:sz="4" w:space="0"/>
              <w:bottom w:val="single" w:color="000000" w:sz="4" w:space="0"/>
              <w:right w:val="single" w:color="000000" w:sz="4" w:space="0"/>
            </w:tcBorders>
            <w:vAlign w:val="center"/>
          </w:tcPr>
          <w:p w14:paraId="72A26D33">
            <w:pPr>
              <w:spacing w:line="276" w:lineRule="auto"/>
              <w:rPr>
                <w:rStyle w:val="66"/>
                <w:rFonts w:ascii="宋体" w:hAnsi="宋体"/>
                <w:szCs w:val="21"/>
                <w:highlight w:val="none"/>
              </w:rPr>
            </w:pPr>
            <w:r>
              <w:rPr>
                <w:rFonts w:hint="eastAsia" w:ascii="宋体" w:hAnsi="宋体" w:cs="宋体"/>
                <w:szCs w:val="21"/>
                <w:highlight w:val="none"/>
              </w:rPr>
              <w:t>投标报价高于最高投标限价的；</w:t>
            </w:r>
          </w:p>
        </w:tc>
        <w:tc>
          <w:tcPr>
            <w:tcW w:w="1818" w:type="dxa"/>
            <w:tcBorders>
              <w:top w:val="single" w:color="000000" w:sz="4" w:space="0"/>
              <w:left w:val="single" w:color="000000" w:sz="4" w:space="0"/>
              <w:bottom w:val="single" w:color="000000" w:sz="4" w:space="0"/>
              <w:right w:val="single" w:color="000000" w:sz="4" w:space="0"/>
            </w:tcBorders>
          </w:tcPr>
          <w:p w14:paraId="648236E9">
            <w:pPr>
              <w:spacing w:line="276" w:lineRule="auto"/>
              <w:rPr>
                <w:rStyle w:val="66"/>
                <w:rFonts w:ascii="宋体" w:hAnsi="宋体"/>
                <w:szCs w:val="21"/>
                <w:highlight w:val="none"/>
              </w:rPr>
            </w:pPr>
          </w:p>
        </w:tc>
      </w:tr>
      <w:tr w14:paraId="162984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890" w:type="dxa"/>
            <w:tcBorders>
              <w:top w:val="single" w:color="000000" w:sz="4" w:space="0"/>
              <w:left w:val="single" w:color="000000" w:sz="4" w:space="0"/>
              <w:bottom w:val="single" w:color="000000" w:sz="4" w:space="0"/>
              <w:right w:val="single" w:color="000000" w:sz="4" w:space="0"/>
            </w:tcBorders>
            <w:vAlign w:val="center"/>
          </w:tcPr>
          <w:p w14:paraId="555D9D8F">
            <w:pPr>
              <w:spacing w:line="276" w:lineRule="auto"/>
              <w:jc w:val="center"/>
              <w:rPr>
                <w:rStyle w:val="66"/>
                <w:rFonts w:ascii="宋体" w:hAnsi="宋体"/>
                <w:szCs w:val="21"/>
                <w:highlight w:val="none"/>
              </w:rPr>
            </w:pPr>
            <w:r>
              <w:rPr>
                <w:rStyle w:val="66"/>
                <w:rFonts w:ascii="宋体" w:hAnsi="宋体"/>
                <w:szCs w:val="21"/>
                <w:highlight w:val="none"/>
              </w:rPr>
              <w:t>3</w:t>
            </w:r>
          </w:p>
        </w:tc>
        <w:tc>
          <w:tcPr>
            <w:tcW w:w="10738" w:type="dxa"/>
            <w:tcBorders>
              <w:top w:val="single" w:color="000000" w:sz="4" w:space="0"/>
              <w:left w:val="single" w:color="000000" w:sz="4" w:space="0"/>
              <w:bottom w:val="single" w:color="000000" w:sz="4" w:space="0"/>
              <w:right w:val="single" w:color="000000" w:sz="4" w:space="0"/>
            </w:tcBorders>
            <w:vAlign w:val="center"/>
          </w:tcPr>
          <w:p w14:paraId="4C773B1E">
            <w:pPr>
              <w:spacing w:line="276" w:lineRule="auto"/>
              <w:ind w:left="-2" w:leftChars="-1"/>
              <w:jc w:val="left"/>
              <w:rPr>
                <w:rStyle w:val="66"/>
                <w:rFonts w:ascii="宋体" w:hAnsi="宋体"/>
                <w:szCs w:val="21"/>
                <w:highlight w:val="none"/>
              </w:rPr>
            </w:pPr>
            <w:r>
              <w:rPr>
                <w:rStyle w:val="66"/>
                <w:rFonts w:ascii="宋体" w:hAnsi="宋体"/>
                <w:szCs w:val="21"/>
                <w:highlight w:val="none"/>
              </w:rPr>
              <w:t>投标报价低于成本的；</w:t>
            </w:r>
          </w:p>
        </w:tc>
        <w:tc>
          <w:tcPr>
            <w:tcW w:w="1818" w:type="dxa"/>
            <w:tcBorders>
              <w:top w:val="single" w:color="000000" w:sz="4" w:space="0"/>
              <w:left w:val="single" w:color="000000" w:sz="4" w:space="0"/>
              <w:bottom w:val="single" w:color="000000" w:sz="4" w:space="0"/>
              <w:right w:val="single" w:color="000000" w:sz="4" w:space="0"/>
            </w:tcBorders>
          </w:tcPr>
          <w:p w14:paraId="2513D06C">
            <w:pPr>
              <w:spacing w:line="276" w:lineRule="auto"/>
              <w:rPr>
                <w:rStyle w:val="66"/>
                <w:rFonts w:ascii="宋体" w:hAnsi="宋体"/>
                <w:szCs w:val="21"/>
                <w:highlight w:val="none"/>
              </w:rPr>
            </w:pPr>
          </w:p>
        </w:tc>
      </w:tr>
      <w:tr w14:paraId="4F29E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890" w:type="dxa"/>
            <w:tcBorders>
              <w:top w:val="single" w:color="000000" w:sz="4" w:space="0"/>
              <w:left w:val="single" w:color="000000" w:sz="4" w:space="0"/>
              <w:bottom w:val="single" w:color="000000" w:sz="4" w:space="0"/>
              <w:right w:val="single" w:color="000000" w:sz="4" w:space="0"/>
            </w:tcBorders>
            <w:vAlign w:val="center"/>
          </w:tcPr>
          <w:p w14:paraId="7668055B">
            <w:pPr>
              <w:spacing w:line="276" w:lineRule="auto"/>
              <w:jc w:val="center"/>
              <w:rPr>
                <w:rStyle w:val="66"/>
                <w:rFonts w:ascii="宋体" w:hAnsi="宋体"/>
                <w:szCs w:val="21"/>
                <w:highlight w:val="none"/>
              </w:rPr>
            </w:pPr>
            <w:r>
              <w:rPr>
                <w:rStyle w:val="66"/>
                <w:rFonts w:ascii="宋体" w:hAnsi="宋体"/>
                <w:szCs w:val="21"/>
                <w:highlight w:val="none"/>
              </w:rPr>
              <w:t>4</w:t>
            </w:r>
          </w:p>
        </w:tc>
        <w:tc>
          <w:tcPr>
            <w:tcW w:w="10738" w:type="dxa"/>
            <w:tcBorders>
              <w:top w:val="single" w:color="000000" w:sz="4" w:space="0"/>
              <w:left w:val="single" w:color="000000" w:sz="4" w:space="0"/>
              <w:bottom w:val="single" w:color="000000" w:sz="4" w:space="0"/>
              <w:right w:val="single" w:color="000000" w:sz="4" w:space="0"/>
            </w:tcBorders>
            <w:vAlign w:val="center"/>
          </w:tcPr>
          <w:p w14:paraId="15786278">
            <w:pPr>
              <w:spacing w:line="276" w:lineRule="auto"/>
              <w:rPr>
                <w:rStyle w:val="66"/>
                <w:rFonts w:ascii="宋体" w:hAnsi="宋体"/>
                <w:szCs w:val="21"/>
                <w:highlight w:val="none"/>
              </w:rPr>
            </w:pPr>
            <w:r>
              <w:rPr>
                <w:rStyle w:val="66"/>
                <w:rFonts w:ascii="宋体" w:hAnsi="宋体"/>
                <w:szCs w:val="21"/>
                <w:highlight w:val="none"/>
              </w:rPr>
              <w:t>算术复核后的投标报价与原投标报价相比存在1%或以上误差的；</w:t>
            </w:r>
          </w:p>
        </w:tc>
        <w:tc>
          <w:tcPr>
            <w:tcW w:w="1818" w:type="dxa"/>
            <w:tcBorders>
              <w:top w:val="single" w:color="000000" w:sz="4" w:space="0"/>
              <w:left w:val="single" w:color="000000" w:sz="4" w:space="0"/>
              <w:bottom w:val="single" w:color="000000" w:sz="4" w:space="0"/>
              <w:right w:val="single" w:color="000000" w:sz="4" w:space="0"/>
            </w:tcBorders>
          </w:tcPr>
          <w:p w14:paraId="2AA77864">
            <w:pPr>
              <w:spacing w:line="276" w:lineRule="auto"/>
              <w:rPr>
                <w:rStyle w:val="66"/>
                <w:rFonts w:ascii="宋体" w:hAnsi="宋体"/>
                <w:szCs w:val="21"/>
                <w:highlight w:val="none"/>
              </w:rPr>
            </w:pPr>
          </w:p>
        </w:tc>
      </w:tr>
      <w:tr w14:paraId="15A57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890" w:type="dxa"/>
            <w:tcBorders>
              <w:top w:val="single" w:color="000000" w:sz="4" w:space="0"/>
              <w:left w:val="single" w:color="000000" w:sz="4" w:space="0"/>
              <w:bottom w:val="single" w:color="000000" w:sz="4" w:space="0"/>
              <w:right w:val="single" w:color="000000" w:sz="4" w:space="0"/>
            </w:tcBorders>
            <w:vAlign w:val="center"/>
          </w:tcPr>
          <w:p w14:paraId="41CC4759">
            <w:pPr>
              <w:spacing w:line="276" w:lineRule="auto"/>
              <w:jc w:val="center"/>
              <w:rPr>
                <w:rStyle w:val="66"/>
                <w:rFonts w:ascii="宋体" w:hAnsi="宋体"/>
                <w:szCs w:val="21"/>
                <w:highlight w:val="none"/>
              </w:rPr>
            </w:pPr>
            <w:r>
              <w:rPr>
                <w:rStyle w:val="66"/>
                <w:rFonts w:ascii="宋体" w:hAnsi="宋体"/>
                <w:szCs w:val="21"/>
                <w:highlight w:val="none"/>
              </w:rPr>
              <w:t>5</w:t>
            </w:r>
          </w:p>
        </w:tc>
        <w:tc>
          <w:tcPr>
            <w:tcW w:w="10738" w:type="dxa"/>
            <w:tcBorders>
              <w:top w:val="single" w:color="000000" w:sz="4" w:space="0"/>
              <w:left w:val="single" w:color="000000" w:sz="4" w:space="0"/>
              <w:bottom w:val="single" w:color="000000" w:sz="4" w:space="0"/>
              <w:right w:val="single" w:color="000000" w:sz="4" w:space="0"/>
            </w:tcBorders>
            <w:vAlign w:val="center"/>
          </w:tcPr>
          <w:p w14:paraId="0CD58B23">
            <w:pPr>
              <w:spacing w:line="276" w:lineRule="auto"/>
              <w:rPr>
                <w:rStyle w:val="66"/>
                <w:highlight w:val="none"/>
              </w:rPr>
            </w:pPr>
            <w:r>
              <w:rPr>
                <w:rFonts w:hint="eastAsia" w:ascii="宋体" w:hAnsi="宋体"/>
                <w:highlight w:val="none"/>
              </w:rPr>
              <w:t>投标文件未按规定的格式（</w:t>
            </w:r>
            <w:r>
              <w:rPr>
                <w:rFonts w:hint="eastAsia" w:ascii="宋体" w:hAnsi="宋体"/>
                <w:highlight w:val="none"/>
                <w:u w:val="single"/>
              </w:rPr>
              <w:t>经济标投标文件格式一、格式二、格式三</w:t>
            </w:r>
            <w:r>
              <w:rPr>
                <w:rFonts w:hint="eastAsia" w:ascii="宋体" w:hAnsi="宋体"/>
                <w:highlight w:val="none"/>
              </w:rPr>
              <w:t>）填写，或主要内容不全，或关键字迹模糊、无法辨认的；</w:t>
            </w:r>
          </w:p>
        </w:tc>
        <w:tc>
          <w:tcPr>
            <w:tcW w:w="1818" w:type="dxa"/>
            <w:tcBorders>
              <w:top w:val="single" w:color="000000" w:sz="4" w:space="0"/>
              <w:left w:val="single" w:color="000000" w:sz="4" w:space="0"/>
              <w:bottom w:val="single" w:color="000000" w:sz="4" w:space="0"/>
              <w:right w:val="single" w:color="000000" w:sz="4" w:space="0"/>
            </w:tcBorders>
          </w:tcPr>
          <w:p w14:paraId="4BD27DD0">
            <w:pPr>
              <w:spacing w:line="276" w:lineRule="auto"/>
              <w:rPr>
                <w:rStyle w:val="66"/>
                <w:rFonts w:ascii="宋体" w:hAnsi="宋体"/>
                <w:szCs w:val="21"/>
                <w:highlight w:val="none"/>
              </w:rPr>
            </w:pPr>
          </w:p>
        </w:tc>
      </w:tr>
      <w:tr w14:paraId="03E34F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890" w:type="dxa"/>
            <w:tcBorders>
              <w:top w:val="single" w:color="000000" w:sz="4" w:space="0"/>
              <w:left w:val="single" w:color="000000" w:sz="4" w:space="0"/>
              <w:bottom w:val="single" w:color="000000" w:sz="4" w:space="0"/>
              <w:right w:val="single" w:color="000000" w:sz="4" w:space="0"/>
            </w:tcBorders>
            <w:vAlign w:val="center"/>
          </w:tcPr>
          <w:p w14:paraId="09EAA5AD">
            <w:pPr>
              <w:spacing w:line="276" w:lineRule="auto"/>
              <w:jc w:val="center"/>
              <w:rPr>
                <w:rStyle w:val="66"/>
                <w:rFonts w:ascii="宋体" w:hAnsi="宋体"/>
                <w:szCs w:val="21"/>
                <w:highlight w:val="none"/>
              </w:rPr>
            </w:pPr>
            <w:r>
              <w:rPr>
                <w:rStyle w:val="66"/>
                <w:rFonts w:ascii="宋体" w:hAnsi="宋体"/>
                <w:szCs w:val="21"/>
                <w:highlight w:val="none"/>
              </w:rPr>
              <w:t>6</w:t>
            </w:r>
          </w:p>
        </w:tc>
        <w:tc>
          <w:tcPr>
            <w:tcW w:w="10738" w:type="dxa"/>
            <w:tcBorders>
              <w:top w:val="single" w:color="000000" w:sz="4" w:space="0"/>
              <w:left w:val="single" w:color="000000" w:sz="4" w:space="0"/>
              <w:bottom w:val="single" w:color="000000" w:sz="4" w:space="0"/>
              <w:right w:val="single" w:color="000000" w:sz="4" w:space="0"/>
            </w:tcBorders>
            <w:vAlign w:val="center"/>
          </w:tcPr>
          <w:p w14:paraId="01DB7546">
            <w:pPr>
              <w:spacing w:line="276" w:lineRule="auto"/>
              <w:rPr>
                <w:rStyle w:val="66"/>
                <w:rFonts w:ascii="宋体" w:hAnsi="宋体"/>
                <w:szCs w:val="21"/>
                <w:highlight w:val="none"/>
              </w:rPr>
            </w:pPr>
            <w:r>
              <w:rPr>
                <w:rStyle w:val="66"/>
                <w:rFonts w:ascii="宋体" w:hAnsi="宋体"/>
                <w:szCs w:val="21"/>
                <w:highlight w:val="none"/>
              </w:rPr>
              <w:t>不同投标人的投标报价中分部分项工程量清单综合单价相似度达到80%及以上的</w:t>
            </w:r>
            <w:r>
              <w:rPr>
                <w:rStyle w:val="66"/>
                <w:rFonts w:hint="eastAsia" w:ascii="宋体" w:hAnsi="宋体"/>
                <w:szCs w:val="21"/>
                <w:highlight w:val="none"/>
              </w:rPr>
              <w:t>（</w:t>
            </w:r>
            <w:r>
              <w:rPr>
                <w:rStyle w:val="66"/>
                <w:rFonts w:ascii="宋体" w:hAnsi="宋体"/>
                <w:szCs w:val="21"/>
                <w:highlight w:val="none"/>
              </w:rPr>
              <w:t>以广州公共资源交易中心交易平台评标系统的检索信息为准</w:t>
            </w:r>
            <w:r>
              <w:rPr>
                <w:rStyle w:val="66"/>
                <w:rFonts w:hint="eastAsia" w:ascii="宋体" w:hAnsi="宋体"/>
                <w:szCs w:val="21"/>
                <w:highlight w:val="none"/>
              </w:rPr>
              <w:t>）</w:t>
            </w:r>
          </w:p>
        </w:tc>
        <w:tc>
          <w:tcPr>
            <w:tcW w:w="1818" w:type="dxa"/>
            <w:tcBorders>
              <w:top w:val="single" w:color="000000" w:sz="4" w:space="0"/>
              <w:left w:val="single" w:color="000000" w:sz="4" w:space="0"/>
              <w:bottom w:val="single" w:color="000000" w:sz="4" w:space="0"/>
              <w:right w:val="single" w:color="000000" w:sz="4" w:space="0"/>
            </w:tcBorders>
          </w:tcPr>
          <w:p w14:paraId="72E73DF4">
            <w:pPr>
              <w:spacing w:line="276" w:lineRule="auto"/>
              <w:rPr>
                <w:rStyle w:val="66"/>
                <w:rFonts w:ascii="宋体" w:hAnsi="宋体"/>
                <w:szCs w:val="21"/>
                <w:highlight w:val="none"/>
              </w:rPr>
            </w:pPr>
          </w:p>
        </w:tc>
      </w:tr>
      <w:tr w14:paraId="7A8E20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890" w:type="dxa"/>
            <w:tcBorders>
              <w:top w:val="single" w:color="000000" w:sz="4" w:space="0"/>
              <w:left w:val="single" w:color="000000" w:sz="4" w:space="0"/>
              <w:bottom w:val="single" w:color="000000" w:sz="4" w:space="0"/>
              <w:right w:val="single" w:color="000000" w:sz="4" w:space="0"/>
            </w:tcBorders>
            <w:vAlign w:val="center"/>
          </w:tcPr>
          <w:p w14:paraId="32CB8F0E">
            <w:pPr>
              <w:spacing w:line="276" w:lineRule="auto"/>
              <w:jc w:val="center"/>
              <w:rPr>
                <w:rStyle w:val="66"/>
                <w:rFonts w:ascii="宋体" w:hAnsi="宋体"/>
                <w:szCs w:val="21"/>
                <w:highlight w:val="none"/>
              </w:rPr>
            </w:pPr>
            <w:r>
              <w:rPr>
                <w:rStyle w:val="66"/>
                <w:rFonts w:ascii="宋体" w:hAnsi="宋体"/>
                <w:szCs w:val="21"/>
                <w:highlight w:val="none"/>
              </w:rPr>
              <w:t>7</w:t>
            </w:r>
          </w:p>
        </w:tc>
        <w:tc>
          <w:tcPr>
            <w:tcW w:w="10738" w:type="dxa"/>
            <w:tcBorders>
              <w:top w:val="single" w:color="000000" w:sz="4" w:space="0"/>
              <w:left w:val="single" w:color="000000" w:sz="4" w:space="0"/>
              <w:bottom w:val="single" w:color="000000" w:sz="4" w:space="0"/>
              <w:right w:val="single" w:color="000000" w:sz="4" w:space="0"/>
            </w:tcBorders>
            <w:vAlign w:val="center"/>
          </w:tcPr>
          <w:p w14:paraId="277A7625">
            <w:pPr>
              <w:spacing w:line="276" w:lineRule="auto"/>
              <w:rPr>
                <w:rStyle w:val="66"/>
                <w:rFonts w:ascii="宋体" w:hAnsi="宋体"/>
                <w:szCs w:val="21"/>
                <w:highlight w:val="none"/>
              </w:rPr>
            </w:pPr>
            <w:r>
              <w:rPr>
                <w:rStyle w:val="66"/>
                <w:rFonts w:ascii="宋体" w:hAnsi="宋体"/>
                <w:szCs w:val="21"/>
                <w:highlight w:val="none"/>
              </w:rPr>
              <w:t>投标人之间存在《广东省实施&lt;中华人民共和国招标投标法&gt;》第十六条所禁止的情形的；</w:t>
            </w:r>
          </w:p>
        </w:tc>
        <w:tc>
          <w:tcPr>
            <w:tcW w:w="1818" w:type="dxa"/>
            <w:tcBorders>
              <w:top w:val="single" w:color="000000" w:sz="4" w:space="0"/>
              <w:left w:val="single" w:color="000000" w:sz="4" w:space="0"/>
              <w:bottom w:val="single" w:color="000000" w:sz="4" w:space="0"/>
              <w:right w:val="single" w:color="000000" w:sz="4" w:space="0"/>
            </w:tcBorders>
          </w:tcPr>
          <w:p w14:paraId="3F67FDC3">
            <w:pPr>
              <w:spacing w:line="276" w:lineRule="auto"/>
              <w:rPr>
                <w:rStyle w:val="66"/>
                <w:rFonts w:ascii="宋体" w:hAnsi="宋体"/>
                <w:szCs w:val="21"/>
                <w:highlight w:val="none"/>
              </w:rPr>
            </w:pPr>
          </w:p>
        </w:tc>
      </w:tr>
      <w:tr w14:paraId="2A9E77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890" w:type="dxa"/>
            <w:tcBorders>
              <w:top w:val="single" w:color="000000" w:sz="4" w:space="0"/>
              <w:left w:val="single" w:color="000000" w:sz="4" w:space="0"/>
              <w:bottom w:val="single" w:color="000000" w:sz="4" w:space="0"/>
              <w:right w:val="single" w:color="000000" w:sz="4" w:space="0"/>
            </w:tcBorders>
            <w:vAlign w:val="center"/>
          </w:tcPr>
          <w:p w14:paraId="0AC3B586">
            <w:pPr>
              <w:spacing w:line="276" w:lineRule="auto"/>
              <w:jc w:val="center"/>
              <w:rPr>
                <w:rStyle w:val="66"/>
                <w:rFonts w:ascii="宋体" w:hAnsi="宋体"/>
                <w:szCs w:val="21"/>
                <w:highlight w:val="none"/>
              </w:rPr>
            </w:pPr>
            <w:r>
              <w:rPr>
                <w:rStyle w:val="66"/>
                <w:rFonts w:ascii="宋体" w:hAnsi="宋体"/>
                <w:szCs w:val="21"/>
                <w:highlight w:val="none"/>
              </w:rPr>
              <w:t>8</w:t>
            </w:r>
          </w:p>
        </w:tc>
        <w:tc>
          <w:tcPr>
            <w:tcW w:w="10738" w:type="dxa"/>
            <w:tcBorders>
              <w:top w:val="single" w:color="000000" w:sz="4" w:space="0"/>
              <w:left w:val="single" w:color="000000" w:sz="4" w:space="0"/>
              <w:bottom w:val="single" w:color="000000" w:sz="4" w:space="0"/>
              <w:right w:val="single" w:color="000000" w:sz="4" w:space="0"/>
            </w:tcBorders>
            <w:vAlign w:val="center"/>
          </w:tcPr>
          <w:p w14:paraId="0B7B21B6">
            <w:pPr>
              <w:spacing w:line="276" w:lineRule="auto"/>
              <w:rPr>
                <w:rStyle w:val="66"/>
                <w:rFonts w:ascii="宋体" w:hAnsi="宋体"/>
                <w:szCs w:val="21"/>
                <w:highlight w:val="none"/>
              </w:rPr>
            </w:pPr>
            <w:r>
              <w:rPr>
                <w:rStyle w:val="66"/>
                <w:rFonts w:ascii="宋体" w:hAnsi="宋体"/>
                <w:szCs w:val="21"/>
                <w:highlight w:val="none"/>
              </w:rPr>
              <w:t>无《参与编制经济标投标文件人员名单》的；</w:t>
            </w:r>
          </w:p>
        </w:tc>
        <w:tc>
          <w:tcPr>
            <w:tcW w:w="1818" w:type="dxa"/>
            <w:tcBorders>
              <w:top w:val="single" w:color="000000" w:sz="4" w:space="0"/>
              <w:left w:val="single" w:color="000000" w:sz="4" w:space="0"/>
              <w:bottom w:val="single" w:color="000000" w:sz="4" w:space="0"/>
              <w:right w:val="single" w:color="000000" w:sz="4" w:space="0"/>
            </w:tcBorders>
          </w:tcPr>
          <w:p w14:paraId="48B96C21">
            <w:pPr>
              <w:spacing w:line="276" w:lineRule="auto"/>
              <w:rPr>
                <w:rStyle w:val="66"/>
                <w:rFonts w:ascii="宋体" w:hAnsi="宋体"/>
                <w:szCs w:val="21"/>
                <w:highlight w:val="none"/>
              </w:rPr>
            </w:pPr>
          </w:p>
        </w:tc>
      </w:tr>
      <w:tr w14:paraId="545DE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890" w:type="dxa"/>
            <w:tcBorders>
              <w:top w:val="single" w:color="000000" w:sz="4" w:space="0"/>
              <w:left w:val="single" w:color="000000" w:sz="4" w:space="0"/>
              <w:bottom w:val="single" w:color="000000" w:sz="4" w:space="0"/>
              <w:right w:val="single" w:color="000000" w:sz="4" w:space="0"/>
            </w:tcBorders>
            <w:vAlign w:val="center"/>
          </w:tcPr>
          <w:p w14:paraId="332B4FEF">
            <w:pPr>
              <w:spacing w:line="276" w:lineRule="auto"/>
              <w:jc w:val="center"/>
              <w:rPr>
                <w:rStyle w:val="66"/>
                <w:rFonts w:ascii="宋体" w:hAnsi="宋体"/>
                <w:szCs w:val="21"/>
                <w:highlight w:val="none"/>
              </w:rPr>
            </w:pPr>
            <w:r>
              <w:rPr>
                <w:rStyle w:val="66"/>
                <w:rFonts w:ascii="宋体" w:hAnsi="宋体"/>
                <w:szCs w:val="21"/>
                <w:highlight w:val="none"/>
              </w:rPr>
              <w:t>9</w:t>
            </w:r>
          </w:p>
        </w:tc>
        <w:tc>
          <w:tcPr>
            <w:tcW w:w="10738" w:type="dxa"/>
            <w:tcBorders>
              <w:top w:val="single" w:color="000000" w:sz="4" w:space="0"/>
              <w:left w:val="single" w:color="000000" w:sz="4" w:space="0"/>
              <w:bottom w:val="single" w:color="000000" w:sz="4" w:space="0"/>
              <w:right w:val="single" w:color="000000" w:sz="4" w:space="0"/>
            </w:tcBorders>
            <w:vAlign w:val="center"/>
          </w:tcPr>
          <w:p w14:paraId="55C61E05">
            <w:pPr>
              <w:spacing w:line="276" w:lineRule="auto"/>
              <w:rPr>
                <w:rStyle w:val="66"/>
                <w:rFonts w:ascii="宋体" w:hAnsi="宋体"/>
                <w:szCs w:val="21"/>
                <w:highlight w:val="none"/>
              </w:rPr>
            </w:pPr>
            <w:r>
              <w:rPr>
                <w:rStyle w:val="66"/>
                <w:rFonts w:ascii="宋体" w:hAnsi="宋体"/>
                <w:szCs w:val="21"/>
                <w:highlight w:val="none"/>
              </w:rPr>
              <w:t>无《对投标文件编制的承诺》</w:t>
            </w:r>
          </w:p>
        </w:tc>
        <w:tc>
          <w:tcPr>
            <w:tcW w:w="1818" w:type="dxa"/>
            <w:tcBorders>
              <w:top w:val="single" w:color="000000" w:sz="4" w:space="0"/>
              <w:left w:val="single" w:color="000000" w:sz="4" w:space="0"/>
              <w:bottom w:val="single" w:color="000000" w:sz="4" w:space="0"/>
              <w:right w:val="single" w:color="000000" w:sz="4" w:space="0"/>
            </w:tcBorders>
          </w:tcPr>
          <w:p w14:paraId="616DF551">
            <w:pPr>
              <w:spacing w:line="276" w:lineRule="auto"/>
              <w:rPr>
                <w:rStyle w:val="66"/>
                <w:rFonts w:ascii="宋体" w:hAnsi="宋体"/>
                <w:szCs w:val="21"/>
                <w:highlight w:val="none"/>
              </w:rPr>
            </w:pPr>
          </w:p>
        </w:tc>
      </w:tr>
      <w:tr w14:paraId="6BE5E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890" w:type="dxa"/>
            <w:tcBorders>
              <w:top w:val="single" w:color="000000" w:sz="4" w:space="0"/>
              <w:left w:val="single" w:color="000000" w:sz="4" w:space="0"/>
              <w:bottom w:val="single" w:color="000000" w:sz="4" w:space="0"/>
              <w:right w:val="single" w:color="000000" w:sz="4" w:space="0"/>
            </w:tcBorders>
            <w:vAlign w:val="center"/>
          </w:tcPr>
          <w:p w14:paraId="4E6498DB">
            <w:pPr>
              <w:spacing w:line="276" w:lineRule="auto"/>
              <w:jc w:val="center"/>
              <w:rPr>
                <w:rStyle w:val="66"/>
                <w:rFonts w:ascii="宋体" w:hAnsi="宋体"/>
                <w:szCs w:val="21"/>
                <w:highlight w:val="none"/>
              </w:rPr>
            </w:pPr>
            <w:r>
              <w:rPr>
                <w:rStyle w:val="66"/>
                <w:rFonts w:hint="eastAsia" w:ascii="宋体" w:hAnsi="宋体"/>
                <w:szCs w:val="21"/>
                <w:highlight w:val="none"/>
              </w:rPr>
              <w:t>10</w:t>
            </w:r>
          </w:p>
        </w:tc>
        <w:tc>
          <w:tcPr>
            <w:tcW w:w="10738" w:type="dxa"/>
            <w:tcBorders>
              <w:top w:val="single" w:color="000000" w:sz="4" w:space="0"/>
              <w:left w:val="single" w:color="000000" w:sz="4" w:space="0"/>
              <w:bottom w:val="single" w:color="000000" w:sz="4" w:space="0"/>
              <w:right w:val="single" w:color="000000" w:sz="4" w:space="0"/>
            </w:tcBorders>
            <w:vAlign w:val="center"/>
          </w:tcPr>
          <w:p w14:paraId="262E2DFC">
            <w:pPr>
              <w:spacing w:line="276" w:lineRule="auto"/>
              <w:rPr>
                <w:rStyle w:val="66"/>
                <w:rFonts w:ascii="宋体" w:hAnsi="宋体"/>
                <w:szCs w:val="21"/>
                <w:highlight w:val="none"/>
              </w:rPr>
            </w:pPr>
            <w:r>
              <w:rPr>
                <w:rStyle w:val="66"/>
                <w:rFonts w:hint="eastAsia" w:ascii="宋体" w:hAnsi="宋体"/>
                <w:szCs w:val="21"/>
                <w:highlight w:val="none"/>
              </w:rPr>
              <w:t>投标人与本项目其他投标人的投标文件工程量清单编制机器硬件信息一致的（以交易平台评标系统的检索信息为准）</w:t>
            </w:r>
          </w:p>
        </w:tc>
        <w:tc>
          <w:tcPr>
            <w:tcW w:w="1818" w:type="dxa"/>
            <w:tcBorders>
              <w:top w:val="single" w:color="000000" w:sz="4" w:space="0"/>
              <w:left w:val="single" w:color="000000" w:sz="4" w:space="0"/>
              <w:bottom w:val="single" w:color="000000" w:sz="4" w:space="0"/>
              <w:right w:val="single" w:color="000000" w:sz="4" w:space="0"/>
            </w:tcBorders>
          </w:tcPr>
          <w:p w14:paraId="0A7EF6ED">
            <w:pPr>
              <w:spacing w:line="276" w:lineRule="auto"/>
              <w:rPr>
                <w:rStyle w:val="66"/>
                <w:rFonts w:ascii="宋体" w:hAnsi="宋体"/>
                <w:szCs w:val="21"/>
                <w:highlight w:val="none"/>
              </w:rPr>
            </w:pPr>
          </w:p>
        </w:tc>
      </w:tr>
    </w:tbl>
    <w:p w14:paraId="6CC2BE28">
      <w:pPr>
        <w:spacing w:line="276" w:lineRule="auto"/>
        <w:ind w:firstLine="420" w:firstLineChars="200"/>
        <w:rPr>
          <w:rStyle w:val="66"/>
          <w:rFonts w:ascii="宋体" w:hAnsi="宋体"/>
          <w:szCs w:val="21"/>
          <w:highlight w:val="none"/>
        </w:rPr>
      </w:pPr>
      <w:r>
        <w:rPr>
          <w:rStyle w:val="66"/>
          <w:rFonts w:hint="eastAsia" w:ascii="宋体" w:hAnsi="宋体"/>
          <w:szCs w:val="21"/>
          <w:highlight w:val="none"/>
        </w:rPr>
        <w:t>注：1.本表使用GZZB2018-3招标文件范本，与范本内容不同之处均以下划线标明。</w:t>
      </w:r>
    </w:p>
    <w:p w14:paraId="77643463">
      <w:pPr>
        <w:spacing w:line="276" w:lineRule="auto"/>
        <w:ind w:firstLine="420" w:firstLineChars="200"/>
        <w:rPr>
          <w:rStyle w:val="66"/>
          <w:rFonts w:ascii="宋体" w:hAnsi="宋体"/>
          <w:szCs w:val="21"/>
          <w:highlight w:val="none"/>
        </w:rPr>
      </w:pPr>
      <w:r>
        <w:rPr>
          <w:rStyle w:val="66"/>
          <w:rFonts w:hint="eastAsia" w:ascii="宋体" w:hAnsi="宋体"/>
          <w:szCs w:val="21"/>
          <w:highlight w:val="none"/>
        </w:rPr>
        <w:t>2.凡出现以上任何一项情形，结论均为无效，否则就为有效。</w:t>
      </w:r>
    </w:p>
    <w:p w14:paraId="6B3723BF">
      <w:pPr>
        <w:spacing w:line="276" w:lineRule="auto"/>
        <w:ind w:firstLine="420" w:firstLineChars="200"/>
        <w:rPr>
          <w:rStyle w:val="66"/>
          <w:rFonts w:ascii="宋体" w:hAnsi="宋体"/>
          <w:szCs w:val="21"/>
          <w:highlight w:val="none"/>
        </w:rPr>
      </w:pPr>
      <w:r>
        <w:rPr>
          <w:rStyle w:val="66"/>
          <w:rFonts w:hint="eastAsia" w:ascii="宋体" w:hAnsi="宋体"/>
          <w:szCs w:val="21"/>
          <w:highlight w:val="none"/>
        </w:rPr>
        <w:t>3.如对本表中某种情形的评审意见不一致时，以评标委员会过半数成员的意见作为评标委员会对该情形的认定结论。</w:t>
      </w:r>
    </w:p>
    <w:p w14:paraId="7C579AFA">
      <w:pPr>
        <w:spacing w:line="276" w:lineRule="auto"/>
        <w:ind w:firstLine="420" w:firstLineChars="200"/>
        <w:rPr>
          <w:rStyle w:val="66"/>
          <w:rFonts w:ascii="宋体" w:hAnsi="宋体"/>
          <w:szCs w:val="21"/>
          <w:highlight w:val="none"/>
        </w:rPr>
      </w:pPr>
      <w:r>
        <w:rPr>
          <w:rStyle w:val="66"/>
          <w:rFonts w:hint="eastAsia" w:ascii="宋体" w:hAnsi="宋体"/>
          <w:szCs w:val="21"/>
          <w:highlight w:val="none"/>
        </w:rPr>
        <w:t>4.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72D1A2F9">
      <w:pPr>
        <w:spacing w:line="276" w:lineRule="auto"/>
        <w:ind w:firstLine="420" w:firstLineChars="200"/>
        <w:rPr>
          <w:rStyle w:val="66"/>
          <w:rFonts w:ascii="宋体" w:hAnsi="宋体"/>
          <w:szCs w:val="21"/>
          <w:highlight w:val="none"/>
        </w:rPr>
        <w:sectPr>
          <w:pgSz w:w="16838" w:h="11906"/>
          <w:pgMar w:top="1418" w:right="1701" w:bottom="1418" w:left="1701" w:header="851" w:footer="907" w:gutter="0"/>
          <w:cols w:space="720" w:num="1"/>
          <w:titlePg/>
          <w:docGrid w:type="lines" w:linePitch="312" w:charSpace="0"/>
        </w:sectPr>
      </w:pPr>
      <w:r>
        <w:rPr>
          <w:rStyle w:val="66"/>
          <w:rFonts w:ascii="宋体" w:hAnsi="宋体"/>
          <w:szCs w:val="21"/>
          <w:highlight w:val="none"/>
        </w:rPr>
        <w:t>评委签名：</w:t>
      </w:r>
    </w:p>
    <w:p w14:paraId="417FF8F7">
      <w:pPr>
        <w:widowControl w:val="0"/>
        <w:spacing w:line="276" w:lineRule="auto"/>
        <w:textAlignment w:val="auto"/>
        <w:rPr>
          <w:b/>
          <w:szCs w:val="21"/>
          <w:highlight w:val="none"/>
        </w:rPr>
      </w:pPr>
      <w:r>
        <w:rPr>
          <w:rFonts w:hint="eastAsia" w:ascii="宋体" w:hAnsi="宋体"/>
          <w:b/>
          <w:szCs w:val="21"/>
          <w:highlight w:val="none"/>
        </w:rPr>
        <w:t>附表四</w:t>
      </w:r>
    </w:p>
    <w:p w14:paraId="115DB70B">
      <w:pPr>
        <w:widowControl w:val="0"/>
        <w:spacing w:line="276" w:lineRule="auto"/>
        <w:jc w:val="center"/>
        <w:textAlignment w:val="auto"/>
        <w:rPr>
          <w:rFonts w:ascii="Times New Roman" w:hAnsi="Times New Roman"/>
          <w:b/>
          <w:sz w:val="36"/>
          <w:szCs w:val="36"/>
          <w:highlight w:val="none"/>
        </w:rPr>
      </w:pPr>
      <w:r>
        <w:rPr>
          <w:rFonts w:hint="eastAsia" w:ascii="宋体" w:hAnsi="宋体"/>
          <w:b/>
          <w:sz w:val="36"/>
          <w:szCs w:val="36"/>
          <w:highlight w:val="none"/>
        </w:rPr>
        <w:t>技术标详细审查评分表</w:t>
      </w:r>
    </w:p>
    <w:tbl>
      <w:tblPr>
        <w:tblStyle w:val="26"/>
        <w:tblW w:w="14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278"/>
        <w:gridCol w:w="681"/>
        <w:gridCol w:w="11879"/>
      </w:tblGrid>
      <w:tr w14:paraId="12C81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blHeader/>
          <w:jc w:val="center"/>
        </w:trPr>
        <w:tc>
          <w:tcPr>
            <w:tcW w:w="734" w:type="dxa"/>
            <w:vAlign w:val="center"/>
          </w:tcPr>
          <w:p w14:paraId="39A45809">
            <w:pPr>
              <w:spacing w:line="320" w:lineRule="exact"/>
              <w:jc w:val="center"/>
              <w:rPr>
                <w:rFonts w:ascii="宋体" w:hAnsi="宋体" w:cs="宋体"/>
                <w:b/>
                <w:szCs w:val="21"/>
                <w:highlight w:val="none"/>
              </w:rPr>
            </w:pPr>
            <w:r>
              <w:rPr>
                <w:rFonts w:hint="eastAsia" w:ascii="宋体" w:hAnsi="宋体" w:cs="宋体"/>
                <w:b/>
                <w:szCs w:val="21"/>
                <w:highlight w:val="none"/>
              </w:rPr>
              <w:t>序号</w:t>
            </w:r>
          </w:p>
        </w:tc>
        <w:tc>
          <w:tcPr>
            <w:tcW w:w="1278" w:type="dxa"/>
            <w:vAlign w:val="center"/>
          </w:tcPr>
          <w:p w14:paraId="328A623A">
            <w:pPr>
              <w:spacing w:line="320" w:lineRule="exact"/>
              <w:jc w:val="center"/>
              <w:rPr>
                <w:rFonts w:ascii="宋体" w:hAnsi="宋体" w:cs="宋体"/>
                <w:b/>
                <w:szCs w:val="21"/>
                <w:highlight w:val="none"/>
              </w:rPr>
            </w:pPr>
            <w:r>
              <w:rPr>
                <w:rFonts w:hint="eastAsia" w:ascii="宋体" w:hAnsi="宋体" w:cs="宋体"/>
                <w:b/>
                <w:szCs w:val="21"/>
                <w:highlight w:val="none"/>
              </w:rPr>
              <w:t>评审要素</w:t>
            </w:r>
          </w:p>
        </w:tc>
        <w:tc>
          <w:tcPr>
            <w:tcW w:w="681" w:type="dxa"/>
            <w:vAlign w:val="center"/>
          </w:tcPr>
          <w:p w14:paraId="26322CC8">
            <w:pPr>
              <w:spacing w:line="320" w:lineRule="exact"/>
              <w:jc w:val="center"/>
              <w:rPr>
                <w:rFonts w:ascii="宋体" w:hAnsi="宋体" w:cs="宋体"/>
                <w:b/>
                <w:szCs w:val="21"/>
                <w:highlight w:val="none"/>
              </w:rPr>
            </w:pPr>
            <w:r>
              <w:rPr>
                <w:rFonts w:hint="eastAsia" w:ascii="宋体" w:hAnsi="宋体" w:cs="宋体"/>
                <w:b/>
                <w:szCs w:val="21"/>
                <w:highlight w:val="none"/>
              </w:rPr>
              <w:t>分值</w:t>
            </w:r>
          </w:p>
        </w:tc>
        <w:tc>
          <w:tcPr>
            <w:tcW w:w="11879" w:type="dxa"/>
            <w:vAlign w:val="center"/>
          </w:tcPr>
          <w:p w14:paraId="3F55B935">
            <w:pPr>
              <w:spacing w:line="320" w:lineRule="exact"/>
              <w:jc w:val="center"/>
              <w:rPr>
                <w:rFonts w:ascii="宋体" w:hAnsi="宋体" w:cs="宋体"/>
                <w:b/>
                <w:szCs w:val="21"/>
                <w:highlight w:val="none"/>
              </w:rPr>
            </w:pPr>
            <w:r>
              <w:rPr>
                <w:rFonts w:hint="eastAsia" w:ascii="宋体" w:hAnsi="宋体" w:cs="宋体"/>
                <w:b/>
                <w:szCs w:val="21"/>
                <w:highlight w:val="none"/>
              </w:rPr>
              <w:t>评审准则</w:t>
            </w:r>
          </w:p>
        </w:tc>
      </w:tr>
      <w:tr w14:paraId="5721F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734" w:type="dxa"/>
            <w:vAlign w:val="center"/>
          </w:tcPr>
          <w:p w14:paraId="29DA313E">
            <w:pPr>
              <w:spacing w:line="320" w:lineRule="exact"/>
              <w:jc w:val="center"/>
              <w:rPr>
                <w:rFonts w:ascii="宋体" w:hAnsi="宋体" w:cs="宋体"/>
                <w:b/>
                <w:szCs w:val="21"/>
                <w:highlight w:val="none"/>
              </w:rPr>
            </w:pPr>
            <w:r>
              <w:rPr>
                <w:rFonts w:hint="eastAsia" w:ascii="宋体" w:hAnsi="宋体" w:cs="宋体"/>
                <w:b/>
                <w:szCs w:val="21"/>
                <w:highlight w:val="none"/>
              </w:rPr>
              <w:t>一</w:t>
            </w:r>
          </w:p>
        </w:tc>
        <w:tc>
          <w:tcPr>
            <w:tcW w:w="13838" w:type="dxa"/>
            <w:gridSpan w:val="3"/>
            <w:tcBorders>
              <w:left w:val="single" w:color="auto" w:sz="4" w:space="0"/>
            </w:tcBorders>
            <w:vAlign w:val="center"/>
          </w:tcPr>
          <w:p w14:paraId="2E8182F0">
            <w:pPr>
              <w:spacing w:line="320" w:lineRule="exact"/>
              <w:rPr>
                <w:rFonts w:ascii="宋体" w:hAnsi="宋体" w:cs="宋体"/>
                <w:b/>
                <w:szCs w:val="21"/>
                <w:highlight w:val="none"/>
              </w:rPr>
            </w:pPr>
            <w:r>
              <w:rPr>
                <w:rFonts w:hint="eastAsia" w:ascii="宋体" w:hAnsi="宋体" w:cs="宋体"/>
                <w:b/>
                <w:szCs w:val="21"/>
                <w:highlight w:val="none"/>
              </w:rPr>
              <w:t>项目管理机构能力（</w:t>
            </w:r>
            <w:r>
              <w:rPr>
                <w:rFonts w:hint="eastAsia" w:ascii="宋体" w:hAnsi="宋体" w:cs="宋体"/>
                <w:b/>
                <w:szCs w:val="21"/>
                <w:highlight w:val="none"/>
                <w:lang w:val="en-US" w:eastAsia="zh-CN"/>
              </w:rPr>
              <w:t>70</w:t>
            </w:r>
            <w:r>
              <w:rPr>
                <w:rFonts w:hint="eastAsia" w:ascii="宋体" w:hAnsi="宋体" w:cs="宋体"/>
                <w:b/>
                <w:szCs w:val="21"/>
                <w:highlight w:val="none"/>
              </w:rPr>
              <w:t>分）</w:t>
            </w:r>
          </w:p>
        </w:tc>
      </w:tr>
      <w:tr w14:paraId="48D8B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734" w:type="dxa"/>
            <w:vAlign w:val="center"/>
          </w:tcPr>
          <w:p w14:paraId="07C81ED5">
            <w:pPr>
              <w:spacing w:line="320" w:lineRule="exact"/>
              <w:jc w:val="center"/>
              <w:rPr>
                <w:rFonts w:ascii="宋体" w:hAnsi="宋体" w:cs="宋体"/>
                <w:szCs w:val="21"/>
                <w:highlight w:val="none"/>
              </w:rPr>
            </w:pPr>
            <w:r>
              <w:rPr>
                <w:rFonts w:hint="eastAsia" w:ascii="宋体" w:hAnsi="宋体" w:cs="宋体"/>
                <w:szCs w:val="21"/>
                <w:highlight w:val="none"/>
              </w:rPr>
              <w:t>1.1</w:t>
            </w:r>
          </w:p>
        </w:tc>
        <w:tc>
          <w:tcPr>
            <w:tcW w:w="1278" w:type="dxa"/>
            <w:tcBorders>
              <w:left w:val="single" w:color="auto" w:sz="4" w:space="0"/>
            </w:tcBorders>
            <w:vAlign w:val="center"/>
          </w:tcPr>
          <w:p w14:paraId="3E8A41E0">
            <w:pPr>
              <w:snapToGrid w:val="0"/>
              <w:jc w:val="center"/>
              <w:rPr>
                <w:rFonts w:ascii="宋体" w:hAnsi="宋体" w:eastAsia="宋体" w:cs="宋体"/>
                <w:szCs w:val="21"/>
                <w:highlight w:val="none"/>
                <w:lang w:val="en-US" w:eastAsia="zh-CN"/>
              </w:rPr>
            </w:pPr>
            <w:r>
              <w:rPr>
                <w:rStyle w:val="66"/>
                <w:rFonts w:hint="eastAsia" w:ascii="宋体" w:hAnsi="宋体" w:cs="宋体"/>
                <w:szCs w:val="21"/>
                <w:highlight w:val="none"/>
              </w:rPr>
              <w:t>技术负责人</w:t>
            </w:r>
          </w:p>
        </w:tc>
        <w:tc>
          <w:tcPr>
            <w:tcW w:w="681" w:type="dxa"/>
            <w:tcBorders>
              <w:left w:val="single" w:color="auto" w:sz="4" w:space="0"/>
            </w:tcBorders>
            <w:vAlign w:val="center"/>
          </w:tcPr>
          <w:p w14:paraId="198DDD08">
            <w:pPr>
              <w:adjustRightInd w:val="0"/>
              <w:jc w:val="center"/>
              <w:rPr>
                <w:rFonts w:ascii="宋体" w:hAnsi="宋体" w:cs="宋体"/>
                <w:szCs w:val="21"/>
                <w:highlight w:val="none"/>
              </w:rPr>
            </w:pPr>
            <w:r>
              <w:rPr>
                <w:rFonts w:hint="eastAsia" w:ascii="宋体" w:hAnsi="宋体"/>
                <w:szCs w:val="21"/>
                <w:highlight w:val="none"/>
              </w:rPr>
              <w:t>10</w:t>
            </w:r>
          </w:p>
        </w:tc>
        <w:tc>
          <w:tcPr>
            <w:tcW w:w="11879" w:type="dxa"/>
            <w:tcBorders>
              <w:left w:val="single" w:color="auto" w:sz="4" w:space="0"/>
            </w:tcBorders>
            <w:vAlign w:val="center"/>
          </w:tcPr>
          <w:p w14:paraId="2591106F">
            <w:pPr>
              <w:snapToGrid w:val="0"/>
              <w:jc w:val="left"/>
              <w:rPr>
                <w:rStyle w:val="66"/>
                <w:rFonts w:ascii="宋体" w:hAnsi="宋体" w:cs="宋体"/>
                <w:szCs w:val="21"/>
                <w:highlight w:val="none"/>
              </w:rPr>
            </w:pPr>
            <w:r>
              <w:rPr>
                <w:rStyle w:val="66"/>
                <w:rFonts w:hint="eastAsia" w:ascii="宋体" w:hAnsi="宋体" w:cs="宋体"/>
                <w:szCs w:val="21"/>
                <w:highlight w:val="none"/>
              </w:rPr>
              <w:t>1.从业能力：</w:t>
            </w:r>
            <w:r>
              <w:rPr>
                <w:rStyle w:val="66"/>
                <w:rFonts w:hint="eastAsia" w:ascii="宋体" w:hAnsi="宋体" w:cs="宋体"/>
                <w:szCs w:val="21"/>
                <w:highlight w:val="none"/>
                <w:lang w:eastAsia="zh-CN"/>
              </w:rPr>
              <w:t>具有</w:t>
            </w:r>
            <w:r>
              <w:rPr>
                <w:rStyle w:val="66"/>
                <w:rFonts w:hint="eastAsia" w:ascii="宋体" w:hAnsi="宋体" w:cs="宋体"/>
                <w:szCs w:val="21"/>
                <w:highlight w:val="none"/>
              </w:rPr>
              <w:t>电力或机电或电气相关专业</w:t>
            </w:r>
            <w:r>
              <w:rPr>
                <w:rStyle w:val="66"/>
                <w:rFonts w:hint="eastAsia" w:ascii="宋体" w:hAnsi="宋体" w:cs="宋体"/>
                <w:szCs w:val="21"/>
                <w:highlight w:val="none"/>
                <w:lang w:val="en-US" w:eastAsia="zh-CN"/>
              </w:rPr>
              <w:t>高</w:t>
            </w:r>
            <w:r>
              <w:rPr>
                <w:rStyle w:val="66"/>
                <w:rFonts w:hint="eastAsia" w:ascii="宋体" w:hAnsi="宋体" w:cs="宋体"/>
                <w:szCs w:val="21"/>
                <w:highlight w:val="none"/>
              </w:rPr>
              <w:t>级</w:t>
            </w:r>
            <w:r>
              <w:rPr>
                <w:rStyle w:val="66"/>
                <w:rFonts w:hint="eastAsia" w:ascii="宋体" w:hAnsi="宋体" w:cs="宋体"/>
                <w:szCs w:val="21"/>
                <w:highlight w:val="none"/>
                <w:lang w:val="en-US" w:eastAsia="zh-CN"/>
              </w:rPr>
              <w:t>或</w:t>
            </w:r>
            <w:r>
              <w:rPr>
                <w:rFonts w:hint="eastAsia" w:ascii="宋体" w:hAnsi="宋体"/>
                <w:szCs w:val="21"/>
                <w:highlight w:val="none"/>
              </w:rPr>
              <w:t>以上</w:t>
            </w:r>
            <w:r>
              <w:rPr>
                <w:rFonts w:ascii="宋体" w:hAnsi="宋体"/>
                <w:szCs w:val="21"/>
                <w:highlight w:val="none"/>
              </w:rPr>
              <w:t>技术</w:t>
            </w:r>
            <w:r>
              <w:rPr>
                <w:rStyle w:val="66"/>
                <w:rFonts w:hint="eastAsia" w:ascii="宋体" w:hAnsi="宋体" w:cs="宋体"/>
                <w:szCs w:val="21"/>
                <w:highlight w:val="none"/>
              </w:rPr>
              <w:t>职称</w:t>
            </w:r>
            <w:r>
              <w:rPr>
                <w:rStyle w:val="66"/>
                <w:rFonts w:hint="eastAsia" w:ascii="宋体" w:hAnsi="宋体" w:cs="宋体"/>
                <w:szCs w:val="21"/>
                <w:highlight w:val="none"/>
                <w:lang w:val="en-US" w:eastAsia="zh-CN"/>
              </w:rPr>
              <w:t>得5分。</w:t>
            </w:r>
            <w:r>
              <w:rPr>
                <w:rStyle w:val="66"/>
                <w:rFonts w:hint="eastAsia" w:ascii="宋体" w:hAnsi="宋体" w:cs="宋体"/>
                <w:szCs w:val="21"/>
                <w:highlight w:val="none"/>
              </w:rPr>
              <w:t>不满足上述条件的不得分。</w:t>
            </w:r>
          </w:p>
          <w:p w14:paraId="11578255">
            <w:pPr>
              <w:snapToGrid w:val="0"/>
              <w:jc w:val="left"/>
              <w:rPr>
                <w:rStyle w:val="66"/>
                <w:rFonts w:ascii="宋体" w:hAnsi="宋体" w:cs="宋体"/>
                <w:szCs w:val="21"/>
                <w:highlight w:val="none"/>
              </w:rPr>
            </w:pPr>
            <w:r>
              <w:rPr>
                <w:rStyle w:val="66"/>
                <w:rFonts w:hint="eastAsia" w:ascii="宋体" w:hAnsi="宋体" w:cs="宋体"/>
                <w:szCs w:val="21"/>
                <w:highlight w:val="none"/>
              </w:rPr>
              <w:t>2.人员经历：</w:t>
            </w:r>
            <w:r>
              <w:rPr>
                <w:rStyle w:val="66"/>
                <w:rFonts w:hint="eastAsia" w:ascii="宋体" w:hAnsi="宋体" w:cs="宋体"/>
                <w:szCs w:val="21"/>
                <w:highlight w:val="none"/>
                <w:lang w:val="en-US" w:eastAsia="zh-CN"/>
              </w:rPr>
              <w:t>工作</w:t>
            </w:r>
            <w:r>
              <w:rPr>
                <w:rStyle w:val="66"/>
                <w:rFonts w:hint="eastAsia" w:ascii="宋体" w:hAnsi="宋体" w:cs="宋体"/>
                <w:szCs w:val="21"/>
                <w:highlight w:val="none"/>
              </w:rPr>
              <w:t>年限</w:t>
            </w:r>
            <w:r>
              <w:rPr>
                <w:rStyle w:val="66"/>
                <w:rFonts w:hint="eastAsia" w:ascii="宋体" w:hAnsi="宋体" w:cs="宋体"/>
                <w:szCs w:val="21"/>
                <w:highlight w:val="none"/>
                <w:lang w:val="en-US" w:eastAsia="zh-CN"/>
              </w:rPr>
              <w:t>10</w:t>
            </w:r>
            <w:r>
              <w:rPr>
                <w:rStyle w:val="66"/>
                <w:rFonts w:hint="eastAsia" w:ascii="宋体" w:hAnsi="宋体" w:cs="宋体"/>
                <w:szCs w:val="21"/>
                <w:highlight w:val="none"/>
              </w:rPr>
              <w:t>年或以上的，得5分；</w:t>
            </w:r>
            <w:r>
              <w:rPr>
                <w:rStyle w:val="66"/>
                <w:rFonts w:hint="eastAsia" w:ascii="宋体" w:hAnsi="宋体" w:cs="宋体"/>
                <w:szCs w:val="21"/>
                <w:highlight w:val="none"/>
                <w:lang w:val="en-US" w:eastAsia="zh-CN"/>
              </w:rPr>
              <w:t>5</w:t>
            </w:r>
            <w:r>
              <w:rPr>
                <w:rStyle w:val="66"/>
                <w:rFonts w:hint="eastAsia" w:ascii="宋体" w:hAnsi="宋体" w:cs="宋体"/>
                <w:szCs w:val="21"/>
                <w:highlight w:val="none"/>
              </w:rPr>
              <w:t>年（含）至</w:t>
            </w:r>
            <w:r>
              <w:rPr>
                <w:rStyle w:val="66"/>
                <w:rFonts w:hint="eastAsia" w:ascii="宋体" w:hAnsi="宋体" w:cs="宋体"/>
                <w:szCs w:val="21"/>
                <w:highlight w:val="none"/>
                <w:lang w:val="en-US" w:eastAsia="zh-CN"/>
              </w:rPr>
              <w:t>9</w:t>
            </w:r>
            <w:r>
              <w:rPr>
                <w:rStyle w:val="66"/>
                <w:rFonts w:hint="eastAsia" w:ascii="宋体" w:hAnsi="宋体" w:cs="宋体"/>
                <w:szCs w:val="21"/>
                <w:highlight w:val="none"/>
              </w:rPr>
              <w:t>年（含）的，得2分；不符合上述条件的不得分。</w:t>
            </w:r>
          </w:p>
          <w:p w14:paraId="31960571">
            <w:pPr>
              <w:snapToGrid w:val="0"/>
              <w:jc w:val="left"/>
              <w:rPr>
                <w:rStyle w:val="66"/>
                <w:rFonts w:ascii="宋体" w:hAnsi="宋体" w:cs="宋体"/>
                <w:szCs w:val="21"/>
                <w:highlight w:val="none"/>
              </w:rPr>
            </w:pPr>
            <w:r>
              <w:rPr>
                <w:rStyle w:val="66"/>
                <w:rFonts w:hint="eastAsia" w:ascii="宋体" w:hAnsi="宋体" w:cs="宋体"/>
                <w:szCs w:val="21"/>
                <w:highlight w:val="none"/>
              </w:rPr>
              <w:t>注：①须提供职称证书扫描件，否则不得分。</w:t>
            </w:r>
          </w:p>
          <w:p w14:paraId="67188B53">
            <w:pPr>
              <w:snapToGrid w:val="0"/>
              <w:ind w:firstLine="420" w:firstLineChars="200"/>
              <w:jc w:val="left"/>
              <w:rPr>
                <w:rFonts w:ascii="宋体" w:hAnsi="宋体" w:cs="宋体"/>
                <w:szCs w:val="21"/>
                <w:highlight w:val="none"/>
              </w:rPr>
            </w:pPr>
            <w:r>
              <w:rPr>
                <w:rStyle w:val="66"/>
                <w:rFonts w:hint="eastAsia" w:ascii="宋体" w:hAnsi="宋体" w:cs="宋体"/>
                <w:szCs w:val="21"/>
                <w:highlight w:val="none"/>
              </w:rPr>
              <w:t>②</w:t>
            </w:r>
            <w:r>
              <w:rPr>
                <w:rStyle w:val="66"/>
                <w:rFonts w:hint="eastAsia" w:ascii="宋体" w:hAnsi="宋体" w:cs="宋体"/>
                <w:szCs w:val="21"/>
                <w:highlight w:val="none"/>
                <w:lang w:val="en-US" w:eastAsia="zh-CN"/>
              </w:rPr>
              <w:t>工作</w:t>
            </w:r>
            <w:r>
              <w:rPr>
                <w:rStyle w:val="66"/>
                <w:rFonts w:hint="eastAsia" w:ascii="宋体" w:hAnsi="宋体" w:cs="宋体"/>
                <w:szCs w:val="21"/>
                <w:highlight w:val="none"/>
              </w:rPr>
              <w:t>年限以</w:t>
            </w:r>
            <w:r>
              <w:rPr>
                <w:rStyle w:val="66"/>
                <w:rFonts w:hint="eastAsia" w:ascii="宋体" w:hAnsi="宋体" w:cs="宋体"/>
                <w:szCs w:val="21"/>
                <w:highlight w:val="none"/>
                <w:lang w:val="en-US" w:eastAsia="zh-CN"/>
              </w:rPr>
              <w:t>大专（或以上）学历</w:t>
            </w:r>
            <w:r>
              <w:rPr>
                <w:rStyle w:val="66"/>
                <w:rFonts w:hint="eastAsia" w:ascii="宋体" w:hAnsi="宋体" w:cs="宋体"/>
                <w:szCs w:val="21"/>
                <w:highlight w:val="none"/>
              </w:rPr>
              <w:t>毕业证书</w:t>
            </w:r>
            <w:r>
              <w:rPr>
                <w:rStyle w:val="66"/>
                <w:rFonts w:hint="eastAsia" w:ascii="宋体" w:hAnsi="宋体" w:cs="宋体"/>
                <w:szCs w:val="21"/>
                <w:highlight w:val="none"/>
                <w:lang w:val="en-US" w:eastAsia="zh-CN"/>
              </w:rPr>
              <w:t>发证</w:t>
            </w:r>
            <w:r>
              <w:rPr>
                <w:rStyle w:val="66"/>
                <w:rFonts w:hint="eastAsia" w:ascii="宋体" w:hAnsi="宋体" w:cs="宋体"/>
                <w:szCs w:val="21"/>
                <w:highlight w:val="none"/>
              </w:rPr>
              <w:t>时间起至投标截止时间止为准，须提供毕业证书扫描件，否则不得分。</w:t>
            </w:r>
          </w:p>
        </w:tc>
      </w:tr>
      <w:tr w14:paraId="70EFB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734" w:type="dxa"/>
            <w:vAlign w:val="center"/>
          </w:tcPr>
          <w:p w14:paraId="74B4C760">
            <w:pPr>
              <w:spacing w:line="320" w:lineRule="exact"/>
              <w:jc w:val="center"/>
              <w:rPr>
                <w:rFonts w:ascii="宋体" w:hAnsi="宋体" w:cs="宋体"/>
                <w:szCs w:val="21"/>
                <w:highlight w:val="none"/>
              </w:rPr>
            </w:pPr>
            <w:r>
              <w:rPr>
                <w:rFonts w:hint="eastAsia" w:ascii="宋体" w:hAnsi="宋体" w:cs="宋体"/>
                <w:szCs w:val="21"/>
                <w:highlight w:val="none"/>
              </w:rPr>
              <w:t>1.2</w:t>
            </w:r>
          </w:p>
        </w:tc>
        <w:tc>
          <w:tcPr>
            <w:tcW w:w="1278" w:type="dxa"/>
            <w:tcBorders>
              <w:left w:val="single" w:color="auto" w:sz="4" w:space="0"/>
            </w:tcBorders>
            <w:vAlign w:val="center"/>
          </w:tcPr>
          <w:p w14:paraId="307E33D2">
            <w:pPr>
              <w:snapToGrid w:val="0"/>
              <w:jc w:val="center"/>
              <w:rPr>
                <w:rFonts w:ascii="宋体" w:hAnsi="宋体" w:cs="宋体"/>
                <w:szCs w:val="21"/>
                <w:highlight w:val="none"/>
              </w:rPr>
            </w:pPr>
            <w:r>
              <w:rPr>
                <w:rStyle w:val="66"/>
                <w:rFonts w:hint="eastAsia" w:ascii="宋体" w:hAnsi="宋体" w:cs="宋体"/>
                <w:szCs w:val="21"/>
                <w:highlight w:val="none"/>
              </w:rPr>
              <w:t>质量负责人</w:t>
            </w:r>
          </w:p>
        </w:tc>
        <w:tc>
          <w:tcPr>
            <w:tcW w:w="681" w:type="dxa"/>
            <w:tcBorders>
              <w:left w:val="single" w:color="auto" w:sz="4" w:space="0"/>
            </w:tcBorders>
            <w:vAlign w:val="center"/>
          </w:tcPr>
          <w:p w14:paraId="77395BE2">
            <w:pPr>
              <w:adjustRightInd w:val="0"/>
              <w:jc w:val="center"/>
              <w:rPr>
                <w:rFonts w:ascii="宋体" w:hAnsi="宋体" w:cs="宋体"/>
                <w:szCs w:val="21"/>
                <w:highlight w:val="none"/>
              </w:rPr>
            </w:pPr>
            <w:r>
              <w:rPr>
                <w:rFonts w:hint="eastAsia" w:ascii="宋体" w:hAnsi="宋体"/>
                <w:szCs w:val="21"/>
                <w:highlight w:val="none"/>
              </w:rPr>
              <w:t>10</w:t>
            </w:r>
          </w:p>
        </w:tc>
        <w:tc>
          <w:tcPr>
            <w:tcW w:w="11879" w:type="dxa"/>
            <w:tcBorders>
              <w:left w:val="single" w:color="auto" w:sz="4" w:space="0"/>
            </w:tcBorders>
            <w:vAlign w:val="center"/>
          </w:tcPr>
          <w:p w14:paraId="0144A846">
            <w:pPr>
              <w:snapToGrid w:val="0"/>
              <w:spacing w:after="0"/>
              <w:jc w:val="left"/>
              <w:rPr>
                <w:highlight w:val="none"/>
              </w:rPr>
            </w:pPr>
            <w:r>
              <w:rPr>
                <w:rStyle w:val="66"/>
                <w:rFonts w:hint="eastAsia" w:ascii="宋体" w:hAnsi="宋体" w:cs="宋体"/>
                <w:szCs w:val="21"/>
                <w:highlight w:val="none"/>
              </w:rPr>
              <w:t>1.从业能力：</w:t>
            </w:r>
            <w:r>
              <w:rPr>
                <w:rStyle w:val="66"/>
                <w:rFonts w:hint="eastAsia" w:ascii="宋体" w:hAnsi="宋体" w:cs="宋体"/>
                <w:szCs w:val="21"/>
                <w:highlight w:val="none"/>
                <w:lang w:eastAsia="zh-CN"/>
              </w:rPr>
              <w:t>具有</w:t>
            </w:r>
            <w:r>
              <w:rPr>
                <w:rStyle w:val="66"/>
                <w:rFonts w:hint="eastAsia" w:ascii="宋体" w:hAnsi="宋体" w:cs="宋体"/>
                <w:szCs w:val="21"/>
                <w:highlight w:val="none"/>
              </w:rPr>
              <w:t>电力或机电或电气相关专业</w:t>
            </w:r>
            <w:r>
              <w:rPr>
                <w:rStyle w:val="66"/>
                <w:rFonts w:hint="eastAsia" w:ascii="宋体" w:hAnsi="宋体" w:cs="宋体"/>
                <w:szCs w:val="21"/>
                <w:highlight w:val="none"/>
                <w:lang w:val="en-US" w:eastAsia="zh-CN"/>
              </w:rPr>
              <w:t>高级</w:t>
            </w:r>
            <w:r>
              <w:rPr>
                <w:rStyle w:val="66"/>
                <w:rFonts w:hint="eastAsia" w:ascii="宋体" w:hAnsi="宋体" w:cs="宋体"/>
                <w:szCs w:val="21"/>
                <w:highlight w:val="none"/>
              </w:rPr>
              <w:t>或以上</w:t>
            </w:r>
            <w:r>
              <w:rPr>
                <w:rFonts w:ascii="宋体" w:hAnsi="宋体"/>
                <w:szCs w:val="21"/>
                <w:highlight w:val="none"/>
              </w:rPr>
              <w:t>技术</w:t>
            </w:r>
            <w:r>
              <w:rPr>
                <w:rStyle w:val="66"/>
                <w:rFonts w:hint="eastAsia" w:ascii="宋体" w:hAnsi="宋体" w:cs="宋体"/>
                <w:szCs w:val="21"/>
                <w:highlight w:val="none"/>
              </w:rPr>
              <w:t>职称得5分；</w:t>
            </w:r>
            <w:r>
              <w:rPr>
                <w:rStyle w:val="66"/>
                <w:rFonts w:hint="eastAsia" w:ascii="宋体" w:hAnsi="宋体" w:cs="宋体"/>
                <w:szCs w:val="21"/>
                <w:highlight w:val="none"/>
                <w:lang w:eastAsia="zh-CN"/>
              </w:rPr>
              <w:t>具有</w:t>
            </w:r>
            <w:r>
              <w:rPr>
                <w:rStyle w:val="66"/>
                <w:rFonts w:hint="eastAsia" w:ascii="宋体" w:hAnsi="宋体" w:cs="宋体"/>
                <w:szCs w:val="21"/>
                <w:highlight w:val="none"/>
              </w:rPr>
              <w:t>电力或机电或电气相关专业</w:t>
            </w:r>
            <w:r>
              <w:rPr>
                <w:rStyle w:val="66"/>
                <w:rFonts w:hint="eastAsia" w:ascii="宋体" w:hAnsi="宋体" w:cs="宋体"/>
                <w:szCs w:val="21"/>
                <w:highlight w:val="none"/>
                <w:lang w:val="en-US" w:eastAsia="zh-CN"/>
              </w:rPr>
              <w:t>中级</w:t>
            </w:r>
            <w:r>
              <w:rPr>
                <w:rStyle w:val="66"/>
                <w:rFonts w:ascii="宋体" w:hAnsi="宋体" w:cs="宋体"/>
                <w:szCs w:val="21"/>
                <w:highlight w:val="none"/>
              </w:rPr>
              <w:t>技术</w:t>
            </w:r>
            <w:r>
              <w:rPr>
                <w:rStyle w:val="66"/>
                <w:rFonts w:hint="eastAsia" w:ascii="宋体" w:hAnsi="宋体" w:cs="宋体"/>
                <w:szCs w:val="21"/>
                <w:highlight w:val="none"/>
              </w:rPr>
              <w:t>职称得2分；不满足上述条件的不得分。</w:t>
            </w:r>
          </w:p>
          <w:p w14:paraId="129F9BFC">
            <w:pPr>
              <w:snapToGrid w:val="0"/>
              <w:jc w:val="left"/>
              <w:rPr>
                <w:rStyle w:val="66"/>
                <w:rFonts w:ascii="宋体" w:hAnsi="宋体" w:cs="宋体"/>
                <w:szCs w:val="21"/>
                <w:highlight w:val="none"/>
              </w:rPr>
            </w:pPr>
            <w:r>
              <w:rPr>
                <w:rStyle w:val="66"/>
                <w:rFonts w:hint="eastAsia" w:ascii="宋体" w:hAnsi="宋体" w:cs="宋体"/>
                <w:szCs w:val="21"/>
                <w:highlight w:val="none"/>
              </w:rPr>
              <w:t>2.人员经历：</w:t>
            </w:r>
            <w:r>
              <w:rPr>
                <w:rStyle w:val="66"/>
                <w:rFonts w:hint="eastAsia" w:ascii="宋体" w:hAnsi="宋体" w:cs="宋体"/>
                <w:szCs w:val="21"/>
                <w:highlight w:val="none"/>
                <w:lang w:val="en-US" w:eastAsia="zh-CN"/>
              </w:rPr>
              <w:t>工作</w:t>
            </w:r>
            <w:r>
              <w:rPr>
                <w:rStyle w:val="66"/>
                <w:rFonts w:hint="eastAsia" w:ascii="宋体" w:hAnsi="宋体" w:cs="宋体"/>
                <w:szCs w:val="21"/>
                <w:highlight w:val="none"/>
              </w:rPr>
              <w:t>年限</w:t>
            </w:r>
            <w:r>
              <w:rPr>
                <w:rStyle w:val="66"/>
                <w:rFonts w:hint="eastAsia" w:ascii="宋体" w:hAnsi="宋体" w:cs="宋体"/>
                <w:szCs w:val="21"/>
                <w:highlight w:val="none"/>
                <w:lang w:val="en-US" w:eastAsia="zh-CN"/>
              </w:rPr>
              <w:t>10</w:t>
            </w:r>
            <w:r>
              <w:rPr>
                <w:rStyle w:val="66"/>
                <w:rFonts w:hint="eastAsia" w:ascii="宋体" w:hAnsi="宋体" w:cs="宋体"/>
                <w:szCs w:val="21"/>
                <w:highlight w:val="none"/>
              </w:rPr>
              <w:t>年或以上的，得5分；</w:t>
            </w:r>
            <w:r>
              <w:rPr>
                <w:rStyle w:val="66"/>
                <w:rFonts w:hint="eastAsia" w:ascii="宋体" w:hAnsi="宋体" w:cs="宋体"/>
                <w:szCs w:val="21"/>
                <w:highlight w:val="none"/>
                <w:lang w:val="en-US" w:eastAsia="zh-CN"/>
              </w:rPr>
              <w:t>5</w:t>
            </w:r>
            <w:r>
              <w:rPr>
                <w:rStyle w:val="66"/>
                <w:rFonts w:hint="eastAsia" w:ascii="宋体" w:hAnsi="宋体" w:cs="宋体"/>
                <w:szCs w:val="21"/>
                <w:highlight w:val="none"/>
              </w:rPr>
              <w:t>年（含）至</w:t>
            </w:r>
            <w:r>
              <w:rPr>
                <w:rStyle w:val="66"/>
                <w:rFonts w:hint="eastAsia" w:ascii="宋体" w:hAnsi="宋体" w:cs="宋体"/>
                <w:szCs w:val="21"/>
                <w:highlight w:val="none"/>
                <w:lang w:val="en-US" w:eastAsia="zh-CN"/>
              </w:rPr>
              <w:t>9</w:t>
            </w:r>
            <w:r>
              <w:rPr>
                <w:rStyle w:val="66"/>
                <w:rFonts w:hint="eastAsia" w:ascii="宋体" w:hAnsi="宋体" w:cs="宋体"/>
                <w:szCs w:val="21"/>
                <w:highlight w:val="none"/>
              </w:rPr>
              <w:t>年（含）的，得2分；不符合上述条件的不得分。</w:t>
            </w:r>
          </w:p>
          <w:p w14:paraId="2E8FEC32">
            <w:pPr>
              <w:snapToGrid w:val="0"/>
              <w:jc w:val="left"/>
              <w:rPr>
                <w:rStyle w:val="66"/>
                <w:rFonts w:hint="eastAsia" w:ascii="宋体" w:hAnsi="宋体" w:cs="宋体"/>
                <w:szCs w:val="21"/>
                <w:highlight w:val="none"/>
              </w:rPr>
            </w:pPr>
            <w:r>
              <w:rPr>
                <w:rStyle w:val="66"/>
                <w:rFonts w:hint="eastAsia" w:ascii="宋体" w:hAnsi="宋体" w:cs="宋体"/>
                <w:szCs w:val="21"/>
                <w:highlight w:val="none"/>
              </w:rPr>
              <w:t>注：①须提供职称证书扫描件，否则不得分。</w:t>
            </w:r>
          </w:p>
          <w:p w14:paraId="7E19C015">
            <w:pPr>
              <w:snapToGrid w:val="0"/>
              <w:ind w:firstLine="420" w:firstLineChars="200"/>
              <w:jc w:val="left"/>
              <w:rPr>
                <w:rFonts w:ascii="宋体" w:hAnsi="宋体" w:cs="宋体"/>
                <w:szCs w:val="21"/>
                <w:highlight w:val="none"/>
              </w:rPr>
            </w:pPr>
            <w:r>
              <w:rPr>
                <w:rStyle w:val="66"/>
                <w:rFonts w:hint="eastAsia" w:ascii="宋体" w:hAnsi="宋体" w:cs="宋体"/>
                <w:szCs w:val="21"/>
                <w:highlight w:val="none"/>
              </w:rPr>
              <w:t>②工作年限以</w:t>
            </w:r>
            <w:r>
              <w:rPr>
                <w:rStyle w:val="66"/>
                <w:rFonts w:hint="eastAsia" w:ascii="宋体" w:hAnsi="宋体" w:cs="宋体"/>
                <w:szCs w:val="21"/>
                <w:highlight w:val="none"/>
                <w:lang w:val="en-US" w:eastAsia="zh-CN"/>
              </w:rPr>
              <w:t>大专（或以上）学历</w:t>
            </w:r>
            <w:r>
              <w:rPr>
                <w:rStyle w:val="66"/>
                <w:rFonts w:hint="eastAsia" w:ascii="宋体" w:hAnsi="宋体" w:cs="宋体"/>
                <w:szCs w:val="21"/>
                <w:highlight w:val="none"/>
              </w:rPr>
              <w:t>毕业证书</w:t>
            </w:r>
            <w:r>
              <w:rPr>
                <w:rStyle w:val="66"/>
                <w:rFonts w:hint="eastAsia" w:ascii="宋体" w:hAnsi="宋体" w:cs="宋体"/>
                <w:szCs w:val="21"/>
                <w:highlight w:val="none"/>
                <w:lang w:val="en-US" w:eastAsia="zh-CN"/>
              </w:rPr>
              <w:t>发证</w:t>
            </w:r>
            <w:r>
              <w:rPr>
                <w:rStyle w:val="66"/>
                <w:rFonts w:hint="eastAsia" w:ascii="宋体" w:hAnsi="宋体" w:cs="宋体"/>
                <w:szCs w:val="21"/>
                <w:highlight w:val="none"/>
              </w:rPr>
              <w:t>时间起至投标截止时间止为准，须提供毕业证书扫描件，否则不得分。</w:t>
            </w:r>
          </w:p>
        </w:tc>
      </w:tr>
      <w:tr w14:paraId="78512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734" w:type="dxa"/>
            <w:vAlign w:val="center"/>
          </w:tcPr>
          <w:p w14:paraId="2755D131">
            <w:pPr>
              <w:spacing w:line="320" w:lineRule="exact"/>
              <w:jc w:val="center"/>
              <w:rPr>
                <w:rFonts w:ascii="宋体" w:hAnsi="宋体" w:cs="宋体"/>
                <w:szCs w:val="21"/>
                <w:highlight w:val="none"/>
              </w:rPr>
            </w:pPr>
            <w:r>
              <w:rPr>
                <w:rFonts w:hint="eastAsia" w:ascii="宋体" w:hAnsi="宋体" w:cs="宋体"/>
                <w:szCs w:val="21"/>
                <w:highlight w:val="none"/>
              </w:rPr>
              <w:t>1.3</w:t>
            </w:r>
          </w:p>
        </w:tc>
        <w:tc>
          <w:tcPr>
            <w:tcW w:w="1278" w:type="dxa"/>
            <w:tcBorders>
              <w:left w:val="single" w:color="auto" w:sz="4" w:space="0"/>
            </w:tcBorders>
            <w:vAlign w:val="center"/>
          </w:tcPr>
          <w:p w14:paraId="7D102B15">
            <w:pPr>
              <w:snapToGrid w:val="0"/>
              <w:jc w:val="center"/>
              <w:rPr>
                <w:rFonts w:ascii="宋体" w:hAnsi="宋体" w:cs="宋体"/>
                <w:szCs w:val="21"/>
                <w:highlight w:val="none"/>
              </w:rPr>
            </w:pPr>
            <w:r>
              <w:rPr>
                <w:rStyle w:val="66"/>
                <w:rFonts w:hint="eastAsia" w:ascii="宋体" w:hAnsi="宋体" w:cs="宋体"/>
                <w:szCs w:val="21"/>
                <w:highlight w:val="none"/>
              </w:rPr>
              <w:t>安全负责人</w:t>
            </w:r>
          </w:p>
        </w:tc>
        <w:tc>
          <w:tcPr>
            <w:tcW w:w="681" w:type="dxa"/>
            <w:tcBorders>
              <w:left w:val="single" w:color="auto" w:sz="4" w:space="0"/>
            </w:tcBorders>
            <w:vAlign w:val="center"/>
          </w:tcPr>
          <w:p w14:paraId="252459A5">
            <w:pPr>
              <w:adjustRightInd w:val="0"/>
              <w:jc w:val="center"/>
              <w:rPr>
                <w:rFonts w:ascii="宋体" w:hAnsi="宋体" w:cs="宋体"/>
                <w:szCs w:val="21"/>
                <w:highlight w:val="none"/>
              </w:rPr>
            </w:pPr>
            <w:r>
              <w:rPr>
                <w:rFonts w:hint="eastAsia" w:ascii="宋体" w:hAnsi="宋体"/>
                <w:szCs w:val="21"/>
                <w:highlight w:val="none"/>
              </w:rPr>
              <w:t>10</w:t>
            </w:r>
          </w:p>
        </w:tc>
        <w:tc>
          <w:tcPr>
            <w:tcW w:w="11879" w:type="dxa"/>
            <w:tcBorders>
              <w:left w:val="single" w:color="auto" w:sz="4" w:space="0"/>
            </w:tcBorders>
            <w:vAlign w:val="center"/>
          </w:tcPr>
          <w:p w14:paraId="6BAF9E7B">
            <w:pPr>
              <w:snapToGrid w:val="0"/>
              <w:jc w:val="left"/>
              <w:rPr>
                <w:rStyle w:val="66"/>
                <w:rFonts w:ascii="宋体" w:hAnsi="宋体" w:cs="宋体"/>
                <w:szCs w:val="21"/>
                <w:highlight w:val="none"/>
              </w:rPr>
            </w:pPr>
            <w:r>
              <w:rPr>
                <w:rStyle w:val="66"/>
                <w:rFonts w:hint="eastAsia" w:ascii="宋体" w:hAnsi="宋体" w:cs="宋体"/>
                <w:szCs w:val="21"/>
                <w:highlight w:val="none"/>
              </w:rPr>
              <w:t>1.从业能力：</w:t>
            </w:r>
            <w:r>
              <w:rPr>
                <w:rStyle w:val="66"/>
                <w:rFonts w:ascii="宋体" w:hAnsi="宋体" w:cs="宋体"/>
                <w:szCs w:val="21"/>
                <w:highlight w:val="none"/>
              </w:rPr>
              <w:t>（1）</w:t>
            </w:r>
            <w:r>
              <w:rPr>
                <w:rStyle w:val="66"/>
                <w:rFonts w:hint="eastAsia" w:ascii="宋体" w:hAnsi="宋体" w:cs="宋体"/>
                <w:szCs w:val="21"/>
                <w:highlight w:val="none"/>
                <w:lang w:eastAsia="zh-CN"/>
              </w:rPr>
              <w:t>具有</w:t>
            </w:r>
            <w:r>
              <w:rPr>
                <w:rFonts w:hint="eastAsia" w:ascii="宋体" w:hAnsi="宋体" w:cs="宋体"/>
                <w:szCs w:val="21"/>
                <w:highlight w:val="none"/>
              </w:rPr>
              <w:t>电力或机电或电气</w:t>
            </w:r>
            <w:r>
              <w:rPr>
                <w:rStyle w:val="66"/>
                <w:rFonts w:hint="eastAsia" w:ascii="宋体" w:hAnsi="宋体" w:cs="宋体"/>
                <w:szCs w:val="21"/>
                <w:highlight w:val="none"/>
              </w:rPr>
              <w:t>相关专业</w:t>
            </w:r>
            <w:r>
              <w:rPr>
                <w:rStyle w:val="66"/>
                <w:rFonts w:hint="eastAsia" w:ascii="宋体" w:hAnsi="宋体" w:cs="宋体"/>
                <w:szCs w:val="21"/>
                <w:highlight w:val="none"/>
                <w:lang w:val="en-US" w:eastAsia="zh-CN"/>
              </w:rPr>
              <w:t>高</w:t>
            </w:r>
            <w:r>
              <w:rPr>
                <w:rStyle w:val="66"/>
                <w:rFonts w:hint="eastAsia" w:ascii="宋体" w:hAnsi="宋体" w:cs="宋体"/>
                <w:szCs w:val="21"/>
                <w:highlight w:val="none"/>
              </w:rPr>
              <w:t>级或以上</w:t>
            </w:r>
            <w:r>
              <w:rPr>
                <w:rFonts w:ascii="宋体" w:hAnsi="宋体"/>
                <w:szCs w:val="21"/>
                <w:highlight w:val="none"/>
              </w:rPr>
              <w:t>技术</w:t>
            </w:r>
            <w:r>
              <w:rPr>
                <w:rStyle w:val="66"/>
                <w:rFonts w:hint="eastAsia" w:ascii="宋体" w:hAnsi="宋体" w:cs="宋体"/>
                <w:szCs w:val="21"/>
                <w:highlight w:val="none"/>
              </w:rPr>
              <w:t>职称的</w:t>
            </w:r>
            <w:r>
              <w:rPr>
                <w:rStyle w:val="66"/>
                <w:rFonts w:hint="eastAsia" w:ascii="宋体" w:hAnsi="宋体" w:cs="宋体"/>
                <w:szCs w:val="21"/>
                <w:highlight w:val="none"/>
                <w:lang w:val="en-US" w:eastAsia="zh-CN"/>
              </w:rPr>
              <w:t>，</w:t>
            </w:r>
            <w:r>
              <w:rPr>
                <w:rStyle w:val="66"/>
                <w:rFonts w:hint="eastAsia" w:ascii="宋体" w:hAnsi="宋体" w:cs="宋体"/>
                <w:szCs w:val="21"/>
                <w:highlight w:val="none"/>
              </w:rPr>
              <w:t>得</w:t>
            </w:r>
            <w:r>
              <w:rPr>
                <w:rStyle w:val="66"/>
                <w:rFonts w:hint="eastAsia" w:ascii="宋体" w:hAnsi="宋体" w:cs="宋体"/>
                <w:szCs w:val="21"/>
                <w:highlight w:val="none"/>
                <w:lang w:eastAsia="zh-CN"/>
              </w:rPr>
              <w:t>3</w:t>
            </w:r>
            <w:r>
              <w:rPr>
                <w:rStyle w:val="66"/>
                <w:rFonts w:hint="eastAsia" w:ascii="宋体" w:hAnsi="宋体" w:cs="宋体"/>
                <w:szCs w:val="21"/>
                <w:highlight w:val="none"/>
              </w:rPr>
              <w:t>分</w:t>
            </w:r>
            <w:r>
              <w:rPr>
                <w:rStyle w:val="66"/>
                <w:rFonts w:hint="eastAsia" w:ascii="宋体" w:hAnsi="宋体" w:cs="宋体"/>
                <w:szCs w:val="21"/>
                <w:highlight w:val="none"/>
                <w:lang w:eastAsia="zh-CN"/>
              </w:rPr>
              <w:t>；具有</w:t>
            </w:r>
            <w:r>
              <w:rPr>
                <w:rFonts w:hint="eastAsia" w:ascii="宋体" w:hAnsi="宋体" w:cs="宋体"/>
                <w:szCs w:val="21"/>
                <w:highlight w:val="none"/>
              </w:rPr>
              <w:t>电力或机电或电气</w:t>
            </w:r>
            <w:r>
              <w:rPr>
                <w:rStyle w:val="66"/>
                <w:rFonts w:hint="eastAsia" w:ascii="宋体" w:hAnsi="宋体" w:cs="宋体"/>
                <w:szCs w:val="21"/>
                <w:highlight w:val="none"/>
              </w:rPr>
              <w:t>相关专业</w:t>
            </w:r>
            <w:r>
              <w:rPr>
                <w:rStyle w:val="66"/>
                <w:rFonts w:hint="eastAsia" w:ascii="宋体" w:hAnsi="宋体" w:cs="宋体"/>
                <w:szCs w:val="21"/>
                <w:highlight w:val="none"/>
                <w:lang w:val="en-US" w:eastAsia="zh-CN"/>
              </w:rPr>
              <w:t>中</w:t>
            </w:r>
            <w:r>
              <w:rPr>
                <w:rStyle w:val="66"/>
                <w:rFonts w:hint="eastAsia" w:ascii="宋体" w:hAnsi="宋体" w:cs="宋体"/>
                <w:szCs w:val="21"/>
                <w:highlight w:val="none"/>
              </w:rPr>
              <w:t>级</w:t>
            </w:r>
            <w:r>
              <w:rPr>
                <w:rStyle w:val="66"/>
                <w:rFonts w:ascii="宋体" w:hAnsi="宋体" w:cs="宋体"/>
                <w:szCs w:val="21"/>
                <w:highlight w:val="none"/>
              </w:rPr>
              <w:t>技术</w:t>
            </w:r>
            <w:r>
              <w:rPr>
                <w:rStyle w:val="66"/>
                <w:rFonts w:hint="eastAsia" w:ascii="宋体" w:hAnsi="宋体" w:cs="宋体"/>
                <w:szCs w:val="21"/>
                <w:highlight w:val="none"/>
              </w:rPr>
              <w:t>职称的，得</w:t>
            </w:r>
            <w:r>
              <w:rPr>
                <w:rStyle w:val="66"/>
                <w:rFonts w:hint="eastAsia" w:ascii="宋体" w:hAnsi="宋体" w:cs="宋体"/>
                <w:szCs w:val="21"/>
                <w:highlight w:val="none"/>
                <w:lang w:eastAsia="zh-CN"/>
              </w:rPr>
              <w:t>1</w:t>
            </w:r>
            <w:r>
              <w:rPr>
                <w:rStyle w:val="66"/>
                <w:rFonts w:hint="eastAsia" w:ascii="宋体" w:hAnsi="宋体" w:cs="宋体"/>
                <w:szCs w:val="21"/>
                <w:highlight w:val="none"/>
              </w:rPr>
              <w:t>分；不满足上述条件的不得分。</w:t>
            </w:r>
          </w:p>
          <w:p w14:paraId="653FC744">
            <w:pPr>
              <w:snapToGrid w:val="0"/>
              <w:jc w:val="left"/>
              <w:rPr>
                <w:rStyle w:val="66"/>
                <w:rFonts w:ascii="宋体" w:hAnsi="宋体" w:cs="宋体"/>
                <w:szCs w:val="21"/>
                <w:highlight w:val="none"/>
              </w:rPr>
            </w:pPr>
            <w:r>
              <w:rPr>
                <w:rStyle w:val="66"/>
                <w:rFonts w:ascii="宋体" w:hAnsi="宋体" w:cs="宋体"/>
                <w:szCs w:val="21"/>
                <w:highlight w:val="none"/>
              </w:rPr>
              <w:t>（2）</w:t>
            </w:r>
            <w:r>
              <w:rPr>
                <w:rStyle w:val="66"/>
                <w:rFonts w:hint="eastAsia" w:ascii="宋体" w:hAnsi="宋体" w:cs="宋体"/>
                <w:szCs w:val="21"/>
                <w:highlight w:val="none"/>
                <w:lang w:val="en-US" w:eastAsia="zh-CN"/>
              </w:rPr>
              <w:t>具备注册安全工程师执业资格的，</w:t>
            </w:r>
            <w:r>
              <w:rPr>
                <w:rStyle w:val="66"/>
                <w:rFonts w:hint="eastAsia" w:ascii="宋体" w:hAnsi="宋体" w:cs="宋体"/>
                <w:szCs w:val="21"/>
                <w:highlight w:val="none"/>
              </w:rPr>
              <w:t>得</w:t>
            </w:r>
            <w:r>
              <w:rPr>
                <w:rStyle w:val="66"/>
                <w:rFonts w:hint="eastAsia" w:ascii="宋体" w:hAnsi="宋体" w:cs="宋体"/>
                <w:szCs w:val="21"/>
                <w:highlight w:val="none"/>
                <w:lang w:eastAsia="zh-CN"/>
              </w:rPr>
              <w:t>2</w:t>
            </w:r>
            <w:r>
              <w:rPr>
                <w:rStyle w:val="66"/>
                <w:rFonts w:hint="eastAsia" w:ascii="宋体" w:hAnsi="宋体" w:cs="宋体"/>
                <w:szCs w:val="21"/>
                <w:highlight w:val="none"/>
              </w:rPr>
              <w:t>分</w:t>
            </w:r>
            <w:r>
              <w:rPr>
                <w:rStyle w:val="66"/>
                <w:rFonts w:ascii="宋体" w:hAnsi="宋体" w:cs="宋体"/>
                <w:szCs w:val="21"/>
                <w:highlight w:val="none"/>
              </w:rPr>
              <w:t>；没有不得分</w:t>
            </w:r>
          </w:p>
          <w:p w14:paraId="6FE70556">
            <w:pPr>
              <w:snapToGrid w:val="0"/>
              <w:jc w:val="left"/>
              <w:rPr>
                <w:rStyle w:val="66"/>
                <w:rFonts w:ascii="宋体" w:hAnsi="宋体" w:cs="宋体"/>
                <w:szCs w:val="21"/>
                <w:highlight w:val="none"/>
              </w:rPr>
            </w:pPr>
            <w:r>
              <w:rPr>
                <w:rStyle w:val="66"/>
                <w:rFonts w:hint="eastAsia" w:ascii="宋体" w:hAnsi="宋体" w:cs="宋体"/>
                <w:szCs w:val="21"/>
                <w:highlight w:val="none"/>
              </w:rPr>
              <w:t>2.人员经历：</w:t>
            </w:r>
            <w:r>
              <w:rPr>
                <w:rStyle w:val="66"/>
                <w:rFonts w:ascii="宋体" w:hAnsi="宋体" w:cs="宋体"/>
                <w:szCs w:val="21"/>
                <w:highlight w:val="none"/>
              </w:rPr>
              <w:t>具备</w:t>
            </w:r>
            <w:r>
              <w:rPr>
                <w:rStyle w:val="66"/>
                <w:rFonts w:hint="eastAsia" w:ascii="宋体" w:hAnsi="宋体" w:cs="宋体"/>
                <w:szCs w:val="21"/>
                <w:highlight w:val="none"/>
                <w:lang w:val="en-US" w:eastAsia="zh-CN"/>
              </w:rPr>
              <w:t>注册安全工程师执业资格</w:t>
            </w:r>
            <w:r>
              <w:rPr>
                <w:rStyle w:val="66"/>
                <w:rFonts w:hint="eastAsia" w:ascii="宋体" w:hAnsi="宋体" w:cs="宋体"/>
                <w:szCs w:val="21"/>
                <w:highlight w:val="none"/>
              </w:rPr>
              <w:t>年限</w:t>
            </w:r>
            <w:r>
              <w:rPr>
                <w:rStyle w:val="66"/>
                <w:rFonts w:hint="eastAsia" w:ascii="宋体" w:hAnsi="宋体" w:cs="宋体"/>
                <w:szCs w:val="21"/>
                <w:highlight w:val="none"/>
                <w:lang w:val="en-US" w:eastAsia="zh-CN"/>
              </w:rPr>
              <w:t>10</w:t>
            </w:r>
            <w:r>
              <w:rPr>
                <w:rStyle w:val="66"/>
                <w:rFonts w:hint="eastAsia" w:ascii="宋体" w:hAnsi="宋体" w:cs="宋体"/>
                <w:szCs w:val="21"/>
                <w:highlight w:val="none"/>
              </w:rPr>
              <w:t>年或以上的，得5分；</w:t>
            </w:r>
            <w:r>
              <w:rPr>
                <w:rStyle w:val="66"/>
                <w:rFonts w:ascii="宋体" w:hAnsi="宋体" w:cs="宋体"/>
                <w:szCs w:val="21"/>
                <w:highlight w:val="none"/>
              </w:rPr>
              <w:t>具备</w:t>
            </w:r>
            <w:r>
              <w:rPr>
                <w:rStyle w:val="66"/>
                <w:rFonts w:hint="eastAsia" w:ascii="宋体" w:hAnsi="宋体" w:cs="宋体"/>
                <w:szCs w:val="21"/>
                <w:highlight w:val="none"/>
                <w:lang w:val="en-US" w:eastAsia="zh-CN"/>
              </w:rPr>
              <w:t>注册安全工程师执业资格5</w:t>
            </w:r>
            <w:r>
              <w:rPr>
                <w:rStyle w:val="66"/>
                <w:rFonts w:hint="eastAsia" w:ascii="宋体" w:hAnsi="宋体" w:cs="宋体"/>
                <w:szCs w:val="21"/>
                <w:highlight w:val="none"/>
              </w:rPr>
              <w:t>年（含）至</w:t>
            </w:r>
            <w:r>
              <w:rPr>
                <w:rStyle w:val="66"/>
                <w:rFonts w:hint="eastAsia" w:ascii="宋体" w:hAnsi="宋体" w:cs="宋体"/>
                <w:szCs w:val="21"/>
                <w:highlight w:val="none"/>
                <w:lang w:val="en-US" w:eastAsia="zh-CN"/>
              </w:rPr>
              <w:t>9</w:t>
            </w:r>
            <w:r>
              <w:rPr>
                <w:rStyle w:val="66"/>
                <w:rFonts w:hint="eastAsia" w:ascii="宋体" w:hAnsi="宋体" w:cs="宋体"/>
                <w:szCs w:val="21"/>
                <w:highlight w:val="none"/>
              </w:rPr>
              <w:t>年（含）的，得2分；不符合上述条件的不得分。</w:t>
            </w:r>
          </w:p>
          <w:p w14:paraId="7343FB0B">
            <w:pPr>
              <w:snapToGrid w:val="0"/>
              <w:ind w:firstLine="0"/>
              <w:jc w:val="left"/>
              <w:rPr>
                <w:rStyle w:val="66"/>
                <w:rFonts w:hint="eastAsia" w:ascii="宋体" w:hAnsi="宋体" w:cs="宋体"/>
                <w:szCs w:val="21"/>
                <w:highlight w:val="none"/>
              </w:rPr>
            </w:pPr>
            <w:r>
              <w:rPr>
                <w:rStyle w:val="66"/>
                <w:rFonts w:hint="eastAsia" w:ascii="宋体" w:hAnsi="宋体" w:cs="宋体"/>
                <w:szCs w:val="21"/>
                <w:highlight w:val="none"/>
              </w:rPr>
              <w:t>注：①须提供职称证书扫描件，否则不得分。</w:t>
            </w:r>
          </w:p>
          <w:p w14:paraId="2976DAA4">
            <w:pPr>
              <w:snapToGrid w:val="0"/>
              <w:ind w:firstLine="420" w:firstLineChars="200"/>
              <w:jc w:val="left"/>
              <w:rPr>
                <w:rStyle w:val="66"/>
                <w:rFonts w:ascii="宋体" w:hAnsi="宋体" w:eastAsia="宋体" w:cs="宋体"/>
                <w:szCs w:val="21"/>
                <w:highlight w:val="none"/>
                <w:lang w:val="en-US" w:eastAsia="zh-CN"/>
              </w:rPr>
            </w:pPr>
            <w:r>
              <w:rPr>
                <w:rStyle w:val="66"/>
                <w:rFonts w:hint="eastAsia" w:ascii="宋体" w:hAnsi="宋体" w:cs="宋体"/>
                <w:szCs w:val="21"/>
                <w:highlight w:val="none"/>
              </w:rPr>
              <w:t>②</w:t>
            </w:r>
            <w:r>
              <w:rPr>
                <w:rStyle w:val="66"/>
                <w:rFonts w:hint="eastAsia" w:ascii="宋体" w:hAnsi="宋体" w:cs="宋体"/>
                <w:szCs w:val="21"/>
                <w:highlight w:val="none"/>
                <w:lang w:val="en-US" w:eastAsia="zh-CN"/>
              </w:rPr>
              <w:t>安全负责人与专职安全员不能为同一人。</w:t>
            </w:r>
          </w:p>
          <w:p w14:paraId="55F78E2E">
            <w:pPr>
              <w:snapToGrid w:val="0"/>
              <w:ind w:firstLine="420" w:firstLineChars="200"/>
              <w:jc w:val="left"/>
              <w:rPr>
                <w:rFonts w:ascii="宋体" w:hAnsi="宋体" w:cs="宋体"/>
                <w:highlight w:val="none"/>
              </w:rPr>
            </w:pPr>
            <w:r>
              <w:rPr>
                <w:rStyle w:val="66"/>
                <w:rFonts w:hint="eastAsia" w:ascii="宋体" w:hAnsi="宋体" w:cs="宋体"/>
                <w:szCs w:val="21"/>
                <w:highlight w:val="none"/>
                <w:lang w:val="en-US" w:eastAsia="zh-CN"/>
              </w:rPr>
              <w:t>③执业资格</w:t>
            </w:r>
            <w:r>
              <w:rPr>
                <w:rStyle w:val="66"/>
                <w:rFonts w:ascii="宋体" w:hAnsi="宋体" w:cs="宋体"/>
                <w:szCs w:val="21"/>
                <w:highlight w:val="none"/>
                <w:lang w:val="en-US" w:eastAsia="zh-CN"/>
              </w:rPr>
              <w:t>：</w:t>
            </w:r>
            <w:r>
              <w:rPr>
                <w:rStyle w:val="66"/>
                <w:rFonts w:hint="eastAsia" w:ascii="宋体" w:hAnsi="宋体" w:cs="宋体"/>
                <w:szCs w:val="21"/>
                <w:highlight w:val="none"/>
                <w:lang w:val="en-US" w:eastAsia="zh-CN"/>
              </w:rPr>
              <w:t>执业</w:t>
            </w:r>
            <w:r>
              <w:rPr>
                <w:rStyle w:val="66"/>
                <w:rFonts w:hint="eastAsia" w:ascii="宋体" w:hAnsi="宋体" w:cs="宋体"/>
                <w:szCs w:val="21"/>
                <w:highlight w:val="none"/>
              </w:rPr>
              <w:t>年限以</w:t>
            </w:r>
            <w:r>
              <w:rPr>
                <w:rStyle w:val="66"/>
                <w:rFonts w:hint="eastAsia" w:ascii="宋体" w:hAnsi="宋体" w:cs="宋体"/>
                <w:szCs w:val="21"/>
                <w:highlight w:val="none"/>
                <w:lang w:val="en-US" w:eastAsia="zh-CN"/>
              </w:rPr>
              <w:t>执业资格证书</w:t>
            </w:r>
            <w:r>
              <w:rPr>
                <w:rStyle w:val="66"/>
                <w:rFonts w:ascii="宋体" w:hAnsi="宋体" w:cs="宋体"/>
                <w:szCs w:val="21"/>
                <w:highlight w:val="none"/>
                <w:lang w:val="en-US" w:eastAsia="zh-CN"/>
              </w:rPr>
              <w:t>批准</w:t>
            </w:r>
            <w:r>
              <w:rPr>
                <w:rStyle w:val="66"/>
                <w:rFonts w:hint="eastAsia" w:ascii="宋体" w:hAnsi="宋体" w:cs="宋体"/>
                <w:szCs w:val="21"/>
                <w:highlight w:val="none"/>
              </w:rPr>
              <w:t>时间起至投标截止时间止为准，须</w:t>
            </w:r>
            <w:r>
              <w:rPr>
                <w:rStyle w:val="66"/>
                <w:rFonts w:ascii="宋体" w:hAnsi="宋体" w:cs="宋体"/>
                <w:szCs w:val="21"/>
                <w:highlight w:val="none"/>
              </w:rPr>
              <w:t>同时</w:t>
            </w:r>
            <w:r>
              <w:rPr>
                <w:rStyle w:val="66"/>
                <w:rFonts w:hint="eastAsia" w:ascii="宋体" w:hAnsi="宋体" w:cs="宋体"/>
                <w:szCs w:val="21"/>
                <w:highlight w:val="none"/>
              </w:rPr>
              <w:t>提供</w:t>
            </w:r>
            <w:r>
              <w:rPr>
                <w:rStyle w:val="66"/>
                <w:rFonts w:hint="eastAsia" w:ascii="宋体" w:hAnsi="宋体" w:cs="宋体"/>
                <w:szCs w:val="21"/>
                <w:highlight w:val="none"/>
                <w:lang w:val="en-US" w:eastAsia="zh-CN"/>
              </w:rPr>
              <w:t>执业资格证书、注册证书（有效期内）</w:t>
            </w:r>
            <w:r>
              <w:rPr>
                <w:rStyle w:val="66"/>
                <w:rFonts w:hint="eastAsia" w:ascii="宋体" w:hAnsi="宋体" w:cs="宋体"/>
                <w:szCs w:val="21"/>
                <w:highlight w:val="none"/>
              </w:rPr>
              <w:t>扫描件</w:t>
            </w:r>
            <w:r>
              <w:rPr>
                <w:rStyle w:val="66"/>
                <w:rFonts w:ascii="宋体" w:hAnsi="宋体" w:cs="宋体"/>
                <w:szCs w:val="21"/>
                <w:highlight w:val="none"/>
              </w:rPr>
              <w:t>以及</w:t>
            </w:r>
            <w:r>
              <w:rPr>
                <w:rStyle w:val="66"/>
                <w:rFonts w:hint="eastAsia" w:ascii="宋体" w:hAnsi="宋体" w:cs="宋体"/>
                <w:szCs w:val="21"/>
                <w:highlight w:val="none"/>
                <w:lang w:val="en-US" w:eastAsia="zh-CN"/>
              </w:rPr>
              <w:t>“https://rmocse.chinasafety.ac.cn/”或“https://zwfw.mem.gov.cn/zwthlw/pages/hlwmh/yyfw/zcaqgcscx/index.html”注册安全工程师注册管理系统</w:t>
            </w:r>
            <w:r>
              <w:rPr>
                <w:rStyle w:val="66"/>
                <w:rFonts w:ascii="宋体" w:hAnsi="宋体" w:cs="宋体"/>
                <w:szCs w:val="21"/>
                <w:highlight w:val="none"/>
                <w:lang w:val="en-US" w:eastAsia="zh-CN"/>
              </w:rPr>
              <w:t>查询</w:t>
            </w:r>
            <w:r>
              <w:rPr>
                <w:rStyle w:val="66"/>
                <w:rFonts w:hint="eastAsia" w:ascii="宋体" w:hAnsi="宋体" w:cs="宋体"/>
                <w:szCs w:val="21"/>
                <w:highlight w:val="none"/>
                <w:lang w:val="en-US" w:eastAsia="zh-CN"/>
              </w:rPr>
              <w:t>网页截图</w:t>
            </w:r>
            <w:r>
              <w:rPr>
                <w:rStyle w:val="66"/>
                <w:rFonts w:hint="eastAsia" w:ascii="宋体" w:hAnsi="宋体" w:cs="宋体"/>
                <w:szCs w:val="21"/>
                <w:highlight w:val="none"/>
              </w:rPr>
              <w:t>，否则不得分。</w:t>
            </w:r>
          </w:p>
        </w:tc>
      </w:tr>
      <w:tr w14:paraId="7D46D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734" w:type="dxa"/>
            <w:vAlign w:val="center"/>
          </w:tcPr>
          <w:p w14:paraId="1FB97E07">
            <w:pPr>
              <w:spacing w:line="320" w:lineRule="exact"/>
              <w:jc w:val="center"/>
              <w:rPr>
                <w:rFonts w:ascii="宋体" w:hAnsi="宋体" w:cs="宋体"/>
                <w:szCs w:val="21"/>
                <w:highlight w:val="none"/>
              </w:rPr>
            </w:pPr>
            <w:r>
              <w:rPr>
                <w:rFonts w:hint="eastAsia" w:ascii="宋体" w:hAnsi="宋体" w:cs="宋体"/>
                <w:szCs w:val="21"/>
                <w:highlight w:val="none"/>
              </w:rPr>
              <w:t>1.4</w:t>
            </w:r>
          </w:p>
        </w:tc>
        <w:tc>
          <w:tcPr>
            <w:tcW w:w="1278" w:type="dxa"/>
            <w:tcBorders>
              <w:left w:val="single" w:color="auto" w:sz="4" w:space="0"/>
            </w:tcBorders>
            <w:vAlign w:val="center"/>
          </w:tcPr>
          <w:p w14:paraId="380D5135">
            <w:pPr>
              <w:snapToGrid w:val="0"/>
              <w:jc w:val="center"/>
              <w:rPr>
                <w:rFonts w:ascii="宋体" w:hAnsi="宋体" w:cs="宋体"/>
                <w:szCs w:val="21"/>
                <w:highlight w:val="none"/>
              </w:rPr>
            </w:pPr>
            <w:r>
              <w:rPr>
                <w:rStyle w:val="66"/>
                <w:rFonts w:hint="eastAsia" w:ascii="宋体" w:hAnsi="宋体" w:cs="宋体"/>
                <w:szCs w:val="21"/>
                <w:highlight w:val="none"/>
              </w:rPr>
              <w:t>造价负责人</w:t>
            </w:r>
          </w:p>
        </w:tc>
        <w:tc>
          <w:tcPr>
            <w:tcW w:w="681" w:type="dxa"/>
            <w:tcBorders>
              <w:left w:val="single" w:color="auto" w:sz="4" w:space="0"/>
            </w:tcBorders>
            <w:vAlign w:val="center"/>
          </w:tcPr>
          <w:p w14:paraId="3586C0F2">
            <w:pPr>
              <w:adjustRightInd w:val="0"/>
              <w:jc w:val="center"/>
              <w:rPr>
                <w:rFonts w:ascii="宋体" w:hAnsi="宋体" w:eastAsia="宋体" w:cs="宋体"/>
                <w:szCs w:val="21"/>
                <w:highlight w:val="none"/>
                <w:lang w:val="en-US" w:eastAsia="zh-CN"/>
              </w:rPr>
            </w:pPr>
            <w:r>
              <w:rPr>
                <w:rFonts w:hint="eastAsia" w:ascii="宋体" w:hAnsi="宋体"/>
                <w:szCs w:val="21"/>
                <w:highlight w:val="none"/>
                <w:lang w:val="en-US" w:eastAsia="zh-CN"/>
              </w:rPr>
              <w:t>10</w:t>
            </w:r>
          </w:p>
        </w:tc>
        <w:tc>
          <w:tcPr>
            <w:tcW w:w="11879" w:type="dxa"/>
            <w:tcBorders>
              <w:left w:val="single" w:color="auto" w:sz="4" w:space="0"/>
            </w:tcBorders>
            <w:vAlign w:val="center"/>
          </w:tcPr>
          <w:p w14:paraId="7AE9D360">
            <w:pPr>
              <w:numPr>
                <w:ilvl w:val="0"/>
                <w:numId w:val="3"/>
              </w:numPr>
              <w:jc w:val="left"/>
              <w:rPr>
                <w:rFonts w:hint="eastAsia" w:ascii="宋体" w:hAnsi="宋体" w:cs="宋体"/>
                <w:color w:val="000000"/>
                <w:highlight w:val="none"/>
              </w:rPr>
            </w:pPr>
            <w:r>
              <w:rPr>
                <w:rStyle w:val="66"/>
                <w:rFonts w:hint="eastAsia" w:ascii="宋体" w:hAnsi="宋体" w:cs="宋体"/>
                <w:szCs w:val="21"/>
                <w:highlight w:val="none"/>
              </w:rPr>
              <w:t>从业能力：</w:t>
            </w:r>
            <w:r>
              <w:rPr>
                <w:rStyle w:val="66"/>
                <w:rFonts w:ascii="宋体" w:hAnsi="宋体" w:cs="宋体"/>
                <w:szCs w:val="21"/>
                <w:highlight w:val="none"/>
              </w:rPr>
              <w:t>（1）</w:t>
            </w:r>
            <w:r>
              <w:rPr>
                <w:rFonts w:hint="eastAsia" w:ascii="宋体" w:hAnsi="宋体" w:cs="宋体"/>
                <w:color w:val="000000"/>
                <w:highlight w:val="none"/>
                <w:lang w:val="en-US" w:eastAsia="zh-CN"/>
              </w:rPr>
              <w:t>获得造价相关专业高级工程师或以上职称，得5分；</w:t>
            </w:r>
          </w:p>
          <w:p w14:paraId="4120245B">
            <w:pPr>
              <w:ind w:left="0"/>
              <w:jc w:val="left"/>
              <w:rPr>
                <w:rFonts w:hint="eastAsia" w:ascii="宋体" w:hAnsi="宋体" w:cs="宋体"/>
                <w:color w:val="000000"/>
                <w:highlight w:val="none"/>
              </w:rPr>
            </w:pPr>
            <w:r>
              <w:rPr>
                <w:rFonts w:ascii="宋体" w:hAnsi="宋体" w:cs="宋体"/>
                <w:color w:val="000000"/>
                <w:highlight w:val="none"/>
                <w:lang w:val="en-US" w:eastAsia="zh-CN"/>
              </w:rPr>
              <w:t>（2）</w:t>
            </w:r>
            <w:r>
              <w:rPr>
                <w:rFonts w:hint="eastAsia" w:ascii="宋体" w:hAnsi="宋体" w:cs="宋体"/>
                <w:color w:val="000000"/>
                <w:highlight w:val="none"/>
                <w:lang w:val="en-US" w:eastAsia="zh-CN"/>
              </w:rPr>
              <w:t>具备安装专业</w:t>
            </w:r>
            <w:r>
              <w:rPr>
                <w:rFonts w:ascii="宋体" w:hAnsi="宋体" w:cs="宋体"/>
                <w:color w:val="000000"/>
                <w:highlight w:val="none"/>
              </w:rPr>
              <w:t>一</w:t>
            </w:r>
            <w:r>
              <w:rPr>
                <w:rFonts w:hint="eastAsia" w:ascii="宋体" w:hAnsi="宋体" w:cs="宋体"/>
                <w:color w:val="000000"/>
                <w:highlight w:val="none"/>
              </w:rPr>
              <w:t>级</w:t>
            </w:r>
            <w:r>
              <w:rPr>
                <w:rFonts w:ascii="宋体" w:hAnsi="宋体" w:cs="宋体"/>
                <w:color w:val="000000"/>
                <w:highlight w:val="none"/>
              </w:rPr>
              <w:t>注册</w:t>
            </w:r>
            <w:r>
              <w:rPr>
                <w:rFonts w:hint="eastAsia" w:ascii="宋体" w:hAnsi="宋体" w:cs="宋体"/>
                <w:color w:val="000000"/>
                <w:highlight w:val="none"/>
              </w:rPr>
              <w:t>造价工程师</w:t>
            </w:r>
            <w:r>
              <w:rPr>
                <w:rFonts w:hint="eastAsia" w:ascii="宋体" w:hAnsi="宋体" w:cs="宋体"/>
                <w:color w:val="000000"/>
                <w:highlight w:val="none"/>
                <w:lang w:val="en-US" w:eastAsia="zh-CN"/>
              </w:rPr>
              <w:t>执业</w:t>
            </w:r>
            <w:r>
              <w:rPr>
                <w:rFonts w:hint="eastAsia" w:ascii="宋体" w:hAnsi="宋体" w:cs="宋体"/>
                <w:color w:val="000000"/>
                <w:highlight w:val="none"/>
              </w:rPr>
              <w:t>资格的</w:t>
            </w:r>
            <w:r>
              <w:rPr>
                <w:rFonts w:ascii="宋体" w:hAnsi="宋体" w:cs="宋体"/>
                <w:color w:val="000000"/>
                <w:highlight w:val="none"/>
              </w:rPr>
              <w:t>，得</w:t>
            </w:r>
            <w:r>
              <w:rPr>
                <w:rFonts w:hint="eastAsia" w:ascii="宋体" w:hAnsi="宋体" w:cs="宋体"/>
                <w:color w:val="000000"/>
                <w:highlight w:val="none"/>
                <w:lang w:eastAsia="zh-CN"/>
              </w:rPr>
              <w:t>3</w:t>
            </w:r>
            <w:r>
              <w:rPr>
                <w:rFonts w:ascii="宋体" w:hAnsi="宋体" w:cs="宋体"/>
                <w:color w:val="000000"/>
                <w:highlight w:val="none"/>
              </w:rPr>
              <w:t>分；具备</w:t>
            </w:r>
            <w:r>
              <w:rPr>
                <w:rFonts w:hint="eastAsia" w:ascii="宋体" w:hAnsi="宋体" w:cs="宋体"/>
                <w:color w:val="000000"/>
                <w:highlight w:val="none"/>
                <w:lang w:val="en-US" w:eastAsia="zh-CN"/>
              </w:rPr>
              <w:t>安装专业</w:t>
            </w:r>
            <w:r>
              <w:rPr>
                <w:rFonts w:hint="eastAsia" w:ascii="宋体" w:hAnsi="宋体" w:cs="宋体"/>
                <w:color w:val="000000"/>
                <w:highlight w:val="none"/>
              </w:rPr>
              <w:t>二级</w:t>
            </w:r>
            <w:r>
              <w:rPr>
                <w:rFonts w:ascii="宋体" w:hAnsi="宋体" w:cs="宋体"/>
                <w:color w:val="000000"/>
                <w:highlight w:val="none"/>
              </w:rPr>
              <w:t>注册</w:t>
            </w:r>
            <w:r>
              <w:rPr>
                <w:rFonts w:hint="eastAsia" w:ascii="宋体" w:hAnsi="宋体" w:cs="宋体"/>
                <w:color w:val="000000"/>
                <w:highlight w:val="none"/>
              </w:rPr>
              <w:t>造价工程师</w:t>
            </w:r>
            <w:r>
              <w:rPr>
                <w:rFonts w:hint="eastAsia" w:ascii="宋体" w:hAnsi="宋体" w:cs="宋体"/>
                <w:color w:val="000000"/>
                <w:highlight w:val="none"/>
                <w:lang w:val="en-US" w:eastAsia="zh-CN"/>
              </w:rPr>
              <w:t>执业</w:t>
            </w:r>
            <w:r>
              <w:rPr>
                <w:rFonts w:hint="eastAsia" w:ascii="宋体" w:hAnsi="宋体" w:cs="宋体"/>
                <w:color w:val="000000"/>
                <w:highlight w:val="none"/>
              </w:rPr>
              <w:t>资格的，得</w:t>
            </w:r>
            <w:r>
              <w:rPr>
                <w:rFonts w:hint="eastAsia" w:ascii="宋体" w:hAnsi="宋体" w:cs="宋体"/>
                <w:color w:val="000000"/>
                <w:highlight w:val="none"/>
                <w:lang w:val="en-US" w:eastAsia="zh-CN"/>
              </w:rPr>
              <w:t>1</w:t>
            </w:r>
            <w:r>
              <w:rPr>
                <w:rFonts w:hint="eastAsia" w:ascii="宋体" w:hAnsi="宋体" w:cs="宋体"/>
                <w:color w:val="000000"/>
                <w:highlight w:val="none"/>
              </w:rPr>
              <w:t>分；不满足上述条件的不得分。</w:t>
            </w:r>
          </w:p>
          <w:p w14:paraId="7181D9EC">
            <w:pPr>
              <w:snapToGrid w:val="0"/>
              <w:jc w:val="left"/>
              <w:rPr>
                <w:rFonts w:hint="eastAsia" w:ascii="宋体" w:hAnsi="宋体" w:cs="宋体"/>
                <w:color w:val="000000"/>
                <w:highlight w:val="none"/>
              </w:rPr>
            </w:pPr>
            <w:r>
              <w:rPr>
                <w:rFonts w:hint="eastAsia" w:ascii="宋体" w:hAnsi="宋体" w:cs="宋体"/>
                <w:color w:val="000000"/>
                <w:highlight w:val="none"/>
              </w:rPr>
              <w:t>2.人员经历：</w:t>
            </w:r>
            <w:r>
              <w:rPr>
                <w:rStyle w:val="66"/>
                <w:rFonts w:ascii="宋体" w:hAnsi="宋体" w:cs="宋体"/>
                <w:szCs w:val="21"/>
                <w:highlight w:val="none"/>
              </w:rPr>
              <w:t>具备二级或以上</w:t>
            </w:r>
            <w:r>
              <w:rPr>
                <w:rFonts w:ascii="宋体" w:hAnsi="宋体" w:cs="宋体"/>
                <w:color w:val="000000"/>
                <w:highlight w:val="none"/>
              </w:rPr>
              <w:t>注册</w:t>
            </w:r>
            <w:r>
              <w:rPr>
                <w:rStyle w:val="66"/>
                <w:rFonts w:hint="eastAsia" w:ascii="宋体" w:hAnsi="宋体" w:cs="宋体"/>
                <w:szCs w:val="21"/>
                <w:highlight w:val="none"/>
                <w:lang w:val="en-US" w:eastAsia="zh-CN"/>
              </w:rPr>
              <w:t>造价工程师执业资格</w:t>
            </w:r>
            <w:r>
              <w:rPr>
                <w:rStyle w:val="66"/>
                <w:rFonts w:hint="eastAsia" w:ascii="宋体" w:hAnsi="宋体" w:cs="宋体"/>
                <w:szCs w:val="21"/>
                <w:highlight w:val="none"/>
              </w:rPr>
              <w:t>年限</w:t>
            </w:r>
            <w:r>
              <w:rPr>
                <w:rStyle w:val="66"/>
                <w:rFonts w:hint="eastAsia" w:ascii="宋体" w:hAnsi="宋体" w:cs="宋体"/>
                <w:szCs w:val="21"/>
                <w:highlight w:val="none"/>
                <w:lang w:val="en-US" w:eastAsia="zh-CN"/>
              </w:rPr>
              <w:t>10</w:t>
            </w:r>
            <w:r>
              <w:rPr>
                <w:rStyle w:val="66"/>
                <w:rFonts w:hint="eastAsia" w:ascii="宋体" w:hAnsi="宋体" w:cs="宋体"/>
                <w:szCs w:val="21"/>
                <w:highlight w:val="none"/>
              </w:rPr>
              <w:t>年或以上的，得</w:t>
            </w:r>
            <w:r>
              <w:rPr>
                <w:rStyle w:val="66"/>
                <w:rFonts w:ascii="宋体" w:hAnsi="宋体" w:cs="宋体"/>
                <w:szCs w:val="21"/>
                <w:highlight w:val="none"/>
              </w:rPr>
              <w:t>2</w:t>
            </w:r>
            <w:r>
              <w:rPr>
                <w:rStyle w:val="66"/>
                <w:rFonts w:hint="eastAsia" w:ascii="宋体" w:hAnsi="宋体" w:cs="宋体"/>
                <w:szCs w:val="21"/>
                <w:highlight w:val="none"/>
              </w:rPr>
              <w:t>分；</w:t>
            </w:r>
            <w:r>
              <w:rPr>
                <w:rStyle w:val="66"/>
                <w:rFonts w:ascii="宋体" w:hAnsi="宋体" w:cs="宋体"/>
                <w:szCs w:val="21"/>
                <w:highlight w:val="none"/>
              </w:rPr>
              <w:t>具备二级或以上</w:t>
            </w:r>
            <w:r>
              <w:rPr>
                <w:rFonts w:ascii="宋体" w:hAnsi="宋体" w:cs="宋体"/>
                <w:color w:val="000000"/>
                <w:highlight w:val="none"/>
              </w:rPr>
              <w:t>注册</w:t>
            </w:r>
            <w:r>
              <w:rPr>
                <w:rFonts w:hint="eastAsia" w:ascii="宋体" w:hAnsi="宋体" w:cs="宋体"/>
                <w:color w:val="000000"/>
                <w:highlight w:val="none"/>
              </w:rPr>
              <w:t>造价工程师</w:t>
            </w:r>
            <w:r>
              <w:rPr>
                <w:rFonts w:hint="eastAsia" w:ascii="宋体" w:hAnsi="宋体" w:cs="宋体"/>
                <w:color w:val="000000"/>
                <w:highlight w:val="none"/>
                <w:lang w:val="en-US" w:eastAsia="zh-CN"/>
              </w:rPr>
              <w:t>执业</w:t>
            </w:r>
            <w:r>
              <w:rPr>
                <w:rFonts w:hint="eastAsia" w:ascii="宋体" w:hAnsi="宋体" w:cs="宋体"/>
                <w:color w:val="000000"/>
                <w:highlight w:val="none"/>
              </w:rPr>
              <w:t>资格</w:t>
            </w:r>
            <w:r>
              <w:rPr>
                <w:rStyle w:val="66"/>
                <w:rFonts w:hint="eastAsia" w:ascii="宋体" w:hAnsi="宋体" w:cs="宋体"/>
                <w:szCs w:val="21"/>
                <w:highlight w:val="none"/>
                <w:lang w:val="en-US" w:eastAsia="zh-CN"/>
              </w:rPr>
              <w:t>5</w:t>
            </w:r>
            <w:r>
              <w:rPr>
                <w:rStyle w:val="66"/>
                <w:rFonts w:hint="eastAsia" w:ascii="宋体" w:hAnsi="宋体" w:cs="宋体"/>
                <w:szCs w:val="21"/>
                <w:highlight w:val="none"/>
              </w:rPr>
              <w:t>年（含）至</w:t>
            </w:r>
            <w:r>
              <w:rPr>
                <w:rStyle w:val="66"/>
                <w:rFonts w:hint="eastAsia" w:ascii="宋体" w:hAnsi="宋体" w:cs="宋体"/>
                <w:szCs w:val="21"/>
                <w:highlight w:val="none"/>
                <w:lang w:val="en-US" w:eastAsia="zh-CN"/>
              </w:rPr>
              <w:t>9</w:t>
            </w:r>
            <w:r>
              <w:rPr>
                <w:rStyle w:val="66"/>
                <w:rFonts w:hint="eastAsia" w:ascii="宋体" w:hAnsi="宋体" w:cs="宋体"/>
                <w:szCs w:val="21"/>
                <w:highlight w:val="none"/>
              </w:rPr>
              <w:t>年（含）的，得</w:t>
            </w:r>
            <w:r>
              <w:rPr>
                <w:rStyle w:val="66"/>
                <w:rFonts w:ascii="宋体" w:hAnsi="宋体" w:cs="宋体"/>
                <w:szCs w:val="21"/>
                <w:highlight w:val="none"/>
              </w:rPr>
              <w:t>1</w:t>
            </w:r>
            <w:r>
              <w:rPr>
                <w:rStyle w:val="66"/>
                <w:rFonts w:hint="eastAsia" w:ascii="宋体" w:hAnsi="宋体" w:cs="宋体"/>
                <w:szCs w:val="21"/>
                <w:highlight w:val="none"/>
              </w:rPr>
              <w:t>分；不符合上述条件的不得分</w:t>
            </w:r>
            <w:r>
              <w:rPr>
                <w:rFonts w:hint="eastAsia" w:ascii="宋体" w:hAnsi="宋体" w:cs="宋体"/>
                <w:color w:val="000000"/>
                <w:highlight w:val="none"/>
              </w:rPr>
              <w:t>。</w:t>
            </w:r>
          </w:p>
          <w:p w14:paraId="12605F46">
            <w:pPr>
              <w:jc w:val="left"/>
              <w:rPr>
                <w:rFonts w:hint="eastAsia" w:ascii="宋体" w:hAnsi="宋体" w:cs="宋体"/>
                <w:color w:val="000000"/>
                <w:highlight w:val="none"/>
              </w:rPr>
            </w:pPr>
            <w:r>
              <w:rPr>
                <w:rFonts w:hint="eastAsia" w:ascii="宋体" w:hAnsi="宋体" w:cs="宋体"/>
                <w:color w:val="000000"/>
                <w:highlight w:val="none"/>
              </w:rPr>
              <w:t>注：①须提供</w:t>
            </w:r>
            <w:r>
              <w:rPr>
                <w:rFonts w:hint="eastAsia" w:ascii="宋体" w:hAnsi="宋体" w:cs="宋体"/>
                <w:color w:val="000000"/>
                <w:highlight w:val="none"/>
                <w:lang w:val="en-US" w:eastAsia="zh-CN"/>
              </w:rPr>
              <w:t>职称证书</w:t>
            </w:r>
            <w:r>
              <w:rPr>
                <w:rFonts w:hint="eastAsia" w:ascii="宋体" w:hAnsi="宋体" w:cs="宋体"/>
                <w:color w:val="000000"/>
                <w:highlight w:val="none"/>
              </w:rPr>
              <w:t>扫描件，否则不得分。</w:t>
            </w:r>
          </w:p>
          <w:p w14:paraId="1394F5C0">
            <w:pPr>
              <w:snapToGrid w:val="0"/>
              <w:ind w:firstLine="420" w:firstLineChars="200"/>
              <w:jc w:val="left"/>
              <w:rPr>
                <w:rFonts w:ascii="宋体" w:hAnsi="宋体" w:cs="宋体"/>
                <w:szCs w:val="24"/>
                <w:highlight w:val="none"/>
              </w:rPr>
            </w:pPr>
            <w:r>
              <w:rPr>
                <w:rFonts w:hint="eastAsia" w:ascii="宋体" w:hAnsi="宋体" w:cs="宋体"/>
                <w:color w:val="000000"/>
                <w:highlight w:val="none"/>
              </w:rPr>
              <w:t>②</w:t>
            </w:r>
            <w:r>
              <w:rPr>
                <w:rStyle w:val="66"/>
                <w:rFonts w:hint="eastAsia" w:ascii="宋体" w:hAnsi="宋体" w:cs="宋体"/>
                <w:szCs w:val="21"/>
                <w:highlight w:val="none"/>
                <w:lang w:val="en-US" w:eastAsia="zh-CN"/>
              </w:rPr>
              <w:t>执业资格</w:t>
            </w:r>
            <w:r>
              <w:rPr>
                <w:rStyle w:val="66"/>
                <w:rFonts w:ascii="宋体" w:hAnsi="宋体" w:cs="宋体"/>
                <w:szCs w:val="21"/>
                <w:highlight w:val="none"/>
                <w:lang w:val="en-US" w:eastAsia="zh-CN"/>
              </w:rPr>
              <w:t>：</w:t>
            </w:r>
            <w:r>
              <w:rPr>
                <w:rFonts w:hint="eastAsia" w:ascii="宋体" w:hAnsi="宋体" w:cs="宋体"/>
                <w:color w:val="000000"/>
                <w:highlight w:val="none"/>
                <w:lang w:val="en-US" w:eastAsia="zh-CN"/>
              </w:rPr>
              <w:t>执业</w:t>
            </w:r>
            <w:r>
              <w:rPr>
                <w:rFonts w:hint="eastAsia" w:ascii="宋体" w:hAnsi="宋体" w:cs="宋体"/>
                <w:color w:val="000000"/>
                <w:highlight w:val="none"/>
              </w:rPr>
              <w:t>年限以</w:t>
            </w:r>
            <w:r>
              <w:rPr>
                <w:rFonts w:hint="eastAsia" w:ascii="宋体" w:hAnsi="宋体" w:cs="宋体"/>
                <w:color w:val="000000"/>
                <w:highlight w:val="none"/>
                <w:lang w:val="en-US" w:eastAsia="zh-CN"/>
              </w:rPr>
              <w:t>执业资格证书</w:t>
            </w:r>
            <w:r>
              <w:rPr>
                <w:rStyle w:val="66"/>
                <w:rFonts w:ascii="宋体" w:hAnsi="宋体" w:cs="宋体"/>
                <w:szCs w:val="21"/>
                <w:highlight w:val="none"/>
                <w:lang w:val="en-US" w:eastAsia="zh-CN"/>
              </w:rPr>
              <w:t>批准</w:t>
            </w:r>
            <w:r>
              <w:rPr>
                <w:rStyle w:val="66"/>
                <w:rFonts w:hint="eastAsia" w:ascii="宋体" w:hAnsi="宋体" w:cs="宋体"/>
                <w:color w:val="000000"/>
                <w:szCs w:val="21"/>
                <w:highlight w:val="none"/>
              </w:rPr>
              <w:t>时间起至投标截止时间止为准</w:t>
            </w:r>
            <w:r>
              <w:rPr>
                <w:rFonts w:hint="eastAsia" w:ascii="宋体" w:hAnsi="宋体" w:cs="宋体"/>
                <w:color w:val="000000"/>
                <w:highlight w:val="none"/>
              </w:rPr>
              <w:t>，须</w:t>
            </w:r>
            <w:r>
              <w:rPr>
                <w:rFonts w:ascii="宋体" w:hAnsi="宋体" w:cs="宋体"/>
                <w:color w:val="000000"/>
                <w:highlight w:val="none"/>
              </w:rPr>
              <w:t>同时</w:t>
            </w:r>
            <w:r>
              <w:rPr>
                <w:rFonts w:hint="eastAsia" w:ascii="宋体" w:hAnsi="宋体" w:cs="宋体"/>
                <w:color w:val="000000"/>
                <w:highlight w:val="none"/>
              </w:rPr>
              <w:t>提供</w:t>
            </w:r>
            <w:r>
              <w:rPr>
                <w:rFonts w:hint="eastAsia" w:ascii="宋体" w:hAnsi="宋体" w:cs="宋体"/>
                <w:color w:val="000000"/>
                <w:highlight w:val="none"/>
                <w:lang w:val="en-US" w:eastAsia="zh-CN"/>
              </w:rPr>
              <w:t>执业资格证书、注册证书（有效期内）</w:t>
            </w:r>
            <w:r>
              <w:rPr>
                <w:rFonts w:hint="eastAsia" w:ascii="宋体" w:hAnsi="宋体" w:cs="宋体"/>
                <w:color w:val="000000"/>
                <w:highlight w:val="none"/>
              </w:rPr>
              <w:t>扫描件，</w:t>
            </w:r>
            <w:r>
              <w:rPr>
                <w:rFonts w:hint="eastAsia" w:ascii="宋体" w:hAnsi="宋体" w:cs="宋体"/>
                <w:color w:val="000000"/>
                <w:highlight w:val="none"/>
                <w:lang w:val="en-US" w:eastAsia="zh-CN"/>
              </w:rPr>
              <w:t>一级造价工程师</w:t>
            </w:r>
            <w:r>
              <w:rPr>
                <w:rFonts w:ascii="宋体" w:hAnsi="宋体" w:cs="宋体"/>
                <w:color w:val="000000"/>
                <w:highlight w:val="none"/>
                <w:lang w:val="en-US" w:eastAsia="zh-CN"/>
              </w:rPr>
              <w:t>需同时提供</w:t>
            </w:r>
            <w:r>
              <w:rPr>
                <w:rFonts w:hint="eastAsia" w:ascii="宋体" w:hAnsi="宋体" w:cs="宋体"/>
                <w:color w:val="000000"/>
                <w:highlight w:val="none"/>
                <w:lang w:val="en-US" w:eastAsia="zh-CN"/>
              </w:rPr>
              <w:t>注册造价工程师注册信息查询网站（</w:t>
            </w:r>
            <w:r>
              <w:rPr>
                <w:rFonts w:hint="eastAsia" w:ascii="宋体" w:hAnsi="宋体"/>
                <w:szCs w:val="21"/>
                <w:highlight w:val="none"/>
              </w:rPr>
              <w:t>http://zaojiasys.jianshe99.com/cecaopsys/queryAndSearch/view.do?op=queryUserInfoInit</w:t>
            </w:r>
            <w:r>
              <w:rPr>
                <w:rFonts w:hint="eastAsia" w:ascii="宋体" w:hAnsi="宋体" w:cs="宋体"/>
                <w:color w:val="000000"/>
                <w:highlight w:val="none"/>
                <w:lang w:val="en-US" w:eastAsia="zh-CN"/>
              </w:rPr>
              <w:t>）截图，</w:t>
            </w:r>
            <w:r>
              <w:rPr>
                <w:rFonts w:hint="eastAsia" w:ascii="宋体" w:hAnsi="宋体" w:cs="宋体"/>
                <w:color w:val="000000"/>
                <w:highlight w:val="none"/>
              </w:rPr>
              <w:t>否则不得分。</w:t>
            </w:r>
          </w:p>
        </w:tc>
      </w:tr>
      <w:tr w14:paraId="55E07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734" w:type="dxa"/>
            <w:vAlign w:val="center"/>
          </w:tcPr>
          <w:p w14:paraId="475A9C5A">
            <w:pPr>
              <w:spacing w:line="320" w:lineRule="exact"/>
              <w:jc w:val="center"/>
              <w:rPr>
                <w:rFonts w:ascii="宋体" w:hAnsi="宋体" w:cs="宋体"/>
                <w:szCs w:val="21"/>
                <w:highlight w:val="none"/>
              </w:rPr>
            </w:pPr>
            <w:r>
              <w:rPr>
                <w:rFonts w:hint="eastAsia" w:ascii="宋体" w:hAnsi="宋体" w:cs="宋体"/>
                <w:szCs w:val="21"/>
                <w:highlight w:val="none"/>
              </w:rPr>
              <w:t>1.5</w:t>
            </w:r>
          </w:p>
        </w:tc>
        <w:tc>
          <w:tcPr>
            <w:tcW w:w="1278" w:type="dxa"/>
            <w:tcBorders>
              <w:left w:val="single" w:color="auto" w:sz="4" w:space="0"/>
            </w:tcBorders>
            <w:vAlign w:val="center"/>
          </w:tcPr>
          <w:p w14:paraId="328F07B5">
            <w:pPr>
              <w:adjustRightInd w:val="0"/>
              <w:jc w:val="center"/>
              <w:rPr>
                <w:rFonts w:ascii="宋体" w:hAnsi="宋体" w:cs="宋体"/>
                <w:szCs w:val="21"/>
                <w:highlight w:val="none"/>
              </w:rPr>
            </w:pPr>
            <w:r>
              <w:rPr>
                <w:rStyle w:val="66"/>
                <w:rFonts w:hint="eastAsia" w:ascii="宋体" w:hAnsi="宋体" w:cs="宋体"/>
                <w:szCs w:val="21"/>
                <w:highlight w:val="none"/>
              </w:rPr>
              <w:t>其他人员</w:t>
            </w:r>
          </w:p>
        </w:tc>
        <w:tc>
          <w:tcPr>
            <w:tcW w:w="681" w:type="dxa"/>
            <w:tcBorders>
              <w:left w:val="single" w:color="auto" w:sz="4" w:space="0"/>
            </w:tcBorders>
            <w:vAlign w:val="center"/>
          </w:tcPr>
          <w:p w14:paraId="7910E813">
            <w:pPr>
              <w:adjustRightInd w:val="0"/>
              <w:jc w:val="center"/>
              <w:rPr>
                <w:rFonts w:ascii="宋体" w:hAnsi="宋体" w:eastAsia="宋体" w:cs="宋体"/>
                <w:szCs w:val="21"/>
                <w:highlight w:val="none"/>
                <w:u w:val="single"/>
                <w:lang w:val="en-US" w:eastAsia="zh-CN"/>
              </w:rPr>
            </w:pPr>
            <w:r>
              <w:rPr>
                <w:rFonts w:hint="eastAsia" w:ascii="宋体" w:hAnsi="宋体"/>
                <w:szCs w:val="21"/>
                <w:highlight w:val="none"/>
                <w:lang w:val="en-US" w:eastAsia="zh-CN"/>
              </w:rPr>
              <w:t>30</w:t>
            </w:r>
          </w:p>
        </w:tc>
        <w:tc>
          <w:tcPr>
            <w:tcW w:w="11879" w:type="dxa"/>
            <w:tcBorders>
              <w:left w:val="single" w:color="auto" w:sz="4" w:space="0"/>
            </w:tcBorders>
            <w:vAlign w:val="center"/>
          </w:tcPr>
          <w:p w14:paraId="4219E6D5">
            <w:pPr>
              <w:adjustRightInd w:val="0"/>
              <w:rPr>
                <w:rStyle w:val="66"/>
                <w:rFonts w:hint="eastAsia" w:ascii="宋体" w:hAnsi="宋体" w:cs="宋体"/>
                <w:szCs w:val="21"/>
                <w:highlight w:val="none"/>
                <w:lang w:val="en-US" w:eastAsia="zh-CN"/>
              </w:rPr>
            </w:pPr>
            <w:r>
              <w:rPr>
                <w:rStyle w:val="66"/>
                <w:rFonts w:hint="eastAsia" w:ascii="宋体" w:hAnsi="宋体" w:cs="宋体"/>
                <w:szCs w:val="21"/>
                <w:highlight w:val="none"/>
                <w:lang w:val="en-US" w:eastAsia="zh-CN"/>
              </w:rPr>
              <w:t>1.拟投入本项目的各人员配备全部满足招标文件《项目组织管理机构组成人员配备要求表》要求的，得20分；</w:t>
            </w:r>
          </w:p>
          <w:p w14:paraId="75C26BCE">
            <w:pPr>
              <w:adjustRightInd w:val="0"/>
              <w:rPr>
                <w:rFonts w:ascii="宋体" w:hAnsi="宋体" w:eastAsia="宋体" w:cs="宋体"/>
                <w:szCs w:val="21"/>
                <w:highlight w:val="none"/>
                <w:lang w:val="en-US" w:eastAsia="zh-CN"/>
              </w:rPr>
            </w:pPr>
            <w:r>
              <w:rPr>
                <w:rStyle w:val="66"/>
                <w:rFonts w:hint="eastAsia" w:ascii="宋体" w:hAnsi="宋体" w:cs="宋体"/>
                <w:szCs w:val="21"/>
                <w:highlight w:val="none"/>
                <w:lang w:val="en-US" w:eastAsia="zh-CN"/>
              </w:rPr>
              <w:t>2.拟投入本项目的各人员配置（除项目负责人、技术负责人、质量负责人、安全负责人、造价负责人外），拟派人员具备高级（或以上）职称的，每人加2分，最多加10分。</w:t>
            </w:r>
          </w:p>
        </w:tc>
      </w:tr>
      <w:tr w14:paraId="7C2BE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34" w:type="dxa"/>
            <w:vAlign w:val="center"/>
          </w:tcPr>
          <w:p w14:paraId="427DE4C1">
            <w:pPr>
              <w:spacing w:line="320" w:lineRule="exact"/>
              <w:jc w:val="center"/>
              <w:rPr>
                <w:rFonts w:ascii="宋体" w:hAnsi="宋体" w:cs="宋体"/>
                <w:b/>
                <w:szCs w:val="21"/>
                <w:highlight w:val="none"/>
              </w:rPr>
            </w:pPr>
            <w:r>
              <w:rPr>
                <w:rFonts w:hint="eastAsia" w:ascii="宋体" w:hAnsi="宋体" w:cs="宋体"/>
                <w:b/>
                <w:szCs w:val="21"/>
                <w:highlight w:val="none"/>
              </w:rPr>
              <w:t>二</w:t>
            </w:r>
          </w:p>
        </w:tc>
        <w:tc>
          <w:tcPr>
            <w:tcW w:w="13838" w:type="dxa"/>
            <w:gridSpan w:val="3"/>
            <w:tcBorders>
              <w:left w:val="single" w:color="auto" w:sz="4" w:space="0"/>
            </w:tcBorders>
            <w:vAlign w:val="center"/>
          </w:tcPr>
          <w:p w14:paraId="1AD160B1">
            <w:pPr>
              <w:spacing w:line="320" w:lineRule="exact"/>
              <w:rPr>
                <w:rFonts w:ascii="宋体" w:hAnsi="宋体" w:cs="宋体"/>
                <w:b/>
                <w:szCs w:val="21"/>
                <w:highlight w:val="none"/>
              </w:rPr>
            </w:pPr>
            <w:r>
              <w:rPr>
                <w:rFonts w:hint="eastAsia" w:ascii="宋体" w:hAnsi="宋体" w:cs="宋体"/>
                <w:b/>
                <w:szCs w:val="21"/>
                <w:highlight w:val="none"/>
              </w:rPr>
              <w:t>企业资信（</w:t>
            </w:r>
            <w:r>
              <w:rPr>
                <w:rFonts w:hint="eastAsia" w:ascii="宋体" w:hAnsi="宋体" w:cs="宋体"/>
                <w:b/>
                <w:szCs w:val="21"/>
                <w:highlight w:val="none"/>
                <w:lang w:val="en-US" w:eastAsia="zh-CN"/>
              </w:rPr>
              <w:t>30</w:t>
            </w:r>
            <w:r>
              <w:rPr>
                <w:rFonts w:hint="eastAsia" w:ascii="宋体" w:hAnsi="宋体" w:cs="宋体"/>
                <w:b/>
                <w:szCs w:val="21"/>
                <w:highlight w:val="none"/>
              </w:rPr>
              <w:t>分）</w:t>
            </w:r>
          </w:p>
        </w:tc>
      </w:tr>
      <w:tr w14:paraId="38E1C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734" w:type="dxa"/>
            <w:vAlign w:val="center"/>
          </w:tcPr>
          <w:p w14:paraId="216855BA">
            <w:pPr>
              <w:spacing w:line="320" w:lineRule="exact"/>
              <w:jc w:val="center"/>
              <w:rPr>
                <w:rFonts w:ascii="宋体" w:hAnsi="宋体" w:cs="宋体"/>
                <w:szCs w:val="21"/>
                <w:highlight w:val="none"/>
              </w:rPr>
            </w:pPr>
            <w:r>
              <w:rPr>
                <w:rFonts w:hint="eastAsia" w:ascii="宋体" w:hAnsi="宋体" w:cs="宋体"/>
                <w:szCs w:val="21"/>
                <w:highlight w:val="none"/>
              </w:rPr>
              <w:t>2.1</w:t>
            </w:r>
          </w:p>
        </w:tc>
        <w:tc>
          <w:tcPr>
            <w:tcW w:w="1278" w:type="dxa"/>
            <w:tcBorders>
              <w:left w:val="single" w:color="auto" w:sz="4" w:space="0"/>
            </w:tcBorders>
            <w:vAlign w:val="center"/>
          </w:tcPr>
          <w:p w14:paraId="07AC1109">
            <w:pPr>
              <w:spacing w:line="320" w:lineRule="exact"/>
              <w:jc w:val="center"/>
              <w:rPr>
                <w:rFonts w:ascii="宋体" w:hAnsi="宋体" w:eastAsia="宋体" w:cs="宋体"/>
                <w:szCs w:val="21"/>
                <w:highlight w:val="none"/>
                <w:lang w:val="en-US" w:eastAsia="zh-CN"/>
              </w:rPr>
            </w:pPr>
            <w:r>
              <w:rPr>
                <w:rFonts w:hint="eastAsia" w:ascii="宋体" w:hAnsi="宋体" w:cs="宋体"/>
                <w:szCs w:val="21"/>
                <w:highlight w:val="none"/>
                <w:lang w:val="en-US" w:eastAsia="zh-CN"/>
              </w:rPr>
              <w:t>工程奖项</w:t>
            </w:r>
          </w:p>
        </w:tc>
        <w:tc>
          <w:tcPr>
            <w:tcW w:w="681" w:type="dxa"/>
            <w:tcBorders>
              <w:left w:val="single" w:color="auto" w:sz="4" w:space="0"/>
            </w:tcBorders>
            <w:vAlign w:val="center"/>
          </w:tcPr>
          <w:p w14:paraId="4F14A5E9">
            <w:pPr>
              <w:spacing w:line="320" w:lineRule="exact"/>
              <w:jc w:val="center"/>
              <w:rPr>
                <w:rFonts w:ascii="宋体" w:hAnsi="宋体" w:eastAsia="宋体" w:cs="宋体"/>
                <w:szCs w:val="21"/>
                <w:highlight w:val="none"/>
                <w:lang w:val="en-US" w:eastAsia="zh-CN"/>
              </w:rPr>
            </w:pPr>
            <w:r>
              <w:rPr>
                <w:rFonts w:hint="eastAsia" w:ascii="宋体" w:hAnsi="宋体" w:cs="宋体"/>
                <w:szCs w:val="21"/>
                <w:highlight w:val="none"/>
                <w:lang w:val="en-US" w:eastAsia="zh-CN"/>
              </w:rPr>
              <w:t>12</w:t>
            </w:r>
          </w:p>
        </w:tc>
        <w:tc>
          <w:tcPr>
            <w:tcW w:w="11879" w:type="dxa"/>
            <w:tcBorders>
              <w:left w:val="single" w:color="auto" w:sz="4" w:space="0"/>
            </w:tcBorders>
            <w:vAlign w:val="center"/>
          </w:tcPr>
          <w:p w14:paraId="5F1FBFA8">
            <w:pPr>
              <w:pStyle w:val="25"/>
              <w:adjustRightInd w:val="0"/>
              <w:snapToGrid w:val="0"/>
              <w:ind w:left="0" w:leftChars="0" w:firstLine="0" w:firstLineChars="0"/>
              <w:jc w:val="left"/>
              <w:rPr>
                <w:rFonts w:hint="eastAsia" w:ascii="宋体" w:hAnsi="宋体" w:cs="宋体"/>
                <w:kern w:val="2"/>
                <w:sz w:val="21"/>
                <w:szCs w:val="21"/>
                <w:highlight w:val="none"/>
                <w:lang w:val="en-US" w:eastAsia="zh-CN"/>
              </w:rPr>
            </w:pPr>
            <w:r>
              <w:rPr>
                <w:rFonts w:hint="eastAsia" w:ascii="宋体" w:hAnsi="宋体" w:cs="宋体"/>
                <w:kern w:val="2"/>
                <w:sz w:val="21"/>
                <w:szCs w:val="21"/>
                <w:highlight w:val="none"/>
                <w:lang w:val="en-US" w:eastAsia="zh-CN"/>
              </w:rPr>
              <w:t>投标人自2021年1月1日至</w:t>
            </w:r>
            <w:r>
              <w:rPr>
                <w:rFonts w:ascii="宋体" w:hAnsi="宋体" w:cs="宋体"/>
                <w:kern w:val="2"/>
                <w:sz w:val="21"/>
                <w:szCs w:val="21"/>
                <w:highlight w:val="none"/>
                <w:lang w:val="en-US" w:eastAsia="zh-CN"/>
              </w:rPr>
              <w:t>投标截止时间止，</w:t>
            </w:r>
            <w:r>
              <w:rPr>
                <w:rFonts w:hint="eastAsia" w:ascii="宋体" w:hAnsi="宋体" w:cs="宋体"/>
                <w:kern w:val="2"/>
                <w:sz w:val="21"/>
                <w:szCs w:val="21"/>
                <w:highlight w:val="none"/>
                <w:lang w:val="en-US" w:eastAsia="zh-CN"/>
              </w:rPr>
              <w:t>承建或参建的工程，获得的工程质量奖项情况：</w:t>
            </w:r>
          </w:p>
          <w:p w14:paraId="1EE4DF7A">
            <w:pPr>
              <w:pStyle w:val="25"/>
              <w:ind w:left="0" w:leftChars="0" w:firstLine="0" w:firstLineChars="0"/>
              <w:jc w:val="left"/>
              <w:rPr>
                <w:rFonts w:hint="eastAsia" w:ascii="宋体" w:hAnsi="宋体" w:cs="宋体"/>
                <w:kern w:val="2"/>
                <w:sz w:val="21"/>
                <w:szCs w:val="21"/>
                <w:highlight w:val="none"/>
                <w:lang w:val="en-US" w:eastAsia="zh-CN"/>
              </w:rPr>
            </w:pPr>
            <w:r>
              <w:rPr>
                <w:rFonts w:hint="eastAsia" w:ascii="宋体" w:hAnsi="宋体" w:cs="宋体"/>
                <w:kern w:val="2"/>
                <w:sz w:val="21"/>
                <w:szCs w:val="21"/>
                <w:highlight w:val="none"/>
                <w:lang w:val="en-US" w:eastAsia="zh-CN"/>
              </w:rPr>
              <w:t>（1）获得国家级工程质量奖的，每项得4分；</w:t>
            </w:r>
          </w:p>
          <w:p w14:paraId="1E18148B">
            <w:pPr>
              <w:pStyle w:val="25"/>
              <w:ind w:left="0" w:leftChars="0" w:firstLine="0" w:firstLineChars="0"/>
              <w:jc w:val="left"/>
              <w:rPr>
                <w:rFonts w:hint="eastAsia" w:ascii="宋体" w:hAnsi="宋体" w:cs="宋体"/>
                <w:kern w:val="2"/>
                <w:sz w:val="21"/>
                <w:szCs w:val="21"/>
                <w:highlight w:val="none"/>
                <w:lang w:val="en-US" w:eastAsia="zh-CN"/>
              </w:rPr>
            </w:pPr>
            <w:r>
              <w:rPr>
                <w:rFonts w:hint="eastAsia" w:ascii="宋体" w:hAnsi="宋体" w:cs="宋体"/>
                <w:kern w:val="2"/>
                <w:sz w:val="21"/>
                <w:szCs w:val="21"/>
                <w:highlight w:val="none"/>
                <w:lang w:val="en-US" w:eastAsia="zh-CN"/>
              </w:rPr>
              <w:t>（2）获得省级工程质量奖的，每项得2分；</w:t>
            </w:r>
          </w:p>
          <w:p w14:paraId="44011121">
            <w:pPr>
              <w:pStyle w:val="25"/>
              <w:ind w:left="0" w:leftChars="0" w:firstLine="0" w:firstLineChars="0"/>
              <w:jc w:val="left"/>
              <w:rPr>
                <w:rFonts w:hint="eastAsia" w:ascii="宋体" w:hAnsi="宋体" w:cs="宋体"/>
                <w:kern w:val="2"/>
                <w:sz w:val="21"/>
                <w:szCs w:val="21"/>
                <w:highlight w:val="none"/>
                <w:lang w:val="en-US" w:eastAsia="zh-CN"/>
              </w:rPr>
            </w:pPr>
            <w:r>
              <w:rPr>
                <w:rFonts w:hint="eastAsia" w:ascii="宋体" w:hAnsi="宋体" w:cs="宋体"/>
                <w:kern w:val="2"/>
                <w:sz w:val="21"/>
                <w:szCs w:val="21"/>
                <w:highlight w:val="none"/>
                <w:lang w:val="en-US" w:eastAsia="zh-CN"/>
              </w:rPr>
              <w:t>（3）获得市级（含副省级）工程质量奖的，每项得0.5分；</w:t>
            </w:r>
          </w:p>
          <w:p w14:paraId="32F8AA5C">
            <w:pPr>
              <w:pStyle w:val="25"/>
              <w:ind w:left="0" w:leftChars="0" w:firstLine="0" w:firstLineChars="0"/>
              <w:jc w:val="left"/>
              <w:rPr>
                <w:rFonts w:cs="Times New Roman"/>
                <w:kern w:val="2"/>
                <w:sz w:val="21"/>
                <w:szCs w:val="22"/>
                <w:highlight w:val="none"/>
                <w:lang w:val="en-US" w:eastAsia="zh-CN"/>
              </w:rPr>
            </w:pPr>
            <w:r>
              <w:rPr>
                <w:rFonts w:hint="eastAsia" w:ascii="宋体" w:hAnsi="宋体" w:cs="宋体"/>
                <w:kern w:val="2"/>
                <w:sz w:val="21"/>
                <w:szCs w:val="21"/>
                <w:highlight w:val="none"/>
                <w:lang w:val="en-US" w:eastAsia="zh-CN"/>
              </w:rPr>
              <w:t>注：本项最高得12分。</w:t>
            </w:r>
          </w:p>
        </w:tc>
      </w:tr>
      <w:tr w14:paraId="76BC1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34" w:type="dxa"/>
            <w:vAlign w:val="center"/>
          </w:tcPr>
          <w:p w14:paraId="417B4597">
            <w:pPr>
              <w:spacing w:line="320" w:lineRule="exact"/>
              <w:jc w:val="center"/>
              <w:rPr>
                <w:rFonts w:ascii="宋体" w:hAnsi="宋体" w:cs="宋体"/>
                <w:szCs w:val="21"/>
                <w:highlight w:val="none"/>
              </w:rPr>
            </w:pPr>
            <w:r>
              <w:rPr>
                <w:rFonts w:hint="eastAsia" w:ascii="宋体" w:hAnsi="宋体" w:cs="宋体"/>
                <w:szCs w:val="21"/>
                <w:highlight w:val="none"/>
              </w:rPr>
              <w:t>2.2</w:t>
            </w:r>
          </w:p>
        </w:tc>
        <w:tc>
          <w:tcPr>
            <w:tcW w:w="1278" w:type="dxa"/>
            <w:tcBorders>
              <w:left w:val="single" w:color="auto" w:sz="4" w:space="0"/>
            </w:tcBorders>
            <w:vAlign w:val="center"/>
          </w:tcPr>
          <w:p w14:paraId="40328B2C">
            <w:pPr>
              <w:spacing w:line="320" w:lineRule="exact"/>
              <w:jc w:val="center"/>
              <w:rPr>
                <w:rFonts w:ascii="宋体" w:hAnsi="宋体" w:eastAsia="宋体" w:cs="宋体"/>
                <w:szCs w:val="21"/>
                <w:highlight w:val="none"/>
                <w:lang w:val="en-US" w:eastAsia="zh-CN"/>
              </w:rPr>
            </w:pPr>
            <w:r>
              <w:rPr>
                <w:rFonts w:hint="eastAsia" w:ascii="宋体" w:hAnsi="宋体" w:cs="宋体"/>
                <w:szCs w:val="21"/>
                <w:highlight w:val="none"/>
                <w:lang w:val="en-US" w:eastAsia="zh-CN"/>
              </w:rPr>
              <w:t>类似工程业绩</w:t>
            </w:r>
          </w:p>
        </w:tc>
        <w:tc>
          <w:tcPr>
            <w:tcW w:w="681" w:type="dxa"/>
            <w:tcBorders>
              <w:left w:val="single" w:color="auto" w:sz="4" w:space="0"/>
            </w:tcBorders>
            <w:vAlign w:val="center"/>
          </w:tcPr>
          <w:p w14:paraId="799B7C8D">
            <w:pPr>
              <w:spacing w:line="320" w:lineRule="exact"/>
              <w:jc w:val="center"/>
              <w:rPr>
                <w:rFonts w:ascii="宋体" w:hAnsi="宋体" w:eastAsia="宋体" w:cs="宋体"/>
                <w:szCs w:val="21"/>
                <w:highlight w:val="none"/>
                <w:lang w:val="en-US" w:eastAsia="zh-CN"/>
              </w:rPr>
            </w:pPr>
            <w:r>
              <w:rPr>
                <w:rFonts w:hint="eastAsia" w:ascii="宋体" w:hAnsi="宋体" w:cs="宋体"/>
                <w:szCs w:val="21"/>
                <w:highlight w:val="none"/>
                <w:lang w:val="en-US" w:eastAsia="zh-CN"/>
              </w:rPr>
              <w:t>12</w:t>
            </w:r>
          </w:p>
        </w:tc>
        <w:tc>
          <w:tcPr>
            <w:tcW w:w="11879" w:type="dxa"/>
            <w:tcBorders>
              <w:left w:val="single" w:color="auto" w:sz="4" w:space="0"/>
            </w:tcBorders>
            <w:vAlign w:val="center"/>
          </w:tcPr>
          <w:p w14:paraId="2D7D1C99">
            <w:pPr>
              <w:adjustRightInd w:val="0"/>
              <w:snapToGrid w:val="0"/>
              <w:rPr>
                <w:rFonts w:ascii="宋体" w:hAnsi="宋体" w:eastAsia="宋体" w:cs="宋体"/>
                <w:szCs w:val="21"/>
                <w:highlight w:val="none"/>
                <w:lang w:val="en-US" w:eastAsia="zh-CN"/>
              </w:rPr>
            </w:pPr>
            <w:r>
              <w:rPr>
                <w:rFonts w:hint="eastAsia" w:ascii="宋体" w:hAnsi="宋体" w:cs="宋体"/>
                <w:szCs w:val="21"/>
                <w:highlight w:val="none"/>
                <w:lang w:val="en-US" w:eastAsia="zh-CN"/>
              </w:rPr>
              <w:t>投标人自2021年1月1日至</w:t>
            </w:r>
            <w:r>
              <w:rPr>
                <w:rFonts w:ascii="宋体" w:hAnsi="宋体" w:cs="宋体"/>
                <w:kern w:val="2"/>
                <w:sz w:val="21"/>
                <w:szCs w:val="21"/>
                <w:highlight w:val="none"/>
                <w:lang w:val="en-US" w:eastAsia="zh-CN"/>
              </w:rPr>
              <w:t>投标截止时间止，</w:t>
            </w:r>
            <w:r>
              <w:rPr>
                <w:rFonts w:hint="eastAsia" w:ascii="宋体" w:hAnsi="宋体" w:cs="宋体"/>
                <w:szCs w:val="21"/>
                <w:highlight w:val="none"/>
                <w:lang w:val="en-US" w:eastAsia="zh-CN"/>
              </w:rPr>
              <w:t>独立完成过质量合格且工程造价大于或等于1000万元的10KV或以上电力工程</w:t>
            </w:r>
            <w:r>
              <w:rPr>
                <w:rFonts w:ascii="宋体" w:hAnsi="宋体" w:cs="宋体"/>
                <w:szCs w:val="21"/>
                <w:highlight w:val="none"/>
                <w:lang w:val="en-US" w:eastAsia="zh-CN"/>
              </w:rPr>
              <w:t>施工</w:t>
            </w:r>
            <w:r>
              <w:rPr>
                <w:rFonts w:hint="eastAsia" w:ascii="宋体" w:hAnsi="宋体" w:cs="宋体"/>
                <w:szCs w:val="21"/>
                <w:highlight w:val="none"/>
                <w:lang w:val="en-US" w:eastAsia="zh-CN"/>
              </w:rPr>
              <w:t>业绩，每项得2分，最高得12分。</w:t>
            </w:r>
          </w:p>
        </w:tc>
      </w:tr>
      <w:tr w14:paraId="5F225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jc w:val="center"/>
        </w:trPr>
        <w:tc>
          <w:tcPr>
            <w:tcW w:w="734" w:type="dxa"/>
            <w:vAlign w:val="center"/>
          </w:tcPr>
          <w:p w14:paraId="14ABA633">
            <w:pPr>
              <w:spacing w:line="320" w:lineRule="exact"/>
              <w:jc w:val="center"/>
              <w:rPr>
                <w:rFonts w:ascii="宋体" w:hAnsi="宋体" w:cs="宋体"/>
                <w:szCs w:val="21"/>
                <w:highlight w:val="none"/>
              </w:rPr>
            </w:pPr>
            <w:r>
              <w:rPr>
                <w:rFonts w:hint="eastAsia" w:ascii="宋体" w:hAnsi="宋体" w:cs="宋体"/>
                <w:szCs w:val="21"/>
                <w:highlight w:val="none"/>
              </w:rPr>
              <w:t>2.3</w:t>
            </w:r>
          </w:p>
        </w:tc>
        <w:tc>
          <w:tcPr>
            <w:tcW w:w="1278" w:type="dxa"/>
            <w:tcBorders>
              <w:left w:val="single" w:color="auto" w:sz="4" w:space="0"/>
            </w:tcBorders>
            <w:vAlign w:val="center"/>
          </w:tcPr>
          <w:p w14:paraId="0FB9B6A7">
            <w:pPr>
              <w:spacing w:line="320" w:lineRule="exact"/>
              <w:jc w:val="center"/>
              <w:rPr>
                <w:rFonts w:ascii="宋体" w:hAnsi="宋体" w:eastAsia="宋体" w:cs="宋体"/>
                <w:szCs w:val="21"/>
                <w:highlight w:val="none"/>
                <w:lang w:val="en-US" w:eastAsia="zh-CN"/>
              </w:rPr>
            </w:pPr>
            <w:r>
              <w:rPr>
                <w:rFonts w:hint="eastAsia" w:ascii="宋体" w:hAnsi="宋体" w:cs="宋体"/>
                <w:szCs w:val="21"/>
                <w:highlight w:val="none"/>
                <w:lang w:val="en-US" w:eastAsia="zh-CN"/>
              </w:rPr>
              <w:t>第三方评价</w:t>
            </w:r>
          </w:p>
        </w:tc>
        <w:tc>
          <w:tcPr>
            <w:tcW w:w="681" w:type="dxa"/>
            <w:tcBorders>
              <w:left w:val="single" w:color="auto" w:sz="4" w:space="0"/>
            </w:tcBorders>
            <w:vAlign w:val="center"/>
          </w:tcPr>
          <w:p w14:paraId="4A4C8BAC">
            <w:pPr>
              <w:spacing w:line="32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4</w:t>
            </w:r>
          </w:p>
        </w:tc>
        <w:tc>
          <w:tcPr>
            <w:tcW w:w="11879" w:type="dxa"/>
            <w:tcBorders>
              <w:left w:val="single" w:color="auto" w:sz="4" w:space="0"/>
            </w:tcBorders>
            <w:vAlign w:val="center"/>
          </w:tcPr>
          <w:p w14:paraId="5F5AD046">
            <w:pPr>
              <w:rPr>
                <w:rStyle w:val="66"/>
                <w:rFonts w:hint="eastAsia" w:ascii="宋体" w:hAnsi="宋体" w:cs="宋体"/>
                <w:szCs w:val="21"/>
                <w:highlight w:val="none"/>
                <w:lang w:val="en-US" w:eastAsia="zh-CN"/>
              </w:rPr>
            </w:pPr>
            <w:r>
              <w:rPr>
                <w:rStyle w:val="66"/>
                <w:rFonts w:hint="eastAsia" w:ascii="宋体" w:hAnsi="宋体" w:cs="宋体"/>
                <w:szCs w:val="21"/>
                <w:highlight w:val="none"/>
                <w:lang w:val="en-US" w:eastAsia="zh-CN"/>
              </w:rPr>
              <w:t>投标人同时具有效期内的质量管理体系认证证书、环境管理体系认证证书、职业健康安全管理体系认证证书、知识产权管理体系认证证书得4分；同时具有其中3项认证证书得2分；同时具有其中2项认证证书得0.5分；其它情况不得分。</w:t>
            </w:r>
          </w:p>
          <w:p w14:paraId="4D397B7E">
            <w:pPr>
              <w:rPr>
                <w:rFonts w:ascii="宋体" w:hAnsi="宋体" w:cs="宋体"/>
                <w:szCs w:val="21"/>
                <w:highlight w:val="none"/>
              </w:rPr>
            </w:pPr>
            <w:r>
              <w:rPr>
                <w:rFonts w:hint="eastAsia" w:cs="Times New Roman"/>
                <w:kern w:val="2"/>
                <w:sz w:val="21"/>
                <w:szCs w:val="22"/>
                <w:highlight w:val="none"/>
                <w:lang w:val="en-US" w:eastAsia="zh-CN"/>
              </w:rPr>
              <w:t>注：本项</w:t>
            </w:r>
            <w:r>
              <w:rPr>
                <w:rStyle w:val="66"/>
                <w:rFonts w:hint="eastAsia" w:ascii="宋体" w:hAnsi="宋体" w:cs="宋体"/>
                <w:szCs w:val="21"/>
                <w:highlight w:val="none"/>
                <w:lang w:val="en-US" w:eastAsia="zh-CN"/>
              </w:rPr>
              <w:t>最高得4分。</w:t>
            </w:r>
          </w:p>
        </w:tc>
      </w:tr>
      <w:tr w14:paraId="4B3F9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34" w:type="dxa"/>
            <w:vAlign w:val="center"/>
          </w:tcPr>
          <w:p w14:paraId="482AC7A6">
            <w:pPr>
              <w:spacing w:line="320" w:lineRule="exact"/>
              <w:jc w:val="center"/>
              <w:rPr>
                <w:rFonts w:ascii="宋体" w:hAnsi="宋体" w:cs="宋体"/>
                <w:szCs w:val="21"/>
                <w:highlight w:val="none"/>
              </w:rPr>
            </w:pPr>
            <w:r>
              <w:rPr>
                <w:rFonts w:hint="eastAsia" w:ascii="宋体" w:hAnsi="宋体" w:cs="宋体"/>
                <w:szCs w:val="21"/>
                <w:highlight w:val="none"/>
              </w:rPr>
              <w:t>2.4</w:t>
            </w:r>
          </w:p>
        </w:tc>
        <w:tc>
          <w:tcPr>
            <w:tcW w:w="1278" w:type="dxa"/>
            <w:tcBorders>
              <w:left w:val="single" w:color="auto" w:sz="4" w:space="0"/>
            </w:tcBorders>
            <w:vAlign w:val="center"/>
          </w:tcPr>
          <w:p w14:paraId="0F0BD320">
            <w:pPr>
              <w:spacing w:line="320" w:lineRule="exact"/>
              <w:jc w:val="center"/>
              <w:rPr>
                <w:rFonts w:ascii="宋体" w:hAnsi="宋体" w:eastAsia="宋体" w:cs="宋体"/>
                <w:szCs w:val="21"/>
                <w:highlight w:val="none"/>
                <w:lang w:val="en-US" w:eastAsia="zh-CN"/>
              </w:rPr>
            </w:pPr>
            <w:r>
              <w:rPr>
                <w:rFonts w:hint="eastAsia" w:ascii="宋体" w:hAnsi="宋体" w:cs="宋体"/>
                <w:szCs w:val="21"/>
                <w:highlight w:val="none"/>
                <w:lang w:val="en-US" w:eastAsia="zh-CN"/>
              </w:rPr>
              <w:t>工程研发能力</w:t>
            </w:r>
          </w:p>
        </w:tc>
        <w:tc>
          <w:tcPr>
            <w:tcW w:w="681" w:type="dxa"/>
            <w:tcBorders>
              <w:left w:val="single" w:color="auto" w:sz="4" w:space="0"/>
            </w:tcBorders>
            <w:vAlign w:val="center"/>
          </w:tcPr>
          <w:p w14:paraId="7DD8DE10">
            <w:pPr>
              <w:spacing w:line="32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2</w:t>
            </w:r>
          </w:p>
        </w:tc>
        <w:tc>
          <w:tcPr>
            <w:tcW w:w="11879" w:type="dxa"/>
            <w:tcBorders>
              <w:left w:val="single" w:color="auto" w:sz="4" w:space="0"/>
            </w:tcBorders>
            <w:vAlign w:val="center"/>
          </w:tcPr>
          <w:p w14:paraId="74E4AB55">
            <w:pPr>
              <w:adjustRightInd w:val="0"/>
              <w:snapToGrid w:val="0"/>
              <w:rPr>
                <w:rFonts w:ascii="宋体" w:hAnsi="宋体" w:eastAsia="宋体" w:cs="宋体"/>
                <w:szCs w:val="21"/>
                <w:highlight w:val="none"/>
                <w:lang w:val="en-US" w:eastAsia="zh-CN"/>
              </w:rPr>
            </w:pPr>
            <w:r>
              <w:rPr>
                <w:rFonts w:hint="eastAsia" w:ascii="宋体" w:hAnsi="宋体" w:cs="宋体"/>
                <w:szCs w:val="21"/>
                <w:highlight w:val="none"/>
                <w:lang w:val="en-US" w:eastAsia="zh-CN"/>
              </w:rPr>
              <w:t>投标人自2021年1月1日至投标截止时间为止，作为完成单位获得过省级或以上工法证书奖项的，每项得0.5分，最高得2分。</w:t>
            </w:r>
          </w:p>
        </w:tc>
      </w:tr>
      <w:tr w14:paraId="6ECD3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2012" w:type="dxa"/>
            <w:gridSpan w:val="2"/>
            <w:vAlign w:val="center"/>
          </w:tcPr>
          <w:p w14:paraId="093D6C71">
            <w:pPr>
              <w:spacing w:line="320" w:lineRule="exact"/>
              <w:jc w:val="center"/>
              <w:rPr>
                <w:rFonts w:ascii="宋体" w:hAnsi="宋体" w:cs="宋体"/>
                <w:b/>
                <w:szCs w:val="21"/>
                <w:highlight w:val="none"/>
              </w:rPr>
            </w:pPr>
            <w:r>
              <w:rPr>
                <w:rFonts w:hint="eastAsia" w:ascii="宋体" w:hAnsi="宋体" w:cs="宋体"/>
                <w:b/>
                <w:szCs w:val="21"/>
                <w:highlight w:val="none"/>
              </w:rPr>
              <w:t>合计</w:t>
            </w:r>
          </w:p>
        </w:tc>
        <w:tc>
          <w:tcPr>
            <w:tcW w:w="681" w:type="dxa"/>
            <w:tcBorders>
              <w:left w:val="single" w:color="auto" w:sz="4" w:space="0"/>
            </w:tcBorders>
            <w:vAlign w:val="center"/>
          </w:tcPr>
          <w:p w14:paraId="66F6F5A9">
            <w:pPr>
              <w:spacing w:line="320" w:lineRule="exact"/>
              <w:jc w:val="center"/>
              <w:rPr>
                <w:rFonts w:ascii="宋体" w:hAnsi="宋体" w:eastAsia="宋体" w:cs="宋体"/>
                <w:b/>
                <w:szCs w:val="21"/>
                <w:highlight w:val="none"/>
                <w:lang w:val="en-US" w:eastAsia="zh-CN"/>
              </w:rPr>
            </w:pPr>
            <w:r>
              <w:rPr>
                <w:rFonts w:hint="eastAsia" w:ascii="宋体" w:hAnsi="宋体" w:cs="宋体"/>
                <w:b/>
                <w:szCs w:val="21"/>
                <w:highlight w:val="none"/>
                <w:lang w:val="en-US" w:eastAsia="zh-CN"/>
              </w:rPr>
              <w:t>100</w:t>
            </w:r>
          </w:p>
        </w:tc>
        <w:tc>
          <w:tcPr>
            <w:tcW w:w="11879" w:type="dxa"/>
            <w:tcBorders>
              <w:left w:val="single" w:color="auto" w:sz="4" w:space="0"/>
            </w:tcBorders>
            <w:vAlign w:val="center"/>
          </w:tcPr>
          <w:p w14:paraId="74D30583">
            <w:pPr>
              <w:snapToGrid w:val="0"/>
              <w:spacing w:line="320" w:lineRule="exact"/>
              <w:jc w:val="center"/>
              <w:rPr>
                <w:rFonts w:ascii="宋体" w:hAnsi="宋体" w:cs="宋体"/>
                <w:szCs w:val="21"/>
                <w:highlight w:val="none"/>
              </w:rPr>
            </w:pPr>
          </w:p>
        </w:tc>
      </w:tr>
    </w:tbl>
    <w:p w14:paraId="1F628EE4">
      <w:pPr>
        <w:spacing w:line="276" w:lineRule="auto"/>
        <w:rPr>
          <w:rFonts w:ascii="宋体" w:hAnsi="宋体" w:cs="宋体"/>
          <w:kern w:val="0"/>
          <w:szCs w:val="21"/>
          <w:highlight w:val="none"/>
        </w:rPr>
      </w:pPr>
      <w:r>
        <w:rPr>
          <w:rFonts w:hint="eastAsia" w:ascii="宋体" w:hAnsi="宋体" w:cs="宋体"/>
          <w:kern w:val="0"/>
          <w:szCs w:val="21"/>
          <w:highlight w:val="none"/>
        </w:rPr>
        <w:t>备注：</w:t>
      </w:r>
    </w:p>
    <w:p w14:paraId="071BBEDB">
      <w:pPr>
        <w:spacing w:line="276" w:lineRule="auto"/>
        <w:rPr>
          <w:rFonts w:ascii="宋体" w:hAnsi="宋体" w:cs="宋体"/>
          <w:kern w:val="0"/>
          <w:szCs w:val="21"/>
          <w:highlight w:val="none"/>
        </w:rPr>
      </w:pPr>
      <w:r>
        <w:rPr>
          <w:rFonts w:hint="eastAsia" w:ascii="宋体" w:hAnsi="宋体" w:cs="宋体"/>
          <w:b/>
          <w:bCs/>
          <w:kern w:val="0"/>
          <w:szCs w:val="21"/>
          <w:highlight w:val="none"/>
        </w:rPr>
        <w:t>1、</w:t>
      </w:r>
      <w:r>
        <w:rPr>
          <w:rFonts w:hint="eastAsia" w:ascii="宋体" w:hAnsi="宋体" w:cs="宋体"/>
          <w:b/>
          <w:bCs/>
          <w:kern w:val="0"/>
          <w:szCs w:val="21"/>
          <w:highlight w:val="none"/>
          <w:lang w:val="en-US" w:eastAsia="zh-CN"/>
        </w:rPr>
        <w:t>项目管理机构能力</w:t>
      </w:r>
      <w:r>
        <w:rPr>
          <w:rFonts w:hint="eastAsia" w:ascii="宋体" w:hAnsi="宋体" w:cs="宋体"/>
          <w:kern w:val="0"/>
          <w:szCs w:val="21"/>
          <w:highlight w:val="none"/>
        </w:rPr>
        <w:t xml:space="preserve">：上述人员均不得兼任，除须提供职称证、执业资格证书等相关证明资料扫描件外，还须提供近一个月（即 </w:t>
      </w:r>
      <w:r>
        <w:rPr>
          <w:rFonts w:hint="eastAsia" w:ascii="宋体" w:hAnsi="宋体" w:cs="宋体"/>
          <w:kern w:val="0"/>
          <w:szCs w:val="21"/>
          <w:highlight w:val="none"/>
          <w:lang w:eastAsia="zh-CN"/>
        </w:rPr>
        <w:t>2024</w:t>
      </w:r>
      <w:r>
        <w:rPr>
          <w:rFonts w:hint="eastAsia" w:ascii="宋体" w:hAnsi="宋体" w:cs="宋体"/>
          <w:kern w:val="0"/>
          <w:szCs w:val="21"/>
          <w:highlight w:val="none"/>
        </w:rPr>
        <w:t>年</w:t>
      </w:r>
      <w:r>
        <w:rPr>
          <w:rFonts w:hint="eastAsia" w:ascii="宋体" w:hAnsi="宋体" w:cs="宋体"/>
          <w:kern w:val="0"/>
          <w:szCs w:val="21"/>
          <w:highlight w:val="none"/>
          <w:lang w:val="en-US" w:eastAsia="zh-CN"/>
        </w:rPr>
        <w:t>8</w:t>
      </w:r>
      <w:r>
        <w:rPr>
          <w:rFonts w:hint="eastAsia" w:ascii="宋体" w:hAnsi="宋体" w:cs="宋体"/>
          <w:kern w:val="0"/>
          <w:szCs w:val="21"/>
          <w:highlight w:val="none"/>
        </w:rPr>
        <w:t>月）在投标人单位（仅指投标人自身人员，含分公司，不含子、母公司）的社保缴纳记录证明扫描件</w:t>
      </w:r>
      <w:r>
        <w:rPr>
          <w:rFonts w:hint="eastAsia" w:ascii="宋体" w:hAnsi="宋体" w:cs="宋体"/>
          <w:kern w:val="0"/>
          <w:szCs w:val="21"/>
          <w:highlight w:val="none"/>
          <w:lang w:eastAsia="zh-CN"/>
        </w:rPr>
        <w:t>。</w:t>
      </w:r>
      <w:r>
        <w:rPr>
          <w:rFonts w:ascii="宋体" w:hAnsi="宋体" w:eastAsia="宋体" w:cs="等线"/>
          <w:sz w:val="20"/>
          <w:szCs w:val="20"/>
          <w:highlight w:val="none"/>
        </w:rPr>
        <w:t>按照《造价工程师职业资格制度规定》的规定，</w:t>
      </w:r>
      <w:r>
        <w:rPr>
          <w:rFonts w:hint="eastAsia" w:ascii="宋体" w:hAnsi="宋体" w:cs="宋体"/>
          <w:kern w:val="0"/>
          <w:szCs w:val="21"/>
          <w:highlight w:val="none"/>
        </w:rPr>
        <w:t>根据原人事部、原建设部发布的《造价工程师执业资格制度暂行规定》（人发〔1996〕77号）取得的造价工程师执业资格，并经注册且在有效期内的，等同于一级注册造价工程师。职称得分按投入人员的最高职称计算一次。</w:t>
      </w:r>
    </w:p>
    <w:p w14:paraId="4FE54A16">
      <w:pPr>
        <w:spacing w:line="276" w:lineRule="auto"/>
        <w:rPr>
          <w:rFonts w:hint="eastAsia" w:ascii="宋体" w:hAnsi="宋体" w:eastAsia="宋体" w:cs="宋体"/>
          <w:kern w:val="0"/>
          <w:szCs w:val="21"/>
          <w:highlight w:val="none"/>
          <w:lang w:val="en-US" w:eastAsia="zh-CN"/>
        </w:rPr>
      </w:pPr>
      <w:r>
        <w:rPr>
          <w:rFonts w:hint="eastAsia" w:ascii="宋体" w:hAnsi="宋体" w:cs="宋体"/>
          <w:b/>
          <w:bCs/>
          <w:kern w:val="0"/>
          <w:szCs w:val="21"/>
          <w:highlight w:val="none"/>
          <w:lang w:val="en-US" w:eastAsia="zh-CN"/>
        </w:rPr>
        <w:t>2、工程奖项</w:t>
      </w:r>
      <w:r>
        <w:rPr>
          <w:rFonts w:hint="eastAsia" w:ascii="宋体" w:hAnsi="宋体" w:cs="宋体"/>
          <w:kern w:val="0"/>
          <w:szCs w:val="21"/>
          <w:highlight w:val="none"/>
        </w:rPr>
        <w:t>：</w:t>
      </w:r>
      <w:r>
        <w:rPr>
          <w:rFonts w:hint="eastAsia" w:ascii="宋体" w:hAnsi="宋体" w:cs="宋体"/>
          <w:highlight w:val="none"/>
        </w:rPr>
        <w:t>须提供奖项证书原件扫描件，时间以发证时间为准。</w:t>
      </w:r>
      <w:r>
        <w:rPr>
          <w:rFonts w:hint="eastAsia" w:ascii="宋体" w:hAnsi="宋体" w:cs="宋体"/>
          <w:kern w:val="0"/>
          <w:szCs w:val="21"/>
          <w:highlight w:val="none"/>
        </w:rPr>
        <w:t>国家级工程奖项是指中国建设工程鲁班奖、国家优质工程金质奖、国家优质工程奖（原国家优质工程银质奖）、中国土木工程詹天佑奖</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中国电力优质工程奖</w:t>
      </w:r>
      <w:r>
        <w:rPr>
          <w:rFonts w:hint="eastAsia" w:ascii="宋体" w:hAnsi="宋体" w:cs="宋体"/>
          <w:highlight w:val="none"/>
          <w:lang w:eastAsia="zh-CN"/>
        </w:rPr>
        <w:t>；</w:t>
      </w:r>
      <w:r>
        <w:rPr>
          <w:rFonts w:hint="eastAsia" w:ascii="宋体" w:hAnsi="宋体" w:cs="宋体"/>
          <w:highlight w:val="none"/>
        </w:rPr>
        <w:t>省市级工程</w:t>
      </w:r>
      <w:r>
        <w:rPr>
          <w:rFonts w:hint="eastAsia" w:ascii="宋体" w:hAnsi="宋体" w:cs="宋体"/>
          <w:highlight w:val="none"/>
          <w:lang w:eastAsia="zh-CN"/>
        </w:rPr>
        <w:t>质量奖项是指由省市级建设行政主管部门或行业协会颁发（行业协会须在民政部门备案）的工程质量奖项。同一项目获得多个奖项的，按最高级别只计算一次得分，不得重复计算（不含安全文明、技术类、装饰、钢结构奖项）；若发证机构为学会或协会的，须在中国社会组织政务服务平台（</w:t>
      </w:r>
      <w:r>
        <w:rPr>
          <w:rFonts w:hint="eastAsia" w:ascii="宋体" w:hAnsi="宋体" w:cs="宋体"/>
          <w:highlight w:val="none"/>
          <w:lang w:val="en-US" w:eastAsia="zh-CN"/>
        </w:rPr>
        <w:t>https://chinanpo.mca.gov.cn/</w:t>
      </w:r>
      <w:r>
        <w:rPr>
          <w:rFonts w:hint="eastAsia" w:ascii="宋体" w:hAnsi="宋体" w:cs="宋体"/>
          <w:highlight w:val="none"/>
          <w:lang w:eastAsia="zh-CN"/>
        </w:rPr>
        <w:t>）查询并附上</w:t>
      </w:r>
      <w:r>
        <w:rPr>
          <w:rFonts w:ascii="宋体" w:hAnsi="宋体" w:cs="宋体"/>
          <w:highlight w:val="none"/>
          <w:lang w:eastAsia="zh-CN"/>
        </w:rPr>
        <w:t>查询</w:t>
      </w:r>
      <w:r>
        <w:rPr>
          <w:rFonts w:hint="eastAsia" w:ascii="宋体" w:hAnsi="宋体" w:cs="宋体"/>
          <w:highlight w:val="none"/>
          <w:lang w:eastAsia="zh-CN"/>
        </w:rPr>
        <w:t>网页截图；获奖单位须为投标单位，子分公司均不计算在内。未提供或所提供的证明资料不符合要求的，则不予得分。</w:t>
      </w:r>
    </w:p>
    <w:p w14:paraId="0D34FE25">
      <w:pPr>
        <w:spacing w:line="276" w:lineRule="auto"/>
        <w:rPr>
          <w:rFonts w:ascii="宋体" w:hAnsi="宋体" w:cs="宋体"/>
          <w:kern w:val="0"/>
          <w:szCs w:val="21"/>
          <w:highlight w:val="none"/>
        </w:rPr>
      </w:pPr>
      <w:r>
        <w:rPr>
          <w:rFonts w:hint="eastAsia" w:ascii="宋体" w:hAnsi="宋体" w:cs="宋体"/>
          <w:b/>
          <w:bCs/>
          <w:kern w:val="0"/>
          <w:szCs w:val="21"/>
          <w:highlight w:val="none"/>
          <w:lang w:val="en-US" w:eastAsia="zh-CN"/>
        </w:rPr>
        <w:t>3、类似工程业绩</w:t>
      </w:r>
      <w:r>
        <w:rPr>
          <w:rFonts w:hint="eastAsia" w:ascii="宋体" w:hAnsi="宋体" w:cs="宋体"/>
          <w:kern w:val="0"/>
          <w:szCs w:val="21"/>
          <w:highlight w:val="none"/>
        </w:rPr>
        <w:t>：</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1</w:t>
      </w:r>
      <w:r>
        <w:rPr>
          <w:rFonts w:hint="eastAsia" w:ascii="宋体" w:hAnsi="宋体" w:cs="宋体"/>
          <w:kern w:val="0"/>
          <w:szCs w:val="21"/>
          <w:highlight w:val="none"/>
          <w:lang w:eastAsia="zh-CN"/>
        </w:rPr>
        <w:t>）</w:t>
      </w:r>
      <w:r>
        <w:rPr>
          <w:rFonts w:hint="eastAsia" w:ascii="宋体" w:hAnsi="宋体" w:cs="宋体"/>
          <w:highlight w:val="none"/>
        </w:rPr>
        <w:t>施工总承包业绩或单独发包的</w:t>
      </w:r>
      <w:r>
        <w:rPr>
          <w:rFonts w:ascii="宋体" w:hAnsi="宋体" w:cs="宋体"/>
          <w:highlight w:val="none"/>
        </w:rPr>
        <w:t>电力</w:t>
      </w:r>
      <w:r>
        <w:rPr>
          <w:rFonts w:hint="eastAsia" w:ascii="宋体" w:hAnsi="宋体" w:cs="宋体"/>
          <w:highlight w:val="none"/>
        </w:rPr>
        <w:t>工程业绩，需同时提供中标通知书或免招标的相关证明、施工合同、竣工验收报告或竣工验收证明。由总承包单位依法分包的电力工程业绩，需同时提供</w:t>
      </w:r>
      <w:r>
        <w:rPr>
          <w:rFonts w:hint="eastAsia" w:ascii="宋体" w:hAnsi="宋体" w:cs="宋体"/>
          <w:highlight w:val="none"/>
          <w:lang w:val="en-US" w:eastAsia="zh-CN"/>
        </w:rPr>
        <w:t>经业主和总承包单位确认的</w:t>
      </w:r>
      <w:r>
        <w:rPr>
          <w:rFonts w:hint="eastAsia" w:ascii="宋体" w:hAnsi="宋体" w:cs="宋体"/>
          <w:highlight w:val="none"/>
        </w:rPr>
        <w:t>分包合同、竣工验收报告或竣工验收证明扫描件。如以上资料不能证明业绩规模的技术指标（指电压等级、金额等）的，须另提供可证明业绩技术指标的其他资料。提供施工合同或分包合同扫描件证明材料，可提供合同关键页，但应至少包括合同封面、合同指标金额规模页、合同盖章页。</w:t>
      </w:r>
    </w:p>
    <w:p w14:paraId="6A260073">
      <w:pPr>
        <w:ind w:firstLine="420" w:firstLineChars="200"/>
        <w:rPr>
          <w:rFonts w:ascii="宋体" w:hAnsi="宋体" w:cs="宋体"/>
          <w:highlight w:val="none"/>
        </w:rPr>
      </w:pPr>
      <w:r>
        <w:rPr>
          <w:rFonts w:hint="eastAsia" w:ascii="宋体" w:hAnsi="宋体" w:cs="宋体"/>
          <w:highlight w:val="none"/>
        </w:rPr>
        <w:t>完成时间以竣工验收文件或子分部工程质量验收记录时间为准。业绩金额按以下方式认定：</w:t>
      </w:r>
    </w:p>
    <w:p w14:paraId="525A68E2">
      <w:pPr>
        <w:ind w:firstLine="420" w:firstLineChars="200"/>
        <w:rPr>
          <w:rFonts w:ascii="宋体" w:hAnsi="宋体" w:cs="宋体"/>
          <w:highlight w:val="none"/>
        </w:rPr>
      </w:pPr>
      <w:r>
        <w:rPr>
          <w:rFonts w:hint="eastAsia" w:ascii="宋体" w:hAnsi="宋体" w:cs="宋体"/>
          <w:highlight w:val="none"/>
        </w:rPr>
        <w:t>a、适用于施工总承包项目：金额以中标通知书为准，中标通知书上没有金额或免招标的，以施工合同（不含补充合同）为准。</w:t>
      </w:r>
    </w:p>
    <w:p w14:paraId="7842BF2E">
      <w:pPr>
        <w:spacing w:line="276" w:lineRule="auto"/>
        <w:ind w:firstLine="420" w:firstLineChars="200"/>
        <w:rPr>
          <w:rFonts w:ascii="宋体" w:hAnsi="宋体" w:cs="宋体"/>
          <w:kern w:val="0"/>
          <w:szCs w:val="21"/>
          <w:highlight w:val="none"/>
        </w:rPr>
      </w:pPr>
      <w:r>
        <w:rPr>
          <w:rFonts w:hint="eastAsia" w:ascii="宋体" w:hAnsi="宋体" w:cs="宋体"/>
          <w:highlight w:val="none"/>
        </w:rPr>
        <w:t>b、适用于施工专业承包项目：单独发包的</w:t>
      </w:r>
      <w:r>
        <w:rPr>
          <w:rFonts w:hint="eastAsia" w:ascii="宋体" w:hAnsi="宋体" w:cs="宋体"/>
          <w:sz w:val="21"/>
          <w:szCs w:val="22"/>
          <w:highlight w:val="none"/>
          <w:shd w:val="clear" w:color="auto" w:fill="auto"/>
        </w:rPr>
        <w:t>电力</w:t>
      </w:r>
      <w:r>
        <w:rPr>
          <w:rFonts w:hint="eastAsia" w:ascii="宋体" w:hAnsi="宋体" w:cs="宋体"/>
          <w:highlight w:val="none"/>
        </w:rPr>
        <w:t>工程的业绩金额以中标通知书为准，中标通知书上没有金额或免招标的，以施工合同（不含补充合同）为准。如中标通知书未能体现对应的</w:t>
      </w:r>
      <w:r>
        <w:rPr>
          <w:rFonts w:hint="eastAsia" w:ascii="宋体" w:hAnsi="宋体" w:cs="宋体"/>
          <w:sz w:val="21"/>
          <w:szCs w:val="22"/>
          <w:highlight w:val="none"/>
          <w:shd w:val="clear" w:color="auto" w:fill="auto"/>
        </w:rPr>
        <w:t>电力</w:t>
      </w:r>
      <w:r>
        <w:rPr>
          <w:rFonts w:hint="eastAsia" w:ascii="宋体" w:hAnsi="宋体" w:cs="宋体"/>
          <w:highlight w:val="none"/>
        </w:rPr>
        <w:t>工程金额，则以施工合同载明的对应的</w:t>
      </w:r>
      <w:r>
        <w:rPr>
          <w:rFonts w:hint="eastAsia" w:ascii="宋体" w:hAnsi="宋体" w:cs="宋体"/>
          <w:sz w:val="21"/>
          <w:szCs w:val="22"/>
          <w:highlight w:val="none"/>
          <w:shd w:val="clear" w:color="auto" w:fill="auto"/>
        </w:rPr>
        <w:t>电力</w:t>
      </w:r>
      <w:r>
        <w:rPr>
          <w:rFonts w:hint="eastAsia" w:ascii="宋体" w:hAnsi="宋体" w:cs="宋体"/>
          <w:highlight w:val="none"/>
        </w:rPr>
        <w:t>工程金额为准，如中标通知书与施工合同均不能单独体现对应的</w:t>
      </w:r>
      <w:r>
        <w:rPr>
          <w:rFonts w:hint="eastAsia" w:ascii="宋体" w:hAnsi="宋体" w:cs="宋体"/>
          <w:sz w:val="21"/>
          <w:szCs w:val="22"/>
          <w:highlight w:val="none"/>
          <w:shd w:val="clear" w:color="auto" w:fill="auto"/>
        </w:rPr>
        <w:t>电力</w:t>
      </w:r>
      <w:r>
        <w:rPr>
          <w:rFonts w:hint="eastAsia" w:ascii="宋体" w:hAnsi="宋体" w:cs="宋体"/>
          <w:highlight w:val="none"/>
        </w:rPr>
        <w:t>工程金额，则以建设单位提供的证明资料中载明的对应</w:t>
      </w:r>
      <w:r>
        <w:rPr>
          <w:rFonts w:hint="eastAsia" w:ascii="宋体" w:hAnsi="宋体" w:cs="宋体"/>
          <w:sz w:val="21"/>
          <w:szCs w:val="22"/>
          <w:highlight w:val="none"/>
          <w:shd w:val="clear" w:color="auto" w:fill="auto"/>
        </w:rPr>
        <w:t>电力工程</w:t>
      </w:r>
      <w:r>
        <w:rPr>
          <w:rFonts w:hint="eastAsia" w:ascii="宋体" w:hAnsi="宋体" w:cs="宋体"/>
          <w:highlight w:val="none"/>
        </w:rPr>
        <w:t>金额为准。由总承包单位依法分包的</w:t>
      </w:r>
      <w:r>
        <w:rPr>
          <w:rFonts w:hint="eastAsia" w:ascii="宋体" w:hAnsi="宋体" w:cs="宋体"/>
          <w:sz w:val="21"/>
          <w:szCs w:val="22"/>
          <w:highlight w:val="none"/>
          <w:shd w:val="clear" w:color="auto" w:fill="auto"/>
        </w:rPr>
        <w:t>电力</w:t>
      </w:r>
      <w:r>
        <w:rPr>
          <w:rFonts w:hint="eastAsia" w:ascii="宋体" w:hAnsi="宋体" w:cs="宋体"/>
          <w:highlight w:val="none"/>
        </w:rPr>
        <w:t>工程业绩其金额以分包合同中约定的合同金额为准。</w:t>
      </w:r>
    </w:p>
    <w:p w14:paraId="4A46C683">
      <w:pPr>
        <w:spacing w:line="276" w:lineRule="auto"/>
        <w:ind w:firstLine="0"/>
        <w:rPr>
          <w:rFonts w:hint="eastAsia" w:ascii="宋体" w:hAnsi="宋体" w:cs="宋体"/>
          <w:highlight w:val="none"/>
        </w:rPr>
      </w:pPr>
      <w:r>
        <w:rPr>
          <w:rFonts w:hint="eastAsia" w:ascii="宋体" w:hAnsi="宋体" w:cs="宋体"/>
          <w:b/>
          <w:bCs/>
          <w:highlight w:val="none"/>
          <w:lang w:val="en-US" w:eastAsia="zh-CN"/>
        </w:rPr>
        <w:t>4.</w:t>
      </w:r>
      <w:r>
        <w:rPr>
          <w:rFonts w:hint="eastAsia" w:ascii="宋体" w:hAnsi="宋体" w:cs="宋体"/>
          <w:b/>
          <w:bCs/>
          <w:kern w:val="2"/>
          <w:szCs w:val="22"/>
          <w:highlight w:val="none"/>
          <w:lang w:val="en-US" w:eastAsia="zh-CN"/>
        </w:rPr>
        <w:t>第三方评价</w:t>
      </w:r>
      <w:r>
        <w:rPr>
          <w:rFonts w:hint="eastAsia" w:ascii="宋体" w:hAnsi="宋体" w:cs="宋体"/>
          <w:b/>
          <w:bCs/>
          <w:kern w:val="2"/>
          <w:szCs w:val="22"/>
          <w:highlight w:val="none"/>
        </w:rPr>
        <w:t>：</w:t>
      </w:r>
      <w:r>
        <w:rPr>
          <w:rFonts w:hint="eastAsia" w:ascii="宋体" w:hAnsi="宋体" w:cs="宋体"/>
          <w:bCs w:val="0"/>
          <w:szCs w:val="22"/>
          <w:highlight w:val="none"/>
          <w:lang w:val="en-US" w:eastAsia="zh-CN"/>
        </w:rPr>
        <w:t>体系认证</w:t>
      </w:r>
      <w:r>
        <w:rPr>
          <w:rFonts w:ascii="宋体" w:hAnsi="宋体" w:cs="宋体"/>
          <w:bCs w:val="0"/>
          <w:szCs w:val="22"/>
          <w:highlight w:val="none"/>
          <w:lang w:val="en-US" w:eastAsia="zh-CN"/>
        </w:rPr>
        <w:t>需</w:t>
      </w:r>
      <w:r>
        <w:rPr>
          <w:rFonts w:hint="eastAsia" w:ascii="宋体" w:hAnsi="宋体" w:cs="宋体"/>
          <w:bCs w:val="0"/>
          <w:szCs w:val="22"/>
          <w:highlight w:val="none"/>
          <w:lang w:val="en-US" w:eastAsia="zh-CN"/>
        </w:rPr>
        <w:t>提供证书扫描件，未提供的不得分</w:t>
      </w:r>
      <w:r>
        <w:rPr>
          <w:rFonts w:hint="eastAsia" w:ascii="宋体" w:hAnsi="宋体" w:cs="宋体"/>
          <w:highlight w:val="none"/>
        </w:rPr>
        <w:t>。</w:t>
      </w:r>
    </w:p>
    <w:p w14:paraId="16759370">
      <w:pPr>
        <w:spacing w:line="276" w:lineRule="auto"/>
        <w:ind w:firstLine="0"/>
        <w:rPr>
          <w:rFonts w:hint="eastAsia" w:ascii="宋体" w:hAnsi="宋体" w:cs="宋体"/>
          <w:highlight w:val="none"/>
        </w:rPr>
      </w:pPr>
      <w:r>
        <w:rPr>
          <w:rFonts w:hint="eastAsia" w:ascii="宋体" w:hAnsi="宋体" w:cs="宋体"/>
          <w:b/>
          <w:bCs/>
          <w:sz w:val="21"/>
          <w:szCs w:val="22"/>
          <w:highlight w:val="none"/>
          <w:shd w:val="clear" w:color="auto" w:fill="auto"/>
          <w:lang w:val="en-US" w:eastAsia="zh-CN"/>
        </w:rPr>
        <w:t>5.</w:t>
      </w:r>
      <w:r>
        <w:rPr>
          <w:rFonts w:hint="eastAsia" w:ascii="宋体" w:hAnsi="宋体" w:cs="宋体"/>
          <w:b/>
          <w:bCs/>
          <w:sz w:val="21"/>
          <w:szCs w:val="22"/>
          <w:highlight w:val="none"/>
          <w:shd w:val="clear" w:color="auto" w:fill="auto"/>
        </w:rPr>
        <w:t>工程研发能力：</w:t>
      </w:r>
      <w:r>
        <w:rPr>
          <w:rFonts w:hint="eastAsia" w:ascii="宋体" w:hAnsi="宋体" w:cs="宋体"/>
          <w:sz w:val="21"/>
          <w:szCs w:val="22"/>
          <w:highlight w:val="none"/>
          <w:shd w:val="clear" w:color="auto" w:fill="auto"/>
        </w:rPr>
        <w:t>须提供由</w:t>
      </w:r>
      <w:r>
        <w:rPr>
          <w:rFonts w:ascii="宋体" w:hAnsi="宋体" w:cs="宋体"/>
          <w:sz w:val="21"/>
          <w:szCs w:val="22"/>
          <w:highlight w:val="none"/>
          <w:shd w:val="clear" w:color="auto" w:fill="auto"/>
        </w:rPr>
        <w:t>省级或以上建设</w:t>
      </w:r>
      <w:r>
        <w:rPr>
          <w:rFonts w:hint="eastAsia" w:ascii="宋体" w:hAnsi="宋体" w:cs="宋体"/>
          <w:sz w:val="21"/>
          <w:szCs w:val="22"/>
          <w:highlight w:val="none"/>
          <w:shd w:val="clear" w:color="auto" w:fill="auto"/>
        </w:rPr>
        <w:t>行政主管部门或行业协会(行业协会须在民政管理部门登记备案)或其他工法主管部门颁发的</w:t>
      </w:r>
      <w:r>
        <w:rPr>
          <w:rFonts w:ascii="宋体" w:hAnsi="宋体" w:cs="宋体"/>
          <w:sz w:val="21"/>
          <w:szCs w:val="22"/>
          <w:highlight w:val="none"/>
          <w:shd w:val="clear" w:color="auto" w:fill="auto"/>
        </w:rPr>
        <w:t>工法</w:t>
      </w:r>
      <w:r>
        <w:rPr>
          <w:rFonts w:hint="eastAsia" w:ascii="宋体" w:hAnsi="宋体" w:cs="宋体"/>
          <w:sz w:val="21"/>
          <w:szCs w:val="22"/>
          <w:highlight w:val="none"/>
          <w:shd w:val="clear" w:color="auto" w:fill="auto"/>
        </w:rPr>
        <w:t>证书扫描件，时间以发证时间为准。</w:t>
      </w:r>
      <w:r>
        <w:rPr>
          <w:rFonts w:ascii="宋体" w:hAnsi="宋体" w:cs="宋体"/>
          <w:sz w:val="21"/>
          <w:szCs w:val="22"/>
          <w:highlight w:val="none"/>
          <w:shd w:val="clear" w:color="auto" w:fill="auto"/>
        </w:rPr>
        <w:t>相同工法按最高级别奖项只计一次得分。</w:t>
      </w:r>
      <w:r>
        <w:rPr>
          <w:rFonts w:hint="eastAsia" w:ascii="宋体" w:hAnsi="宋体" w:cs="宋体"/>
          <w:highlight w:val="none"/>
          <w:lang w:eastAsia="zh-CN"/>
        </w:rPr>
        <w:t>若发证机构为学会或协会的，须在中国社会组织政务服务平台（</w:t>
      </w:r>
      <w:r>
        <w:rPr>
          <w:rFonts w:hint="eastAsia" w:ascii="宋体" w:hAnsi="宋体" w:cs="宋体"/>
          <w:highlight w:val="none"/>
          <w:lang w:val="en-US" w:eastAsia="zh-CN"/>
        </w:rPr>
        <w:t>https://chinanpo.mca.gov.cn/</w:t>
      </w:r>
      <w:r>
        <w:rPr>
          <w:rFonts w:hint="eastAsia" w:ascii="宋体" w:hAnsi="宋体" w:cs="宋体"/>
          <w:highlight w:val="none"/>
          <w:lang w:eastAsia="zh-CN"/>
        </w:rPr>
        <w:t>）查询并附上</w:t>
      </w:r>
      <w:r>
        <w:rPr>
          <w:rFonts w:ascii="宋体" w:hAnsi="宋体" w:cs="宋体"/>
          <w:highlight w:val="none"/>
          <w:lang w:eastAsia="zh-CN"/>
        </w:rPr>
        <w:t>查询</w:t>
      </w:r>
      <w:r>
        <w:rPr>
          <w:rFonts w:hint="eastAsia" w:ascii="宋体" w:hAnsi="宋体" w:cs="宋体"/>
          <w:highlight w:val="none"/>
          <w:lang w:eastAsia="zh-CN"/>
        </w:rPr>
        <w:t>网页截图</w:t>
      </w:r>
      <w:r>
        <w:rPr>
          <w:rFonts w:ascii="宋体" w:hAnsi="宋体" w:cs="宋体"/>
          <w:highlight w:val="none"/>
          <w:lang w:eastAsia="zh-CN"/>
        </w:rPr>
        <w:t>。</w:t>
      </w:r>
    </w:p>
    <w:p w14:paraId="1D628414">
      <w:pPr>
        <w:spacing w:line="276" w:lineRule="auto"/>
        <w:ind w:firstLine="420" w:firstLineChars="200"/>
        <w:rPr>
          <w:rFonts w:hint="eastAsia" w:ascii="宋体" w:hAnsi="宋体" w:cs="宋体"/>
          <w:kern w:val="2"/>
          <w:szCs w:val="22"/>
          <w:highlight w:val="none"/>
        </w:rPr>
        <w:sectPr>
          <w:headerReference r:id="rId13" w:type="first"/>
          <w:footerReference r:id="rId16" w:type="first"/>
          <w:headerReference r:id="rId11" w:type="default"/>
          <w:footerReference r:id="rId14" w:type="default"/>
          <w:headerReference r:id="rId12" w:type="even"/>
          <w:footerReference r:id="rId15" w:type="even"/>
          <w:pgSz w:w="16838" w:h="11906"/>
          <w:pgMar w:top="1418" w:right="1701" w:bottom="1418" w:left="1701" w:header="851" w:footer="907" w:gutter="0"/>
          <w:cols w:space="720" w:num="1"/>
          <w:titlePg/>
          <w:docGrid w:type="lines" w:linePitch="312" w:charSpace="0"/>
        </w:sectPr>
      </w:pPr>
      <w:r>
        <w:rPr>
          <w:rFonts w:hint="eastAsia" w:ascii="宋体" w:hAnsi="宋体" w:eastAsia="宋体" w:cs="宋体"/>
          <w:szCs w:val="22"/>
          <w:highlight w:val="none"/>
          <w:lang w:val="en-US" w:eastAsia="zh-CN"/>
        </w:rPr>
        <w:t>6</w:t>
      </w:r>
      <w:r>
        <w:rPr>
          <w:rFonts w:hint="eastAsia" w:ascii="宋体" w:hAnsi="宋体" w:eastAsia="宋体" w:cs="宋体"/>
          <w:szCs w:val="22"/>
          <w:highlight w:val="none"/>
        </w:rPr>
        <w:t>、</w:t>
      </w:r>
      <w:r>
        <w:rPr>
          <w:rFonts w:hint="eastAsia" w:ascii="宋体" w:hAnsi="宋体" w:eastAsia="宋体" w:cs="宋体"/>
          <w:kern w:val="2"/>
          <w:szCs w:val="22"/>
          <w:highlight w:val="none"/>
          <w:lang w:val="en-US" w:eastAsia="zh-CN"/>
        </w:rPr>
        <w:t>本表按百分制评分，</w:t>
      </w:r>
      <w:r>
        <w:rPr>
          <w:rFonts w:ascii="宋体" w:hAnsi="宋体" w:eastAsia="宋体" w:cs="宋体"/>
          <w:kern w:val="2"/>
          <w:szCs w:val="22"/>
          <w:highlight w:val="none"/>
          <w:lang w:val="en-US" w:eastAsia="zh-CN"/>
        </w:rPr>
        <w:t>投标人得分为各评委评</w:t>
      </w:r>
      <w:r>
        <w:rPr>
          <w:rFonts w:hint="eastAsia" w:ascii="宋体" w:hAnsi="宋体" w:cs="宋体"/>
          <w:kern w:val="2"/>
          <w:szCs w:val="22"/>
          <w:highlight w:val="none"/>
          <w:lang w:val="en-US" w:eastAsia="zh-CN"/>
        </w:rPr>
        <w:t>分汇总后</w:t>
      </w:r>
      <w:r>
        <w:rPr>
          <w:rFonts w:hint="eastAsia" w:ascii="宋体" w:hAnsi="宋体" w:cs="宋体"/>
          <w:kern w:val="2"/>
          <w:szCs w:val="22"/>
          <w:highlight w:val="none"/>
        </w:rPr>
        <w:t>的算术平均值（若分数出现小数点时，保留小数点后二位，第三位小数四舍五入）。</w:t>
      </w:r>
    </w:p>
    <w:p w14:paraId="26B30D05">
      <w:pPr>
        <w:jc w:val="center"/>
        <w:rPr>
          <w:rFonts w:hint="eastAsia"/>
          <w:b/>
          <w:bCs/>
          <w:sz w:val="28"/>
          <w:szCs w:val="36"/>
          <w:highlight w:val="none"/>
          <w:lang w:val="en-US" w:eastAsia="zh-CN"/>
        </w:rPr>
      </w:pPr>
      <w:r>
        <w:rPr>
          <w:rFonts w:hint="eastAsia"/>
          <w:b/>
          <w:bCs/>
          <w:sz w:val="28"/>
          <w:szCs w:val="36"/>
          <w:highlight w:val="none"/>
          <w:lang w:val="en-US" w:eastAsia="zh-CN"/>
        </w:rPr>
        <w:t>项目组织管理机构组成人员配备要求表</w:t>
      </w:r>
    </w:p>
    <w:tbl>
      <w:tblPr>
        <w:tblStyle w:val="26"/>
        <w:tblW w:w="545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2713"/>
        <w:gridCol w:w="1607"/>
        <w:gridCol w:w="5251"/>
        <w:gridCol w:w="4485"/>
      </w:tblGrid>
      <w:tr w14:paraId="69560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83" w:type="pct"/>
            <w:vAlign w:val="center"/>
          </w:tcPr>
          <w:p w14:paraId="578CDBF2">
            <w:pPr>
              <w:widowControl w:val="0"/>
              <w:jc w:val="center"/>
              <w:rPr>
                <w:highlight w:val="none"/>
                <w:vertAlign w:val="baseline"/>
                <w:lang w:val="en-US" w:eastAsia="zh-CN"/>
              </w:rPr>
            </w:pPr>
            <w:r>
              <w:rPr>
                <w:rFonts w:hint="eastAsia"/>
                <w:highlight w:val="none"/>
                <w:vertAlign w:val="baseline"/>
                <w:lang w:val="en-US" w:eastAsia="zh-CN"/>
              </w:rPr>
              <w:t>序号</w:t>
            </w:r>
          </w:p>
        </w:tc>
        <w:tc>
          <w:tcPr>
            <w:tcW w:w="910" w:type="pct"/>
            <w:vAlign w:val="center"/>
          </w:tcPr>
          <w:p w14:paraId="5A5CE07B">
            <w:pPr>
              <w:widowControl w:val="0"/>
              <w:jc w:val="center"/>
              <w:rPr>
                <w:highlight w:val="none"/>
                <w:vertAlign w:val="baseline"/>
                <w:lang w:val="en-US" w:eastAsia="zh-CN"/>
              </w:rPr>
            </w:pPr>
            <w:r>
              <w:rPr>
                <w:rFonts w:hint="eastAsia"/>
                <w:highlight w:val="none"/>
                <w:vertAlign w:val="baseline"/>
                <w:lang w:val="en-US" w:eastAsia="zh-CN"/>
              </w:rPr>
              <w:t>项目管理团队</w:t>
            </w:r>
          </w:p>
        </w:tc>
        <w:tc>
          <w:tcPr>
            <w:tcW w:w="539" w:type="pct"/>
            <w:vAlign w:val="center"/>
          </w:tcPr>
          <w:p w14:paraId="67728F02">
            <w:pPr>
              <w:widowControl w:val="0"/>
              <w:jc w:val="center"/>
              <w:rPr>
                <w:highlight w:val="none"/>
                <w:vertAlign w:val="baseline"/>
                <w:lang w:val="en-US" w:eastAsia="zh-CN"/>
              </w:rPr>
            </w:pPr>
            <w:r>
              <w:rPr>
                <w:rFonts w:hint="eastAsia"/>
                <w:highlight w:val="none"/>
                <w:vertAlign w:val="baseline"/>
                <w:lang w:val="en-US" w:eastAsia="zh-CN"/>
              </w:rPr>
              <w:t>数量</w:t>
            </w:r>
          </w:p>
        </w:tc>
        <w:tc>
          <w:tcPr>
            <w:tcW w:w="1761" w:type="pct"/>
            <w:vAlign w:val="center"/>
          </w:tcPr>
          <w:p w14:paraId="6A758D09">
            <w:pPr>
              <w:widowControl w:val="0"/>
              <w:jc w:val="center"/>
              <w:rPr>
                <w:highlight w:val="none"/>
                <w:vertAlign w:val="baseline"/>
                <w:lang w:val="en-US" w:eastAsia="zh-CN"/>
              </w:rPr>
            </w:pPr>
            <w:r>
              <w:rPr>
                <w:rFonts w:hint="eastAsia"/>
                <w:highlight w:val="none"/>
                <w:vertAlign w:val="baseline"/>
                <w:lang w:val="en-US" w:eastAsia="zh-CN"/>
              </w:rPr>
              <w:t>任职条件</w:t>
            </w:r>
          </w:p>
        </w:tc>
        <w:tc>
          <w:tcPr>
            <w:tcW w:w="1504" w:type="pct"/>
            <w:vAlign w:val="center"/>
          </w:tcPr>
          <w:p w14:paraId="06FB082B">
            <w:pPr>
              <w:widowControl w:val="0"/>
              <w:jc w:val="center"/>
              <w:rPr>
                <w:highlight w:val="none"/>
                <w:vertAlign w:val="baseline"/>
                <w:lang w:val="en-US" w:eastAsia="zh-CN"/>
              </w:rPr>
            </w:pPr>
            <w:r>
              <w:rPr>
                <w:rFonts w:hint="eastAsia"/>
                <w:highlight w:val="none"/>
                <w:vertAlign w:val="baseline"/>
                <w:lang w:val="en-US" w:eastAsia="zh-CN"/>
              </w:rPr>
              <w:t>备注</w:t>
            </w:r>
          </w:p>
        </w:tc>
      </w:tr>
      <w:tr w14:paraId="4C0C4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83" w:type="pct"/>
            <w:vAlign w:val="center"/>
          </w:tcPr>
          <w:p w14:paraId="03B5D57F">
            <w:pPr>
              <w:widowControl w:val="0"/>
              <w:jc w:val="center"/>
              <w:rPr>
                <w:highlight w:val="none"/>
                <w:vertAlign w:val="baseline"/>
                <w:lang w:val="en-US" w:eastAsia="zh-CN"/>
              </w:rPr>
            </w:pPr>
            <w:r>
              <w:rPr>
                <w:rFonts w:hint="eastAsia"/>
                <w:highlight w:val="none"/>
                <w:vertAlign w:val="baseline"/>
                <w:lang w:val="en-US" w:eastAsia="zh-CN"/>
              </w:rPr>
              <w:t>1</w:t>
            </w:r>
          </w:p>
        </w:tc>
        <w:tc>
          <w:tcPr>
            <w:tcW w:w="910" w:type="pct"/>
            <w:tcBorders>
              <w:left w:val="single" w:color="auto" w:sz="4" w:space="0"/>
            </w:tcBorders>
            <w:vAlign w:val="center"/>
          </w:tcPr>
          <w:p w14:paraId="6C4D714D">
            <w:pPr>
              <w:widowControl w:val="0"/>
              <w:jc w:val="center"/>
              <w:rPr>
                <w:highlight w:val="none"/>
                <w:vertAlign w:val="baseline"/>
                <w:lang w:val="en-US" w:eastAsia="zh-CN"/>
              </w:rPr>
            </w:pPr>
            <w:r>
              <w:rPr>
                <w:rFonts w:hint="eastAsia"/>
                <w:highlight w:val="none"/>
                <w:vertAlign w:val="baseline"/>
                <w:lang w:val="en-US" w:eastAsia="zh-CN"/>
              </w:rPr>
              <w:t>项目负责人</w:t>
            </w:r>
          </w:p>
        </w:tc>
        <w:tc>
          <w:tcPr>
            <w:tcW w:w="539" w:type="pct"/>
            <w:tcBorders>
              <w:left w:val="single" w:color="auto" w:sz="4" w:space="0"/>
            </w:tcBorders>
            <w:vAlign w:val="center"/>
          </w:tcPr>
          <w:p w14:paraId="5351A0AE">
            <w:pPr>
              <w:widowControl w:val="0"/>
              <w:jc w:val="center"/>
              <w:rPr>
                <w:highlight w:val="none"/>
                <w:vertAlign w:val="baseline"/>
                <w:lang w:val="en-US" w:eastAsia="zh-CN"/>
              </w:rPr>
            </w:pPr>
            <w:r>
              <w:rPr>
                <w:rFonts w:hint="eastAsia"/>
                <w:highlight w:val="none"/>
                <w:vertAlign w:val="baseline"/>
                <w:lang w:val="en-US" w:eastAsia="zh-CN"/>
              </w:rPr>
              <w:t>1</w:t>
            </w:r>
          </w:p>
        </w:tc>
        <w:tc>
          <w:tcPr>
            <w:tcW w:w="1761" w:type="pct"/>
            <w:tcBorders>
              <w:left w:val="single" w:color="auto" w:sz="4" w:space="0"/>
            </w:tcBorders>
            <w:vAlign w:val="center"/>
          </w:tcPr>
          <w:p w14:paraId="20727A92">
            <w:pPr>
              <w:widowControl w:val="0"/>
              <w:jc w:val="center"/>
              <w:rPr>
                <w:highlight w:val="none"/>
                <w:vertAlign w:val="baseline"/>
                <w:lang w:val="en-US" w:eastAsia="zh-CN"/>
              </w:rPr>
            </w:pPr>
            <w:r>
              <w:rPr>
                <w:rFonts w:hint="eastAsia"/>
                <w:highlight w:val="none"/>
                <w:vertAlign w:val="baseline"/>
                <w:lang w:val="en-US" w:eastAsia="zh-CN"/>
              </w:rPr>
              <w:t>满足招标公告要求</w:t>
            </w:r>
          </w:p>
        </w:tc>
        <w:tc>
          <w:tcPr>
            <w:tcW w:w="1504" w:type="pct"/>
            <w:tcBorders>
              <w:left w:val="single" w:color="auto" w:sz="4" w:space="0"/>
            </w:tcBorders>
            <w:vAlign w:val="center"/>
          </w:tcPr>
          <w:p w14:paraId="0F11891C">
            <w:pPr>
              <w:widowControl w:val="0"/>
              <w:jc w:val="center"/>
              <w:rPr>
                <w:highlight w:val="none"/>
                <w:vertAlign w:val="baseline"/>
                <w:lang w:val="en-US" w:eastAsia="zh-CN"/>
              </w:rPr>
            </w:pPr>
            <w:r>
              <w:rPr>
                <w:rFonts w:hint="eastAsia"/>
                <w:highlight w:val="none"/>
                <w:vertAlign w:val="baseline"/>
                <w:lang w:val="en-US" w:eastAsia="zh-CN"/>
              </w:rPr>
              <w:t>按招标公告提供资料</w:t>
            </w:r>
          </w:p>
        </w:tc>
      </w:tr>
      <w:tr w14:paraId="15109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83" w:type="pct"/>
            <w:vAlign w:val="center"/>
          </w:tcPr>
          <w:p w14:paraId="3A18A5DA">
            <w:pPr>
              <w:widowControl w:val="0"/>
              <w:jc w:val="center"/>
              <w:rPr>
                <w:highlight w:val="none"/>
                <w:vertAlign w:val="baseline"/>
                <w:lang w:val="en-US" w:eastAsia="zh-CN"/>
              </w:rPr>
            </w:pPr>
            <w:r>
              <w:rPr>
                <w:rFonts w:hint="eastAsia"/>
                <w:highlight w:val="none"/>
                <w:vertAlign w:val="baseline"/>
                <w:lang w:val="en-US" w:eastAsia="zh-CN"/>
              </w:rPr>
              <w:t>2</w:t>
            </w:r>
          </w:p>
        </w:tc>
        <w:tc>
          <w:tcPr>
            <w:tcW w:w="910" w:type="pct"/>
            <w:tcBorders>
              <w:left w:val="single" w:color="auto" w:sz="4" w:space="0"/>
            </w:tcBorders>
            <w:vAlign w:val="center"/>
          </w:tcPr>
          <w:p w14:paraId="6D8F944E">
            <w:pPr>
              <w:widowControl w:val="0"/>
              <w:jc w:val="center"/>
              <w:rPr>
                <w:highlight w:val="none"/>
                <w:vertAlign w:val="baseline"/>
                <w:lang w:val="en-US" w:eastAsia="zh-CN"/>
              </w:rPr>
            </w:pPr>
            <w:r>
              <w:rPr>
                <w:rFonts w:hint="eastAsia"/>
                <w:highlight w:val="none"/>
                <w:vertAlign w:val="baseline"/>
                <w:lang w:val="en-US" w:eastAsia="zh-CN"/>
              </w:rPr>
              <w:t>技术负责人</w:t>
            </w:r>
          </w:p>
        </w:tc>
        <w:tc>
          <w:tcPr>
            <w:tcW w:w="539" w:type="pct"/>
            <w:tcBorders>
              <w:left w:val="single" w:color="auto" w:sz="4" w:space="0"/>
            </w:tcBorders>
            <w:vAlign w:val="center"/>
          </w:tcPr>
          <w:p w14:paraId="575314B4">
            <w:pPr>
              <w:widowControl w:val="0"/>
              <w:jc w:val="center"/>
              <w:rPr>
                <w:highlight w:val="none"/>
                <w:vertAlign w:val="baseline"/>
                <w:lang w:val="en-US" w:eastAsia="zh-CN"/>
              </w:rPr>
            </w:pPr>
            <w:r>
              <w:rPr>
                <w:rFonts w:hint="eastAsia"/>
                <w:highlight w:val="none"/>
                <w:vertAlign w:val="baseline"/>
                <w:lang w:val="en-US" w:eastAsia="zh-CN"/>
              </w:rPr>
              <w:t>1</w:t>
            </w:r>
          </w:p>
        </w:tc>
        <w:tc>
          <w:tcPr>
            <w:tcW w:w="1761" w:type="pct"/>
            <w:tcBorders>
              <w:left w:val="single" w:color="auto" w:sz="4" w:space="0"/>
            </w:tcBorders>
            <w:vAlign w:val="center"/>
          </w:tcPr>
          <w:p w14:paraId="4069F1F4">
            <w:pPr>
              <w:widowControl w:val="0"/>
              <w:jc w:val="center"/>
              <w:rPr>
                <w:highlight w:val="none"/>
                <w:vertAlign w:val="baseline"/>
                <w:lang w:val="en-US" w:eastAsia="zh-CN"/>
              </w:rPr>
            </w:pPr>
            <w:r>
              <w:rPr>
                <w:rFonts w:hint="eastAsia"/>
                <w:highlight w:val="none"/>
                <w:vertAlign w:val="baseline"/>
                <w:lang w:val="en-US" w:eastAsia="zh-CN"/>
              </w:rPr>
              <w:t>满足招标公告要求</w:t>
            </w:r>
          </w:p>
        </w:tc>
        <w:tc>
          <w:tcPr>
            <w:tcW w:w="1504" w:type="pct"/>
            <w:tcBorders>
              <w:left w:val="single" w:color="auto" w:sz="4" w:space="0"/>
            </w:tcBorders>
            <w:vAlign w:val="center"/>
          </w:tcPr>
          <w:p w14:paraId="3396183F">
            <w:pPr>
              <w:widowControl w:val="0"/>
              <w:jc w:val="center"/>
              <w:rPr>
                <w:highlight w:val="none"/>
                <w:vertAlign w:val="baseline"/>
                <w:lang w:val="en-US" w:eastAsia="zh-CN"/>
              </w:rPr>
            </w:pPr>
            <w:r>
              <w:rPr>
                <w:rFonts w:hint="eastAsia"/>
                <w:highlight w:val="none"/>
                <w:vertAlign w:val="baseline"/>
                <w:lang w:val="en-US" w:eastAsia="zh-CN"/>
              </w:rPr>
              <w:t>按招标公告提供资料</w:t>
            </w:r>
          </w:p>
        </w:tc>
      </w:tr>
      <w:tr w14:paraId="32E2E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83" w:type="pct"/>
            <w:vAlign w:val="center"/>
          </w:tcPr>
          <w:p w14:paraId="59B8FF67">
            <w:pPr>
              <w:widowControl w:val="0"/>
              <w:jc w:val="center"/>
              <w:rPr>
                <w:highlight w:val="none"/>
                <w:vertAlign w:val="baseline"/>
                <w:lang w:val="en-US" w:eastAsia="zh-CN"/>
              </w:rPr>
            </w:pPr>
            <w:r>
              <w:rPr>
                <w:rFonts w:hint="eastAsia"/>
                <w:highlight w:val="none"/>
                <w:vertAlign w:val="baseline"/>
                <w:lang w:val="en-US" w:eastAsia="zh-CN"/>
              </w:rPr>
              <w:t>3</w:t>
            </w:r>
          </w:p>
        </w:tc>
        <w:tc>
          <w:tcPr>
            <w:tcW w:w="910" w:type="pct"/>
            <w:tcBorders>
              <w:left w:val="single" w:color="auto" w:sz="4" w:space="0"/>
            </w:tcBorders>
            <w:vAlign w:val="center"/>
          </w:tcPr>
          <w:p w14:paraId="29ED1FFF">
            <w:pPr>
              <w:widowControl w:val="0"/>
              <w:jc w:val="center"/>
              <w:rPr>
                <w:highlight w:val="none"/>
                <w:vertAlign w:val="baseline"/>
                <w:lang w:val="en-US" w:eastAsia="zh-CN"/>
              </w:rPr>
            </w:pPr>
            <w:r>
              <w:rPr>
                <w:rFonts w:hint="eastAsia"/>
                <w:highlight w:val="none"/>
                <w:vertAlign w:val="baseline"/>
                <w:lang w:val="en-US" w:eastAsia="zh-CN"/>
              </w:rPr>
              <w:t>质量负责人</w:t>
            </w:r>
          </w:p>
        </w:tc>
        <w:tc>
          <w:tcPr>
            <w:tcW w:w="539" w:type="pct"/>
            <w:tcBorders>
              <w:left w:val="single" w:color="auto" w:sz="4" w:space="0"/>
            </w:tcBorders>
            <w:vAlign w:val="center"/>
          </w:tcPr>
          <w:p w14:paraId="20F3B275">
            <w:pPr>
              <w:widowControl w:val="0"/>
              <w:jc w:val="center"/>
              <w:rPr>
                <w:highlight w:val="none"/>
                <w:vertAlign w:val="baseline"/>
                <w:lang w:val="en-US" w:eastAsia="zh-CN"/>
              </w:rPr>
            </w:pPr>
            <w:r>
              <w:rPr>
                <w:rFonts w:hint="eastAsia"/>
                <w:highlight w:val="none"/>
                <w:vertAlign w:val="baseline"/>
                <w:lang w:val="en-US" w:eastAsia="zh-CN"/>
              </w:rPr>
              <w:t>1</w:t>
            </w:r>
          </w:p>
        </w:tc>
        <w:tc>
          <w:tcPr>
            <w:tcW w:w="1761" w:type="pct"/>
            <w:tcBorders>
              <w:left w:val="single" w:color="auto" w:sz="4" w:space="0"/>
            </w:tcBorders>
            <w:vAlign w:val="center"/>
          </w:tcPr>
          <w:p w14:paraId="1FC3ECCD">
            <w:pPr>
              <w:widowControl w:val="0"/>
              <w:jc w:val="center"/>
              <w:rPr>
                <w:highlight w:val="none"/>
                <w:vertAlign w:val="baseline"/>
                <w:lang w:val="en-US" w:eastAsia="zh-CN"/>
              </w:rPr>
            </w:pPr>
            <w:r>
              <w:rPr>
                <w:rFonts w:hint="eastAsia"/>
                <w:highlight w:val="none"/>
                <w:vertAlign w:val="baseline"/>
                <w:lang w:val="en-US" w:eastAsia="zh-CN"/>
              </w:rPr>
              <w:t>具备电力或机电或电气相关专业中级或以上技术职称</w:t>
            </w:r>
          </w:p>
        </w:tc>
        <w:tc>
          <w:tcPr>
            <w:tcW w:w="1504" w:type="pct"/>
            <w:tcBorders>
              <w:left w:val="single" w:color="auto" w:sz="4" w:space="0"/>
            </w:tcBorders>
            <w:vAlign w:val="center"/>
          </w:tcPr>
          <w:p w14:paraId="6A12E3E5">
            <w:pPr>
              <w:widowControl w:val="0"/>
              <w:jc w:val="center"/>
              <w:rPr>
                <w:highlight w:val="none"/>
                <w:vertAlign w:val="baseline"/>
                <w:lang w:val="en-US" w:eastAsia="zh-CN"/>
              </w:rPr>
            </w:pPr>
            <w:r>
              <w:rPr>
                <w:rFonts w:hint="eastAsia"/>
                <w:highlight w:val="none"/>
                <w:vertAlign w:val="baseline"/>
                <w:lang w:val="en-US" w:eastAsia="zh-CN"/>
              </w:rPr>
              <w:t>须提供职称证</w:t>
            </w:r>
          </w:p>
        </w:tc>
      </w:tr>
      <w:tr w14:paraId="40A20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83" w:type="pct"/>
            <w:vAlign w:val="center"/>
          </w:tcPr>
          <w:p w14:paraId="537B2B19">
            <w:pPr>
              <w:widowControl w:val="0"/>
              <w:jc w:val="center"/>
              <w:rPr>
                <w:highlight w:val="none"/>
                <w:vertAlign w:val="baseline"/>
                <w:lang w:val="en-US" w:eastAsia="zh-CN"/>
              </w:rPr>
            </w:pPr>
            <w:r>
              <w:rPr>
                <w:rFonts w:hint="eastAsia"/>
                <w:highlight w:val="none"/>
                <w:vertAlign w:val="baseline"/>
                <w:lang w:val="en-US" w:eastAsia="zh-CN"/>
              </w:rPr>
              <w:t>4</w:t>
            </w:r>
          </w:p>
        </w:tc>
        <w:tc>
          <w:tcPr>
            <w:tcW w:w="910" w:type="pct"/>
            <w:tcBorders>
              <w:left w:val="single" w:color="auto" w:sz="4" w:space="0"/>
            </w:tcBorders>
            <w:vAlign w:val="center"/>
          </w:tcPr>
          <w:p w14:paraId="3A835B02">
            <w:pPr>
              <w:widowControl w:val="0"/>
              <w:jc w:val="center"/>
              <w:rPr>
                <w:highlight w:val="none"/>
                <w:vertAlign w:val="baseline"/>
                <w:lang w:val="en-US" w:eastAsia="zh-CN"/>
              </w:rPr>
            </w:pPr>
            <w:r>
              <w:rPr>
                <w:rFonts w:hint="eastAsia"/>
                <w:highlight w:val="none"/>
                <w:vertAlign w:val="baseline"/>
                <w:lang w:val="en-US" w:eastAsia="zh-CN"/>
              </w:rPr>
              <w:t>电气工程师</w:t>
            </w:r>
          </w:p>
        </w:tc>
        <w:tc>
          <w:tcPr>
            <w:tcW w:w="539" w:type="pct"/>
            <w:tcBorders>
              <w:left w:val="single" w:color="auto" w:sz="4" w:space="0"/>
            </w:tcBorders>
            <w:vAlign w:val="center"/>
          </w:tcPr>
          <w:p w14:paraId="5A5AD520">
            <w:pPr>
              <w:widowControl w:val="0"/>
              <w:jc w:val="center"/>
              <w:rPr>
                <w:highlight w:val="none"/>
                <w:vertAlign w:val="baseline"/>
                <w:lang w:val="en-US" w:eastAsia="zh-CN"/>
              </w:rPr>
            </w:pPr>
            <w:r>
              <w:rPr>
                <w:rFonts w:hint="eastAsia"/>
                <w:highlight w:val="none"/>
                <w:vertAlign w:val="baseline"/>
                <w:lang w:val="en-US" w:eastAsia="zh-CN"/>
              </w:rPr>
              <w:t>2</w:t>
            </w:r>
          </w:p>
        </w:tc>
        <w:tc>
          <w:tcPr>
            <w:tcW w:w="1761" w:type="pct"/>
            <w:tcBorders>
              <w:left w:val="single" w:color="auto" w:sz="4" w:space="0"/>
            </w:tcBorders>
            <w:vAlign w:val="center"/>
          </w:tcPr>
          <w:p w14:paraId="107E6973">
            <w:pPr>
              <w:widowControl w:val="0"/>
              <w:jc w:val="center"/>
              <w:rPr>
                <w:highlight w:val="none"/>
                <w:vertAlign w:val="baseline"/>
                <w:lang w:val="en-US" w:eastAsia="zh-CN"/>
              </w:rPr>
            </w:pPr>
            <w:r>
              <w:rPr>
                <w:rFonts w:hint="eastAsia"/>
                <w:highlight w:val="none"/>
                <w:vertAlign w:val="baseline"/>
                <w:lang w:val="en-US" w:eastAsia="zh-CN"/>
              </w:rPr>
              <w:t>具备电力或机电或电气相关专业中级或以上技术职称</w:t>
            </w:r>
          </w:p>
        </w:tc>
        <w:tc>
          <w:tcPr>
            <w:tcW w:w="1504" w:type="pct"/>
            <w:tcBorders>
              <w:left w:val="single" w:color="auto" w:sz="4" w:space="0"/>
            </w:tcBorders>
            <w:vAlign w:val="center"/>
          </w:tcPr>
          <w:p w14:paraId="002BA02D">
            <w:pPr>
              <w:widowControl w:val="0"/>
              <w:jc w:val="center"/>
              <w:rPr>
                <w:highlight w:val="none"/>
                <w:vertAlign w:val="baseline"/>
                <w:lang w:val="en-US" w:eastAsia="zh-CN"/>
              </w:rPr>
            </w:pPr>
            <w:r>
              <w:rPr>
                <w:rFonts w:hint="eastAsia"/>
                <w:highlight w:val="none"/>
                <w:vertAlign w:val="baseline"/>
                <w:lang w:val="en-US" w:eastAsia="zh-CN"/>
              </w:rPr>
              <w:t>须提供职称证</w:t>
            </w:r>
          </w:p>
        </w:tc>
      </w:tr>
      <w:tr w14:paraId="13661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83" w:type="pct"/>
            <w:vAlign w:val="center"/>
          </w:tcPr>
          <w:p w14:paraId="4E245309">
            <w:pPr>
              <w:widowControl w:val="0"/>
              <w:jc w:val="center"/>
              <w:rPr>
                <w:highlight w:val="none"/>
                <w:vertAlign w:val="baseline"/>
                <w:lang w:val="en-US" w:eastAsia="zh-CN"/>
              </w:rPr>
            </w:pPr>
            <w:r>
              <w:rPr>
                <w:rFonts w:hint="eastAsia"/>
                <w:highlight w:val="none"/>
                <w:vertAlign w:val="baseline"/>
                <w:lang w:val="en-US" w:eastAsia="zh-CN"/>
              </w:rPr>
              <w:t>5</w:t>
            </w:r>
          </w:p>
        </w:tc>
        <w:tc>
          <w:tcPr>
            <w:tcW w:w="910" w:type="pct"/>
            <w:tcBorders>
              <w:left w:val="single" w:color="auto" w:sz="4" w:space="0"/>
            </w:tcBorders>
            <w:vAlign w:val="center"/>
          </w:tcPr>
          <w:p w14:paraId="33BEE049">
            <w:pPr>
              <w:widowControl w:val="0"/>
              <w:jc w:val="center"/>
              <w:rPr>
                <w:highlight w:val="none"/>
                <w:vertAlign w:val="baseline"/>
                <w:lang w:val="en-US" w:eastAsia="zh-CN"/>
              </w:rPr>
            </w:pPr>
            <w:r>
              <w:rPr>
                <w:rFonts w:hint="eastAsia"/>
                <w:highlight w:val="none"/>
                <w:vertAlign w:val="baseline"/>
                <w:lang w:val="en-US" w:eastAsia="zh-CN"/>
              </w:rPr>
              <w:t>安全负责人</w:t>
            </w:r>
          </w:p>
        </w:tc>
        <w:tc>
          <w:tcPr>
            <w:tcW w:w="539" w:type="pct"/>
            <w:tcBorders>
              <w:left w:val="single" w:color="auto" w:sz="4" w:space="0"/>
            </w:tcBorders>
            <w:vAlign w:val="center"/>
          </w:tcPr>
          <w:p w14:paraId="503F7EFE">
            <w:pPr>
              <w:widowControl w:val="0"/>
              <w:jc w:val="center"/>
              <w:rPr>
                <w:highlight w:val="none"/>
                <w:vertAlign w:val="baseline"/>
                <w:lang w:val="en-US" w:eastAsia="zh-CN"/>
              </w:rPr>
            </w:pPr>
            <w:r>
              <w:rPr>
                <w:rFonts w:hint="eastAsia"/>
                <w:highlight w:val="none"/>
                <w:vertAlign w:val="baseline"/>
                <w:lang w:val="en-US" w:eastAsia="zh-CN"/>
              </w:rPr>
              <w:t>1</w:t>
            </w:r>
          </w:p>
        </w:tc>
        <w:tc>
          <w:tcPr>
            <w:tcW w:w="1761" w:type="pct"/>
            <w:tcBorders>
              <w:left w:val="single" w:color="auto" w:sz="4" w:space="0"/>
            </w:tcBorders>
            <w:vAlign w:val="center"/>
          </w:tcPr>
          <w:p w14:paraId="0AAB1D24">
            <w:pPr>
              <w:widowControl w:val="0"/>
              <w:jc w:val="center"/>
              <w:rPr>
                <w:highlight w:val="none"/>
                <w:vertAlign w:val="baseline"/>
                <w:lang w:val="en-US" w:eastAsia="zh-CN"/>
              </w:rPr>
            </w:pPr>
            <w:r>
              <w:rPr>
                <w:rFonts w:hint="eastAsia"/>
                <w:highlight w:val="none"/>
                <w:vertAlign w:val="baseline"/>
                <w:lang w:val="en-US" w:eastAsia="zh-CN"/>
              </w:rPr>
              <w:t>具备中级或以上技术职称</w:t>
            </w:r>
          </w:p>
        </w:tc>
        <w:tc>
          <w:tcPr>
            <w:tcW w:w="1504" w:type="pct"/>
            <w:tcBorders>
              <w:left w:val="single" w:color="auto" w:sz="4" w:space="0"/>
            </w:tcBorders>
            <w:vAlign w:val="center"/>
          </w:tcPr>
          <w:p w14:paraId="7AF2EED5">
            <w:pPr>
              <w:widowControl w:val="0"/>
              <w:jc w:val="center"/>
              <w:rPr>
                <w:highlight w:val="none"/>
                <w:vertAlign w:val="baseline"/>
                <w:lang w:val="en-US" w:eastAsia="zh-CN"/>
              </w:rPr>
            </w:pPr>
            <w:r>
              <w:rPr>
                <w:rFonts w:hint="eastAsia"/>
                <w:highlight w:val="none"/>
                <w:vertAlign w:val="baseline"/>
                <w:lang w:val="en-US" w:eastAsia="zh-CN"/>
              </w:rPr>
              <w:t>须提供职称证</w:t>
            </w:r>
          </w:p>
        </w:tc>
      </w:tr>
      <w:tr w14:paraId="0F501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83" w:type="pct"/>
            <w:vAlign w:val="center"/>
          </w:tcPr>
          <w:p w14:paraId="28806378">
            <w:pPr>
              <w:widowControl w:val="0"/>
              <w:jc w:val="center"/>
              <w:rPr>
                <w:highlight w:val="none"/>
                <w:vertAlign w:val="baseline"/>
                <w:lang w:val="en-US" w:eastAsia="zh-CN"/>
              </w:rPr>
            </w:pPr>
            <w:r>
              <w:rPr>
                <w:rFonts w:hint="eastAsia"/>
                <w:highlight w:val="none"/>
                <w:vertAlign w:val="baseline"/>
                <w:lang w:val="en-US" w:eastAsia="zh-CN"/>
              </w:rPr>
              <w:t>6</w:t>
            </w:r>
          </w:p>
        </w:tc>
        <w:tc>
          <w:tcPr>
            <w:tcW w:w="910" w:type="pct"/>
            <w:tcBorders>
              <w:left w:val="single" w:color="auto" w:sz="4" w:space="0"/>
            </w:tcBorders>
            <w:vAlign w:val="center"/>
          </w:tcPr>
          <w:p w14:paraId="15F9C95B">
            <w:pPr>
              <w:widowControl w:val="0"/>
              <w:jc w:val="center"/>
              <w:rPr>
                <w:highlight w:val="none"/>
                <w:vertAlign w:val="baseline"/>
                <w:lang w:val="en-US" w:eastAsia="zh-CN"/>
              </w:rPr>
            </w:pPr>
            <w:r>
              <w:rPr>
                <w:rFonts w:hint="eastAsia"/>
                <w:highlight w:val="none"/>
                <w:vertAlign w:val="baseline"/>
                <w:lang w:val="en-US" w:eastAsia="zh-CN"/>
              </w:rPr>
              <w:t>专职安全员</w:t>
            </w:r>
          </w:p>
        </w:tc>
        <w:tc>
          <w:tcPr>
            <w:tcW w:w="539" w:type="pct"/>
            <w:tcBorders>
              <w:left w:val="single" w:color="auto" w:sz="4" w:space="0"/>
            </w:tcBorders>
            <w:vAlign w:val="center"/>
          </w:tcPr>
          <w:p w14:paraId="48A52035">
            <w:pPr>
              <w:widowControl w:val="0"/>
              <w:jc w:val="center"/>
              <w:rPr>
                <w:highlight w:val="none"/>
                <w:vertAlign w:val="baseline"/>
                <w:lang w:val="en-US" w:eastAsia="zh-CN"/>
              </w:rPr>
            </w:pPr>
            <w:r>
              <w:rPr>
                <w:rFonts w:hint="eastAsia"/>
                <w:highlight w:val="none"/>
                <w:vertAlign w:val="baseline"/>
                <w:lang w:val="en-US" w:eastAsia="zh-CN"/>
              </w:rPr>
              <w:t>1</w:t>
            </w:r>
          </w:p>
        </w:tc>
        <w:tc>
          <w:tcPr>
            <w:tcW w:w="1761" w:type="pct"/>
            <w:tcBorders>
              <w:left w:val="single" w:color="auto" w:sz="4" w:space="0"/>
            </w:tcBorders>
            <w:vAlign w:val="center"/>
          </w:tcPr>
          <w:p w14:paraId="6E066CDC">
            <w:pPr>
              <w:widowControl w:val="0"/>
              <w:jc w:val="center"/>
              <w:rPr>
                <w:highlight w:val="none"/>
                <w:vertAlign w:val="baseline"/>
                <w:lang w:val="en-US" w:eastAsia="zh-CN"/>
              </w:rPr>
            </w:pPr>
            <w:r>
              <w:rPr>
                <w:rFonts w:hint="eastAsia"/>
                <w:highlight w:val="none"/>
                <w:vertAlign w:val="baseline"/>
                <w:lang w:val="en-US" w:eastAsia="zh-CN"/>
              </w:rPr>
              <w:t>满足招标公告要求</w:t>
            </w:r>
          </w:p>
        </w:tc>
        <w:tc>
          <w:tcPr>
            <w:tcW w:w="1504" w:type="pct"/>
            <w:tcBorders>
              <w:left w:val="single" w:color="auto" w:sz="4" w:space="0"/>
            </w:tcBorders>
            <w:vAlign w:val="center"/>
          </w:tcPr>
          <w:p w14:paraId="6CDF14C4">
            <w:pPr>
              <w:widowControl w:val="0"/>
              <w:jc w:val="center"/>
              <w:rPr>
                <w:highlight w:val="none"/>
                <w:vertAlign w:val="baseline"/>
                <w:lang w:val="en-US" w:eastAsia="zh-CN"/>
              </w:rPr>
            </w:pPr>
            <w:r>
              <w:rPr>
                <w:rFonts w:hint="eastAsia"/>
                <w:highlight w:val="none"/>
                <w:vertAlign w:val="baseline"/>
                <w:lang w:val="en-US" w:eastAsia="zh-CN"/>
              </w:rPr>
              <w:t>按招标公告提供资料</w:t>
            </w:r>
          </w:p>
        </w:tc>
      </w:tr>
      <w:tr w14:paraId="30033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83" w:type="pct"/>
            <w:vAlign w:val="center"/>
          </w:tcPr>
          <w:p w14:paraId="34A06834">
            <w:pPr>
              <w:widowControl w:val="0"/>
              <w:jc w:val="center"/>
              <w:rPr>
                <w:highlight w:val="none"/>
                <w:vertAlign w:val="baseline"/>
                <w:lang w:val="en-US" w:eastAsia="zh-CN"/>
              </w:rPr>
            </w:pPr>
            <w:r>
              <w:rPr>
                <w:rFonts w:hint="eastAsia"/>
                <w:highlight w:val="none"/>
                <w:vertAlign w:val="baseline"/>
                <w:lang w:val="en-US" w:eastAsia="zh-CN"/>
              </w:rPr>
              <w:t>7</w:t>
            </w:r>
          </w:p>
        </w:tc>
        <w:tc>
          <w:tcPr>
            <w:tcW w:w="910" w:type="pct"/>
            <w:tcBorders>
              <w:left w:val="single" w:color="auto" w:sz="4" w:space="0"/>
            </w:tcBorders>
            <w:vAlign w:val="center"/>
          </w:tcPr>
          <w:p w14:paraId="2E7E0285">
            <w:pPr>
              <w:widowControl w:val="0"/>
              <w:jc w:val="center"/>
              <w:rPr>
                <w:highlight w:val="none"/>
                <w:vertAlign w:val="baseline"/>
                <w:lang w:val="en-US" w:eastAsia="zh-CN"/>
              </w:rPr>
            </w:pPr>
            <w:r>
              <w:rPr>
                <w:rFonts w:hint="eastAsia"/>
                <w:highlight w:val="none"/>
                <w:vertAlign w:val="baseline"/>
                <w:lang w:val="en-US" w:eastAsia="zh-CN"/>
              </w:rPr>
              <w:t>造价负责人</w:t>
            </w:r>
          </w:p>
        </w:tc>
        <w:tc>
          <w:tcPr>
            <w:tcW w:w="539" w:type="pct"/>
            <w:tcBorders>
              <w:left w:val="single" w:color="auto" w:sz="4" w:space="0"/>
            </w:tcBorders>
            <w:vAlign w:val="center"/>
          </w:tcPr>
          <w:p w14:paraId="2C4BF315">
            <w:pPr>
              <w:widowControl w:val="0"/>
              <w:jc w:val="center"/>
              <w:rPr>
                <w:highlight w:val="none"/>
                <w:vertAlign w:val="baseline"/>
                <w:lang w:val="en-US" w:eastAsia="zh-CN"/>
              </w:rPr>
            </w:pPr>
            <w:r>
              <w:rPr>
                <w:rFonts w:hint="eastAsia"/>
                <w:highlight w:val="none"/>
                <w:vertAlign w:val="baseline"/>
                <w:lang w:val="en-US" w:eastAsia="zh-CN"/>
              </w:rPr>
              <w:t>1</w:t>
            </w:r>
          </w:p>
        </w:tc>
        <w:tc>
          <w:tcPr>
            <w:tcW w:w="1761" w:type="pct"/>
            <w:tcBorders>
              <w:left w:val="single" w:color="auto" w:sz="4" w:space="0"/>
            </w:tcBorders>
            <w:vAlign w:val="center"/>
          </w:tcPr>
          <w:p w14:paraId="0DBC3E18">
            <w:pPr>
              <w:widowControl w:val="0"/>
              <w:jc w:val="center"/>
              <w:rPr>
                <w:highlight w:val="none"/>
                <w:vertAlign w:val="baseline"/>
                <w:lang w:val="en-US" w:eastAsia="zh-CN"/>
              </w:rPr>
            </w:pPr>
            <w:r>
              <w:rPr>
                <w:rFonts w:hint="eastAsia"/>
                <w:highlight w:val="none"/>
                <w:vertAlign w:val="baseline"/>
                <w:lang w:val="en-US" w:eastAsia="zh-CN"/>
              </w:rPr>
              <w:t>具备中级或以上技术职称</w:t>
            </w:r>
          </w:p>
        </w:tc>
        <w:tc>
          <w:tcPr>
            <w:tcW w:w="1504" w:type="pct"/>
            <w:tcBorders>
              <w:left w:val="single" w:color="auto" w:sz="4" w:space="0"/>
            </w:tcBorders>
            <w:vAlign w:val="center"/>
          </w:tcPr>
          <w:p w14:paraId="1C3E474C">
            <w:pPr>
              <w:widowControl w:val="0"/>
              <w:jc w:val="center"/>
              <w:rPr>
                <w:highlight w:val="none"/>
                <w:vertAlign w:val="baseline"/>
                <w:lang w:val="en-US" w:eastAsia="zh-CN"/>
              </w:rPr>
            </w:pPr>
            <w:r>
              <w:rPr>
                <w:rFonts w:hint="eastAsia"/>
                <w:highlight w:val="none"/>
                <w:vertAlign w:val="baseline"/>
                <w:lang w:val="en-US" w:eastAsia="zh-CN"/>
              </w:rPr>
              <w:t>须提供职称证</w:t>
            </w:r>
          </w:p>
        </w:tc>
      </w:tr>
      <w:tr w14:paraId="22F8E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83" w:type="pct"/>
            <w:vAlign w:val="center"/>
          </w:tcPr>
          <w:p w14:paraId="24B55472">
            <w:pPr>
              <w:widowControl w:val="0"/>
              <w:jc w:val="center"/>
              <w:rPr>
                <w:highlight w:val="none"/>
                <w:vertAlign w:val="baseline"/>
                <w:lang w:val="en-US" w:eastAsia="zh-CN"/>
              </w:rPr>
            </w:pPr>
            <w:r>
              <w:rPr>
                <w:rFonts w:hint="eastAsia"/>
                <w:highlight w:val="none"/>
                <w:vertAlign w:val="baseline"/>
                <w:lang w:val="en-US" w:eastAsia="zh-CN"/>
              </w:rPr>
              <w:t>8</w:t>
            </w:r>
          </w:p>
        </w:tc>
        <w:tc>
          <w:tcPr>
            <w:tcW w:w="910" w:type="pct"/>
            <w:tcBorders>
              <w:left w:val="single" w:color="auto" w:sz="4" w:space="0"/>
            </w:tcBorders>
            <w:vAlign w:val="center"/>
          </w:tcPr>
          <w:p w14:paraId="269257C3">
            <w:pPr>
              <w:widowControl w:val="0"/>
              <w:jc w:val="center"/>
              <w:rPr>
                <w:highlight w:val="none"/>
                <w:vertAlign w:val="baseline"/>
                <w:lang w:val="en-US" w:eastAsia="zh-CN"/>
              </w:rPr>
            </w:pPr>
            <w:r>
              <w:rPr>
                <w:rFonts w:hint="eastAsia"/>
                <w:highlight w:val="none"/>
                <w:vertAlign w:val="baseline"/>
                <w:lang w:val="en-US" w:eastAsia="zh-CN"/>
              </w:rPr>
              <w:t>施工员</w:t>
            </w:r>
          </w:p>
        </w:tc>
        <w:tc>
          <w:tcPr>
            <w:tcW w:w="539" w:type="pct"/>
            <w:tcBorders>
              <w:left w:val="single" w:color="auto" w:sz="4" w:space="0"/>
            </w:tcBorders>
            <w:vAlign w:val="center"/>
          </w:tcPr>
          <w:p w14:paraId="5541C4A0">
            <w:pPr>
              <w:widowControl w:val="0"/>
              <w:jc w:val="center"/>
              <w:rPr>
                <w:highlight w:val="none"/>
                <w:vertAlign w:val="baseline"/>
                <w:lang w:val="en-US" w:eastAsia="zh-CN"/>
              </w:rPr>
            </w:pPr>
            <w:r>
              <w:rPr>
                <w:rFonts w:hint="eastAsia"/>
                <w:highlight w:val="none"/>
                <w:vertAlign w:val="baseline"/>
                <w:lang w:val="en-US" w:eastAsia="zh-CN"/>
              </w:rPr>
              <w:t>2</w:t>
            </w:r>
          </w:p>
        </w:tc>
        <w:tc>
          <w:tcPr>
            <w:tcW w:w="1761" w:type="pct"/>
            <w:tcBorders>
              <w:left w:val="single" w:color="auto" w:sz="4" w:space="0"/>
            </w:tcBorders>
            <w:vAlign w:val="center"/>
          </w:tcPr>
          <w:p w14:paraId="51187E94">
            <w:pPr>
              <w:widowControl w:val="0"/>
              <w:jc w:val="center"/>
              <w:rPr>
                <w:highlight w:val="none"/>
                <w:vertAlign w:val="baseline"/>
                <w:lang w:val="en-US" w:eastAsia="zh-CN"/>
              </w:rPr>
            </w:pPr>
            <w:r>
              <w:rPr>
                <w:rFonts w:hint="eastAsia"/>
                <w:highlight w:val="none"/>
                <w:vertAlign w:val="baseline"/>
                <w:lang w:val="en-US" w:eastAsia="zh-CN"/>
              </w:rPr>
              <w:t>具有上岗证或培训证或岗位证</w:t>
            </w:r>
          </w:p>
        </w:tc>
        <w:tc>
          <w:tcPr>
            <w:tcW w:w="1504" w:type="pct"/>
            <w:tcBorders>
              <w:left w:val="single" w:color="auto" w:sz="4" w:space="0"/>
            </w:tcBorders>
            <w:vAlign w:val="center"/>
          </w:tcPr>
          <w:p w14:paraId="63492DD9">
            <w:pPr>
              <w:widowControl w:val="0"/>
              <w:jc w:val="center"/>
              <w:rPr>
                <w:highlight w:val="none"/>
                <w:vertAlign w:val="baseline"/>
                <w:lang w:val="en-US" w:eastAsia="zh-CN"/>
              </w:rPr>
            </w:pPr>
            <w:r>
              <w:rPr>
                <w:rFonts w:hint="eastAsia"/>
                <w:highlight w:val="none"/>
                <w:vertAlign w:val="baseline"/>
                <w:lang w:val="en-US" w:eastAsia="zh-CN"/>
              </w:rPr>
              <w:t>须提供上岗证或培训证或岗位证</w:t>
            </w:r>
          </w:p>
        </w:tc>
      </w:tr>
      <w:tr w14:paraId="7B83B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83" w:type="pct"/>
            <w:vAlign w:val="center"/>
          </w:tcPr>
          <w:p w14:paraId="3C2ED84C">
            <w:pPr>
              <w:widowControl w:val="0"/>
              <w:jc w:val="center"/>
              <w:rPr>
                <w:highlight w:val="none"/>
                <w:vertAlign w:val="baseline"/>
                <w:lang w:val="en-US" w:eastAsia="zh-CN"/>
              </w:rPr>
            </w:pPr>
            <w:r>
              <w:rPr>
                <w:rFonts w:hint="eastAsia"/>
                <w:highlight w:val="none"/>
                <w:vertAlign w:val="baseline"/>
                <w:lang w:val="en-US" w:eastAsia="zh-CN"/>
              </w:rPr>
              <w:t>9</w:t>
            </w:r>
          </w:p>
        </w:tc>
        <w:tc>
          <w:tcPr>
            <w:tcW w:w="910" w:type="pct"/>
            <w:tcBorders>
              <w:left w:val="single" w:color="auto" w:sz="4" w:space="0"/>
            </w:tcBorders>
            <w:vAlign w:val="center"/>
          </w:tcPr>
          <w:p w14:paraId="1724898C">
            <w:pPr>
              <w:widowControl w:val="0"/>
              <w:jc w:val="center"/>
              <w:rPr>
                <w:highlight w:val="none"/>
                <w:vertAlign w:val="baseline"/>
                <w:lang w:val="en-US" w:eastAsia="zh-CN"/>
              </w:rPr>
            </w:pPr>
            <w:r>
              <w:rPr>
                <w:rFonts w:hint="eastAsia"/>
                <w:highlight w:val="none"/>
                <w:vertAlign w:val="baseline"/>
                <w:lang w:val="en-US" w:eastAsia="zh-CN"/>
              </w:rPr>
              <w:t>资料员</w:t>
            </w:r>
          </w:p>
        </w:tc>
        <w:tc>
          <w:tcPr>
            <w:tcW w:w="539" w:type="pct"/>
            <w:tcBorders>
              <w:left w:val="single" w:color="auto" w:sz="4" w:space="0"/>
            </w:tcBorders>
            <w:vAlign w:val="center"/>
          </w:tcPr>
          <w:p w14:paraId="6AA915A7">
            <w:pPr>
              <w:widowControl w:val="0"/>
              <w:jc w:val="center"/>
              <w:rPr>
                <w:highlight w:val="none"/>
                <w:vertAlign w:val="baseline"/>
                <w:lang w:val="en-US" w:eastAsia="zh-CN"/>
              </w:rPr>
            </w:pPr>
            <w:r>
              <w:rPr>
                <w:rFonts w:hint="eastAsia"/>
                <w:highlight w:val="none"/>
                <w:vertAlign w:val="baseline"/>
                <w:lang w:val="en-US" w:eastAsia="zh-CN"/>
              </w:rPr>
              <w:t>1</w:t>
            </w:r>
          </w:p>
        </w:tc>
        <w:tc>
          <w:tcPr>
            <w:tcW w:w="1761" w:type="pct"/>
            <w:tcBorders>
              <w:left w:val="single" w:color="auto" w:sz="4" w:space="0"/>
            </w:tcBorders>
            <w:vAlign w:val="center"/>
          </w:tcPr>
          <w:p w14:paraId="1B3274C5">
            <w:pPr>
              <w:widowControl w:val="0"/>
              <w:jc w:val="center"/>
              <w:rPr>
                <w:highlight w:val="none"/>
                <w:vertAlign w:val="baseline"/>
                <w:lang w:val="en-US" w:eastAsia="zh-CN"/>
              </w:rPr>
            </w:pPr>
            <w:r>
              <w:rPr>
                <w:rFonts w:hint="eastAsia"/>
                <w:highlight w:val="none"/>
                <w:vertAlign w:val="baseline"/>
                <w:lang w:val="en-US" w:eastAsia="zh-CN"/>
              </w:rPr>
              <w:t>具有上岗证或培训证或岗位证</w:t>
            </w:r>
          </w:p>
        </w:tc>
        <w:tc>
          <w:tcPr>
            <w:tcW w:w="1504" w:type="pct"/>
            <w:tcBorders>
              <w:left w:val="single" w:color="auto" w:sz="4" w:space="0"/>
            </w:tcBorders>
            <w:vAlign w:val="center"/>
          </w:tcPr>
          <w:p w14:paraId="49726FB7">
            <w:pPr>
              <w:widowControl w:val="0"/>
              <w:jc w:val="center"/>
              <w:rPr>
                <w:highlight w:val="none"/>
                <w:vertAlign w:val="baseline"/>
                <w:lang w:val="en-US" w:eastAsia="zh-CN"/>
              </w:rPr>
            </w:pPr>
            <w:r>
              <w:rPr>
                <w:rFonts w:hint="eastAsia"/>
                <w:highlight w:val="none"/>
                <w:vertAlign w:val="baseline"/>
                <w:lang w:val="en-US" w:eastAsia="zh-CN"/>
              </w:rPr>
              <w:t>须提供上岗证或培训证或岗位证</w:t>
            </w:r>
          </w:p>
        </w:tc>
      </w:tr>
      <w:tr w14:paraId="44424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83" w:type="pct"/>
            <w:vAlign w:val="center"/>
          </w:tcPr>
          <w:p w14:paraId="13CE8034">
            <w:pPr>
              <w:widowControl w:val="0"/>
              <w:jc w:val="center"/>
              <w:rPr>
                <w:highlight w:val="none"/>
                <w:vertAlign w:val="baseline"/>
                <w:lang w:val="en-US" w:eastAsia="zh-CN"/>
              </w:rPr>
            </w:pPr>
            <w:r>
              <w:rPr>
                <w:rFonts w:hint="eastAsia"/>
                <w:highlight w:val="none"/>
                <w:vertAlign w:val="baseline"/>
                <w:lang w:val="en-US" w:eastAsia="zh-CN"/>
              </w:rPr>
              <w:t>10</w:t>
            </w:r>
          </w:p>
        </w:tc>
        <w:tc>
          <w:tcPr>
            <w:tcW w:w="910" w:type="pct"/>
            <w:tcBorders>
              <w:left w:val="single" w:color="auto" w:sz="4" w:space="0"/>
            </w:tcBorders>
            <w:vAlign w:val="center"/>
          </w:tcPr>
          <w:p w14:paraId="1567D87C">
            <w:pPr>
              <w:widowControl w:val="0"/>
              <w:jc w:val="center"/>
              <w:rPr>
                <w:highlight w:val="none"/>
                <w:vertAlign w:val="baseline"/>
                <w:lang w:val="en-US" w:eastAsia="zh-CN"/>
              </w:rPr>
            </w:pPr>
            <w:r>
              <w:rPr>
                <w:rFonts w:hint="eastAsia"/>
                <w:highlight w:val="none"/>
                <w:vertAlign w:val="baseline"/>
                <w:lang w:val="en-US" w:eastAsia="zh-CN"/>
              </w:rPr>
              <w:t>质量员</w:t>
            </w:r>
          </w:p>
        </w:tc>
        <w:tc>
          <w:tcPr>
            <w:tcW w:w="539" w:type="pct"/>
            <w:tcBorders>
              <w:left w:val="single" w:color="auto" w:sz="4" w:space="0"/>
            </w:tcBorders>
            <w:vAlign w:val="center"/>
          </w:tcPr>
          <w:p w14:paraId="101F2C2E">
            <w:pPr>
              <w:widowControl w:val="0"/>
              <w:jc w:val="center"/>
              <w:rPr>
                <w:highlight w:val="none"/>
                <w:vertAlign w:val="baseline"/>
                <w:lang w:val="en-US" w:eastAsia="zh-CN"/>
              </w:rPr>
            </w:pPr>
            <w:r>
              <w:rPr>
                <w:rFonts w:hint="eastAsia"/>
                <w:highlight w:val="none"/>
                <w:vertAlign w:val="baseline"/>
                <w:lang w:val="en-US" w:eastAsia="zh-CN"/>
              </w:rPr>
              <w:t>1</w:t>
            </w:r>
          </w:p>
        </w:tc>
        <w:tc>
          <w:tcPr>
            <w:tcW w:w="1761" w:type="pct"/>
            <w:tcBorders>
              <w:left w:val="single" w:color="auto" w:sz="4" w:space="0"/>
            </w:tcBorders>
            <w:vAlign w:val="center"/>
          </w:tcPr>
          <w:p w14:paraId="4CC45564">
            <w:pPr>
              <w:widowControl w:val="0"/>
              <w:jc w:val="center"/>
              <w:rPr>
                <w:highlight w:val="none"/>
                <w:vertAlign w:val="baseline"/>
                <w:lang w:val="en-US" w:eastAsia="zh-CN"/>
              </w:rPr>
            </w:pPr>
            <w:r>
              <w:rPr>
                <w:rFonts w:hint="eastAsia"/>
                <w:highlight w:val="none"/>
                <w:vertAlign w:val="baseline"/>
                <w:lang w:val="en-US" w:eastAsia="zh-CN"/>
              </w:rPr>
              <w:t>具有上岗证或培训证或岗位证</w:t>
            </w:r>
          </w:p>
        </w:tc>
        <w:tc>
          <w:tcPr>
            <w:tcW w:w="1504" w:type="pct"/>
            <w:tcBorders>
              <w:left w:val="single" w:color="auto" w:sz="4" w:space="0"/>
            </w:tcBorders>
            <w:vAlign w:val="center"/>
          </w:tcPr>
          <w:p w14:paraId="3676E455">
            <w:pPr>
              <w:widowControl w:val="0"/>
              <w:jc w:val="center"/>
              <w:rPr>
                <w:highlight w:val="none"/>
                <w:vertAlign w:val="baseline"/>
                <w:lang w:val="en-US" w:eastAsia="zh-CN"/>
              </w:rPr>
            </w:pPr>
            <w:r>
              <w:rPr>
                <w:rFonts w:hint="eastAsia"/>
                <w:highlight w:val="none"/>
                <w:vertAlign w:val="baseline"/>
                <w:lang w:val="en-US" w:eastAsia="zh-CN"/>
              </w:rPr>
              <w:t>须提供上岗证或培训证或岗位证</w:t>
            </w:r>
          </w:p>
        </w:tc>
      </w:tr>
      <w:tr w14:paraId="38743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83" w:type="pct"/>
            <w:vAlign w:val="center"/>
          </w:tcPr>
          <w:p w14:paraId="105415DC">
            <w:pPr>
              <w:widowControl w:val="0"/>
              <w:jc w:val="center"/>
              <w:rPr>
                <w:highlight w:val="none"/>
                <w:vertAlign w:val="baseline"/>
                <w:lang w:val="en-US" w:eastAsia="zh-CN"/>
              </w:rPr>
            </w:pPr>
            <w:r>
              <w:rPr>
                <w:rFonts w:hint="eastAsia"/>
                <w:highlight w:val="none"/>
                <w:vertAlign w:val="baseline"/>
                <w:lang w:val="en-US" w:eastAsia="zh-CN"/>
              </w:rPr>
              <w:t>11</w:t>
            </w:r>
          </w:p>
        </w:tc>
        <w:tc>
          <w:tcPr>
            <w:tcW w:w="910" w:type="pct"/>
            <w:tcBorders>
              <w:left w:val="single" w:color="auto" w:sz="4" w:space="0"/>
            </w:tcBorders>
            <w:vAlign w:val="center"/>
          </w:tcPr>
          <w:p w14:paraId="037A2D2D">
            <w:pPr>
              <w:widowControl w:val="0"/>
              <w:jc w:val="center"/>
              <w:rPr>
                <w:highlight w:val="none"/>
                <w:vertAlign w:val="baseline"/>
                <w:lang w:val="en-US" w:eastAsia="zh-CN"/>
              </w:rPr>
            </w:pPr>
            <w:r>
              <w:rPr>
                <w:rFonts w:hint="eastAsia"/>
                <w:highlight w:val="none"/>
                <w:vertAlign w:val="baseline"/>
                <w:lang w:val="en-US" w:eastAsia="zh-CN"/>
              </w:rPr>
              <w:t>材料员</w:t>
            </w:r>
          </w:p>
        </w:tc>
        <w:tc>
          <w:tcPr>
            <w:tcW w:w="539" w:type="pct"/>
            <w:tcBorders>
              <w:left w:val="single" w:color="auto" w:sz="4" w:space="0"/>
            </w:tcBorders>
            <w:vAlign w:val="center"/>
          </w:tcPr>
          <w:p w14:paraId="4DACFCF7">
            <w:pPr>
              <w:widowControl w:val="0"/>
              <w:jc w:val="center"/>
              <w:rPr>
                <w:highlight w:val="none"/>
                <w:vertAlign w:val="baseline"/>
                <w:lang w:val="en-US" w:eastAsia="zh-CN"/>
              </w:rPr>
            </w:pPr>
            <w:r>
              <w:rPr>
                <w:rFonts w:hint="eastAsia"/>
                <w:highlight w:val="none"/>
                <w:vertAlign w:val="baseline"/>
                <w:lang w:val="en-US" w:eastAsia="zh-CN"/>
              </w:rPr>
              <w:t>1</w:t>
            </w:r>
          </w:p>
        </w:tc>
        <w:tc>
          <w:tcPr>
            <w:tcW w:w="1761" w:type="pct"/>
            <w:tcBorders>
              <w:left w:val="single" w:color="auto" w:sz="4" w:space="0"/>
            </w:tcBorders>
            <w:vAlign w:val="center"/>
          </w:tcPr>
          <w:p w14:paraId="1C75E6CB">
            <w:pPr>
              <w:widowControl w:val="0"/>
              <w:jc w:val="center"/>
              <w:rPr>
                <w:highlight w:val="none"/>
                <w:vertAlign w:val="baseline"/>
                <w:lang w:val="en-US" w:eastAsia="zh-CN"/>
              </w:rPr>
            </w:pPr>
            <w:r>
              <w:rPr>
                <w:rFonts w:hint="eastAsia"/>
                <w:highlight w:val="none"/>
                <w:vertAlign w:val="baseline"/>
                <w:lang w:val="en-US" w:eastAsia="zh-CN"/>
              </w:rPr>
              <w:t>具有上岗证或培训证或岗位证</w:t>
            </w:r>
          </w:p>
        </w:tc>
        <w:tc>
          <w:tcPr>
            <w:tcW w:w="1504" w:type="pct"/>
            <w:tcBorders>
              <w:left w:val="single" w:color="auto" w:sz="4" w:space="0"/>
            </w:tcBorders>
            <w:vAlign w:val="center"/>
          </w:tcPr>
          <w:p w14:paraId="3E88E73B">
            <w:pPr>
              <w:widowControl w:val="0"/>
              <w:jc w:val="center"/>
              <w:rPr>
                <w:highlight w:val="none"/>
                <w:vertAlign w:val="baseline"/>
                <w:lang w:val="en-US" w:eastAsia="zh-CN"/>
              </w:rPr>
            </w:pPr>
            <w:r>
              <w:rPr>
                <w:rFonts w:hint="eastAsia"/>
                <w:highlight w:val="none"/>
                <w:vertAlign w:val="baseline"/>
                <w:lang w:val="en-US" w:eastAsia="zh-CN"/>
              </w:rPr>
              <w:t>须提供上岗证或培训证或岗位证</w:t>
            </w:r>
          </w:p>
        </w:tc>
      </w:tr>
      <w:tr w14:paraId="76BBC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283" w:type="pct"/>
            <w:vAlign w:val="center"/>
          </w:tcPr>
          <w:p w14:paraId="6DC2286A">
            <w:pPr>
              <w:widowControl w:val="0"/>
              <w:jc w:val="center"/>
              <w:rPr>
                <w:highlight w:val="none"/>
                <w:vertAlign w:val="baseline"/>
                <w:lang w:val="en-US" w:eastAsia="zh-CN"/>
              </w:rPr>
            </w:pPr>
            <w:r>
              <w:rPr>
                <w:rFonts w:hint="eastAsia"/>
                <w:highlight w:val="none"/>
                <w:vertAlign w:val="baseline"/>
                <w:lang w:val="en-US" w:eastAsia="zh-CN"/>
              </w:rPr>
              <w:t>12</w:t>
            </w:r>
          </w:p>
        </w:tc>
        <w:tc>
          <w:tcPr>
            <w:tcW w:w="910" w:type="pct"/>
            <w:tcBorders>
              <w:left w:val="single" w:color="auto" w:sz="4" w:space="0"/>
            </w:tcBorders>
            <w:vAlign w:val="center"/>
          </w:tcPr>
          <w:p w14:paraId="7A48922C">
            <w:pPr>
              <w:widowControl w:val="0"/>
              <w:jc w:val="center"/>
              <w:rPr>
                <w:highlight w:val="none"/>
                <w:vertAlign w:val="baseline"/>
                <w:lang w:val="en-US" w:eastAsia="zh-CN"/>
              </w:rPr>
            </w:pPr>
            <w:r>
              <w:rPr>
                <w:rFonts w:hint="eastAsia"/>
                <w:highlight w:val="none"/>
                <w:vertAlign w:val="baseline"/>
                <w:lang w:val="en-US" w:eastAsia="zh-CN"/>
              </w:rPr>
              <w:t>其他工程技术人员</w:t>
            </w:r>
          </w:p>
        </w:tc>
        <w:tc>
          <w:tcPr>
            <w:tcW w:w="539" w:type="pct"/>
            <w:tcBorders>
              <w:left w:val="single" w:color="auto" w:sz="4" w:space="0"/>
            </w:tcBorders>
            <w:vAlign w:val="center"/>
          </w:tcPr>
          <w:p w14:paraId="49ED0578">
            <w:pPr>
              <w:widowControl w:val="0"/>
              <w:jc w:val="center"/>
              <w:rPr>
                <w:highlight w:val="none"/>
                <w:vertAlign w:val="baseline"/>
                <w:lang w:val="en-US" w:eastAsia="zh-CN"/>
              </w:rPr>
            </w:pPr>
            <w:r>
              <w:rPr>
                <w:rFonts w:hint="eastAsia"/>
                <w:highlight w:val="none"/>
                <w:vertAlign w:val="baseline"/>
                <w:lang w:val="en-US" w:eastAsia="zh-CN"/>
              </w:rPr>
              <w:t>3</w:t>
            </w:r>
          </w:p>
        </w:tc>
        <w:tc>
          <w:tcPr>
            <w:tcW w:w="1761" w:type="pct"/>
            <w:tcBorders>
              <w:left w:val="single" w:color="auto" w:sz="4" w:space="0"/>
            </w:tcBorders>
            <w:vAlign w:val="center"/>
          </w:tcPr>
          <w:p w14:paraId="4F7C05A2">
            <w:pPr>
              <w:widowControl w:val="0"/>
              <w:jc w:val="center"/>
              <w:rPr>
                <w:highlight w:val="none"/>
                <w:vertAlign w:val="baseline"/>
                <w:lang w:val="en-US" w:eastAsia="zh-CN"/>
              </w:rPr>
            </w:pPr>
            <w:r>
              <w:rPr>
                <w:rFonts w:hint="eastAsia"/>
                <w:highlight w:val="none"/>
                <w:vertAlign w:val="baseline"/>
                <w:lang w:val="en-US" w:eastAsia="zh-CN"/>
              </w:rPr>
              <w:t>具备电力或机电或电气相关专业初级或以上技术职称</w:t>
            </w:r>
          </w:p>
        </w:tc>
        <w:tc>
          <w:tcPr>
            <w:tcW w:w="1504" w:type="pct"/>
            <w:tcBorders>
              <w:left w:val="single" w:color="auto" w:sz="4" w:space="0"/>
            </w:tcBorders>
            <w:vAlign w:val="center"/>
          </w:tcPr>
          <w:p w14:paraId="2C3743F9">
            <w:pPr>
              <w:widowControl w:val="0"/>
              <w:jc w:val="center"/>
              <w:rPr>
                <w:highlight w:val="none"/>
                <w:vertAlign w:val="baseline"/>
                <w:lang w:val="en-US" w:eastAsia="zh-CN"/>
              </w:rPr>
            </w:pPr>
            <w:r>
              <w:rPr>
                <w:rFonts w:hint="eastAsia"/>
                <w:highlight w:val="none"/>
                <w:vertAlign w:val="baseline"/>
                <w:lang w:val="en-US" w:eastAsia="zh-CN"/>
              </w:rPr>
              <w:t>须提供职称证</w:t>
            </w:r>
          </w:p>
        </w:tc>
      </w:tr>
    </w:tbl>
    <w:p w14:paraId="2385889B">
      <w:pPr>
        <w:jc w:val="left"/>
        <w:rPr>
          <w:rFonts w:hint="eastAsia"/>
          <w:highlight w:val="none"/>
          <w:lang w:val="en-US" w:eastAsia="zh-CN"/>
        </w:rPr>
      </w:pPr>
      <w:r>
        <w:rPr>
          <w:rFonts w:hint="eastAsia"/>
          <w:highlight w:val="none"/>
          <w:lang w:val="en-US" w:eastAsia="zh-CN"/>
        </w:rPr>
        <w:t>注：1、投入人员需提供的证明文件详见上表备注要求。</w:t>
      </w:r>
    </w:p>
    <w:p w14:paraId="68F89A70">
      <w:pPr>
        <w:jc w:val="left"/>
        <w:rPr>
          <w:highlight w:val="none"/>
          <w:lang w:val="en-US" w:eastAsia="zh-CN"/>
        </w:rPr>
      </w:pPr>
      <w:r>
        <w:rPr>
          <w:rFonts w:hint="eastAsia"/>
          <w:highlight w:val="none"/>
          <w:lang w:val="en-US" w:eastAsia="zh-CN"/>
        </w:rPr>
        <w:t>2、拟投入的项目部人员，未经招标人同意，中标后不得更换，否则按合同约定承担违约责任。</w:t>
      </w:r>
    </w:p>
    <w:p w14:paraId="788235B3">
      <w:pPr>
        <w:pStyle w:val="35"/>
        <w:rPr>
          <w:highlight w:val="none"/>
        </w:rPr>
      </w:pPr>
    </w:p>
    <w:p w14:paraId="176B9BF9">
      <w:pPr>
        <w:pStyle w:val="21"/>
        <w:topLinePunct/>
        <w:adjustRightInd w:val="0"/>
        <w:spacing w:line="276" w:lineRule="auto"/>
        <w:rPr>
          <w:rStyle w:val="66"/>
          <w:rFonts w:ascii="宋体" w:hAnsi="宋体" w:eastAsia="宋体"/>
          <w:b/>
          <w:bCs/>
          <w:szCs w:val="21"/>
          <w:highlight w:val="none"/>
        </w:rPr>
      </w:pPr>
      <w:r>
        <w:rPr>
          <w:rStyle w:val="66"/>
          <w:rFonts w:hint="eastAsia" w:ascii="宋体" w:hAnsi="宋体" w:eastAsia="宋体"/>
          <w:b/>
          <w:bCs/>
          <w:szCs w:val="21"/>
          <w:highlight w:val="none"/>
        </w:rPr>
        <w:br w:type="page"/>
      </w:r>
    </w:p>
    <w:p w14:paraId="6D1E217C">
      <w:pPr>
        <w:pStyle w:val="21"/>
        <w:topLinePunct/>
        <w:adjustRightInd w:val="0"/>
        <w:spacing w:line="276" w:lineRule="auto"/>
        <w:rPr>
          <w:rStyle w:val="66"/>
          <w:rFonts w:ascii="宋体" w:hAnsi="宋体" w:eastAsia="宋体"/>
          <w:b/>
          <w:bCs/>
          <w:szCs w:val="21"/>
          <w:highlight w:val="none"/>
        </w:rPr>
      </w:pPr>
      <w:r>
        <w:rPr>
          <w:rStyle w:val="66"/>
          <w:rFonts w:ascii="宋体" w:hAnsi="宋体" w:eastAsia="宋体"/>
          <w:b/>
          <w:bCs/>
          <w:szCs w:val="21"/>
          <w:highlight w:val="none"/>
        </w:rPr>
        <w:t>附表五（适用于加权平均法）</w:t>
      </w:r>
    </w:p>
    <w:p w14:paraId="026329CD">
      <w:pPr>
        <w:spacing w:line="360" w:lineRule="auto"/>
        <w:jc w:val="center"/>
        <w:rPr>
          <w:rStyle w:val="66"/>
          <w:rFonts w:ascii="宋体" w:hAnsi="宋体"/>
          <w:b/>
          <w:sz w:val="36"/>
          <w:szCs w:val="36"/>
          <w:highlight w:val="none"/>
        </w:rPr>
      </w:pPr>
      <w:r>
        <w:rPr>
          <w:rStyle w:val="66"/>
          <w:rFonts w:ascii="宋体" w:hAnsi="宋体"/>
          <w:b/>
          <w:sz w:val="36"/>
          <w:szCs w:val="36"/>
          <w:highlight w:val="none"/>
        </w:rPr>
        <w:t>经济标评分表</w:t>
      </w:r>
    </w:p>
    <w:p w14:paraId="39A38D43">
      <w:pPr>
        <w:spacing w:line="360" w:lineRule="auto"/>
        <w:rPr>
          <w:rStyle w:val="66"/>
          <w:rFonts w:ascii="宋体" w:hAnsi="宋体"/>
          <w:szCs w:val="21"/>
          <w:highlight w:val="none"/>
        </w:rPr>
      </w:pPr>
      <w:r>
        <w:rPr>
          <w:rStyle w:val="66"/>
          <w:rFonts w:ascii="宋体" w:hAnsi="宋体"/>
          <w:szCs w:val="21"/>
          <w:highlight w:val="none"/>
        </w:rPr>
        <w:t>工程名称：</w:t>
      </w:r>
    </w:p>
    <w:tbl>
      <w:tblPr>
        <w:tblStyle w:val="2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76"/>
        <w:gridCol w:w="1315"/>
        <w:gridCol w:w="13"/>
        <w:gridCol w:w="1350"/>
        <w:gridCol w:w="1350"/>
        <w:gridCol w:w="1350"/>
        <w:gridCol w:w="1350"/>
        <w:gridCol w:w="1350"/>
        <w:gridCol w:w="1350"/>
        <w:gridCol w:w="1342"/>
      </w:tblGrid>
      <w:tr w14:paraId="6BB797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 w:hRule="atLeast"/>
          <w:jc w:val="center"/>
        </w:trPr>
        <w:tc>
          <w:tcPr>
            <w:tcW w:w="2676" w:type="dxa"/>
            <w:tcBorders>
              <w:top w:val="single" w:color="000000" w:sz="4" w:space="0"/>
              <w:left w:val="single" w:color="000000" w:sz="4" w:space="0"/>
              <w:bottom w:val="single" w:color="000000" w:sz="4" w:space="0"/>
              <w:right w:val="single" w:color="000000" w:sz="4" w:space="0"/>
            </w:tcBorders>
            <w:vAlign w:val="center"/>
          </w:tcPr>
          <w:p w14:paraId="52BCC1FC">
            <w:pPr>
              <w:spacing w:line="360" w:lineRule="auto"/>
              <w:rPr>
                <w:rStyle w:val="66"/>
                <w:rFonts w:ascii="宋体" w:hAnsi="宋体"/>
                <w:szCs w:val="21"/>
                <w:highlight w:val="none"/>
              </w:rPr>
            </w:pPr>
            <w:r>
              <w:rPr>
                <w:rStyle w:val="66"/>
                <w:rFonts w:ascii="宋体" w:hAnsi="宋体"/>
                <w:szCs w:val="21"/>
                <w:highlight w:val="none"/>
              </w:rPr>
              <w:t>投标人名称</w:t>
            </w:r>
          </w:p>
        </w:tc>
        <w:tc>
          <w:tcPr>
            <w:tcW w:w="1328" w:type="dxa"/>
            <w:gridSpan w:val="2"/>
            <w:tcBorders>
              <w:top w:val="single" w:color="000000" w:sz="4" w:space="0"/>
              <w:left w:val="single" w:color="000000" w:sz="4" w:space="0"/>
              <w:bottom w:val="single" w:color="000000" w:sz="4" w:space="0"/>
              <w:right w:val="single" w:color="000000" w:sz="4" w:space="0"/>
            </w:tcBorders>
            <w:vAlign w:val="center"/>
          </w:tcPr>
          <w:p w14:paraId="7047D1D7">
            <w:pPr>
              <w:spacing w:line="360" w:lineRule="auto"/>
              <w:rPr>
                <w:rStyle w:val="66"/>
                <w:rFonts w:ascii="宋体" w:hAnsi="宋体"/>
                <w:szCs w:val="21"/>
                <w:highlight w:val="none"/>
              </w:rPr>
            </w:pPr>
          </w:p>
        </w:tc>
        <w:tc>
          <w:tcPr>
            <w:tcW w:w="1350" w:type="dxa"/>
            <w:tcBorders>
              <w:top w:val="single" w:color="000000" w:sz="4" w:space="0"/>
              <w:left w:val="single" w:color="000000" w:sz="4" w:space="0"/>
              <w:bottom w:val="single" w:color="000000" w:sz="4" w:space="0"/>
              <w:right w:val="single" w:color="000000" w:sz="4" w:space="0"/>
            </w:tcBorders>
            <w:vAlign w:val="center"/>
          </w:tcPr>
          <w:p w14:paraId="3C0D9C7D">
            <w:pPr>
              <w:spacing w:line="360" w:lineRule="auto"/>
              <w:rPr>
                <w:rStyle w:val="66"/>
                <w:rFonts w:ascii="宋体" w:hAnsi="宋体"/>
                <w:szCs w:val="21"/>
                <w:highlight w:val="none"/>
              </w:rPr>
            </w:pPr>
          </w:p>
        </w:tc>
        <w:tc>
          <w:tcPr>
            <w:tcW w:w="1350" w:type="dxa"/>
            <w:tcBorders>
              <w:top w:val="single" w:color="000000" w:sz="4" w:space="0"/>
              <w:left w:val="single" w:color="000000" w:sz="4" w:space="0"/>
              <w:bottom w:val="single" w:color="000000" w:sz="4" w:space="0"/>
              <w:right w:val="single" w:color="000000" w:sz="4" w:space="0"/>
            </w:tcBorders>
            <w:vAlign w:val="center"/>
          </w:tcPr>
          <w:p w14:paraId="10543F0C">
            <w:pPr>
              <w:spacing w:line="360" w:lineRule="auto"/>
              <w:rPr>
                <w:rStyle w:val="66"/>
                <w:rFonts w:ascii="宋体" w:hAnsi="宋体"/>
                <w:szCs w:val="21"/>
                <w:highlight w:val="none"/>
              </w:rPr>
            </w:pPr>
          </w:p>
        </w:tc>
        <w:tc>
          <w:tcPr>
            <w:tcW w:w="1350" w:type="dxa"/>
            <w:tcBorders>
              <w:top w:val="single" w:color="000000" w:sz="4" w:space="0"/>
              <w:left w:val="single" w:color="000000" w:sz="4" w:space="0"/>
              <w:bottom w:val="single" w:color="000000" w:sz="4" w:space="0"/>
              <w:right w:val="single" w:color="000000" w:sz="4" w:space="0"/>
            </w:tcBorders>
            <w:vAlign w:val="center"/>
          </w:tcPr>
          <w:p w14:paraId="19BB0096">
            <w:pPr>
              <w:spacing w:line="360" w:lineRule="auto"/>
              <w:rPr>
                <w:rStyle w:val="66"/>
                <w:rFonts w:ascii="宋体" w:hAnsi="宋体"/>
                <w:szCs w:val="21"/>
                <w:highlight w:val="none"/>
              </w:rPr>
            </w:pPr>
          </w:p>
        </w:tc>
        <w:tc>
          <w:tcPr>
            <w:tcW w:w="1350" w:type="dxa"/>
            <w:tcBorders>
              <w:top w:val="single" w:color="000000" w:sz="4" w:space="0"/>
              <w:left w:val="single" w:color="000000" w:sz="4" w:space="0"/>
              <w:bottom w:val="single" w:color="000000" w:sz="4" w:space="0"/>
              <w:right w:val="single" w:color="000000" w:sz="4" w:space="0"/>
            </w:tcBorders>
            <w:vAlign w:val="center"/>
          </w:tcPr>
          <w:p w14:paraId="3F0F7968">
            <w:pPr>
              <w:spacing w:line="360" w:lineRule="auto"/>
              <w:rPr>
                <w:rStyle w:val="66"/>
                <w:rFonts w:ascii="宋体" w:hAnsi="宋体"/>
                <w:szCs w:val="21"/>
                <w:highlight w:val="none"/>
              </w:rPr>
            </w:pPr>
          </w:p>
        </w:tc>
        <w:tc>
          <w:tcPr>
            <w:tcW w:w="1350" w:type="dxa"/>
            <w:tcBorders>
              <w:top w:val="single" w:color="000000" w:sz="4" w:space="0"/>
              <w:left w:val="single" w:color="000000" w:sz="4" w:space="0"/>
              <w:bottom w:val="single" w:color="000000" w:sz="4" w:space="0"/>
              <w:right w:val="single" w:color="000000" w:sz="4" w:space="0"/>
            </w:tcBorders>
            <w:vAlign w:val="center"/>
          </w:tcPr>
          <w:p w14:paraId="692B8095">
            <w:pPr>
              <w:spacing w:line="360" w:lineRule="auto"/>
              <w:rPr>
                <w:rStyle w:val="66"/>
                <w:rFonts w:ascii="宋体" w:hAnsi="宋体"/>
                <w:szCs w:val="21"/>
                <w:highlight w:val="none"/>
              </w:rPr>
            </w:pPr>
          </w:p>
        </w:tc>
        <w:tc>
          <w:tcPr>
            <w:tcW w:w="1350" w:type="dxa"/>
            <w:tcBorders>
              <w:top w:val="single" w:color="000000" w:sz="4" w:space="0"/>
              <w:left w:val="single" w:color="000000" w:sz="4" w:space="0"/>
              <w:bottom w:val="single" w:color="000000" w:sz="4" w:space="0"/>
              <w:right w:val="single" w:color="000000" w:sz="4" w:space="0"/>
            </w:tcBorders>
            <w:vAlign w:val="center"/>
          </w:tcPr>
          <w:p w14:paraId="534A51B9">
            <w:pPr>
              <w:spacing w:line="360" w:lineRule="auto"/>
              <w:rPr>
                <w:rStyle w:val="66"/>
                <w:rFonts w:ascii="宋体" w:hAnsi="宋体"/>
                <w:szCs w:val="21"/>
                <w:highlight w:val="none"/>
              </w:rPr>
            </w:pPr>
          </w:p>
        </w:tc>
        <w:tc>
          <w:tcPr>
            <w:tcW w:w="1342" w:type="dxa"/>
            <w:tcBorders>
              <w:top w:val="single" w:color="000000" w:sz="4" w:space="0"/>
              <w:left w:val="single" w:color="000000" w:sz="4" w:space="0"/>
              <w:bottom w:val="single" w:color="000000" w:sz="4" w:space="0"/>
              <w:right w:val="single" w:color="000000" w:sz="4" w:space="0"/>
            </w:tcBorders>
            <w:vAlign w:val="center"/>
          </w:tcPr>
          <w:p w14:paraId="1875A3CF">
            <w:pPr>
              <w:spacing w:line="360" w:lineRule="auto"/>
              <w:rPr>
                <w:rStyle w:val="66"/>
                <w:rFonts w:ascii="宋体" w:hAnsi="宋体"/>
                <w:szCs w:val="21"/>
                <w:highlight w:val="none"/>
              </w:rPr>
            </w:pPr>
          </w:p>
        </w:tc>
      </w:tr>
      <w:tr w14:paraId="2C2C21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 w:hRule="atLeast"/>
          <w:jc w:val="center"/>
        </w:trPr>
        <w:tc>
          <w:tcPr>
            <w:tcW w:w="2676" w:type="dxa"/>
            <w:tcBorders>
              <w:top w:val="single" w:color="000000" w:sz="4" w:space="0"/>
              <w:left w:val="single" w:color="000000" w:sz="4" w:space="0"/>
              <w:bottom w:val="single" w:color="000000" w:sz="4" w:space="0"/>
              <w:right w:val="single" w:color="000000" w:sz="4" w:space="0"/>
            </w:tcBorders>
            <w:vAlign w:val="center"/>
          </w:tcPr>
          <w:p w14:paraId="549D4CDE">
            <w:pPr>
              <w:spacing w:line="360" w:lineRule="auto"/>
              <w:rPr>
                <w:rStyle w:val="66"/>
                <w:rFonts w:ascii="宋体" w:hAnsi="宋体"/>
                <w:szCs w:val="21"/>
                <w:highlight w:val="none"/>
              </w:rPr>
            </w:pPr>
            <w:r>
              <w:rPr>
                <w:rStyle w:val="66"/>
                <w:rFonts w:ascii="宋体" w:hAnsi="宋体"/>
                <w:szCs w:val="21"/>
                <w:highlight w:val="none"/>
              </w:rPr>
              <w:t>投标报价PT（元）</w:t>
            </w:r>
          </w:p>
        </w:tc>
        <w:tc>
          <w:tcPr>
            <w:tcW w:w="1328" w:type="dxa"/>
            <w:gridSpan w:val="2"/>
            <w:tcBorders>
              <w:top w:val="single" w:color="000000" w:sz="4" w:space="0"/>
              <w:left w:val="single" w:color="000000" w:sz="4" w:space="0"/>
              <w:bottom w:val="single" w:color="000000" w:sz="4" w:space="0"/>
              <w:right w:val="single" w:color="000000" w:sz="4" w:space="0"/>
            </w:tcBorders>
            <w:vAlign w:val="center"/>
          </w:tcPr>
          <w:p w14:paraId="3CDA2C68">
            <w:pPr>
              <w:spacing w:line="360" w:lineRule="auto"/>
              <w:rPr>
                <w:rStyle w:val="66"/>
                <w:rFonts w:ascii="宋体" w:hAnsi="宋体"/>
                <w:szCs w:val="21"/>
                <w:highlight w:val="none"/>
              </w:rPr>
            </w:pPr>
          </w:p>
        </w:tc>
        <w:tc>
          <w:tcPr>
            <w:tcW w:w="1350" w:type="dxa"/>
            <w:tcBorders>
              <w:top w:val="single" w:color="000000" w:sz="4" w:space="0"/>
              <w:left w:val="single" w:color="000000" w:sz="4" w:space="0"/>
              <w:bottom w:val="single" w:color="000000" w:sz="4" w:space="0"/>
              <w:right w:val="single" w:color="000000" w:sz="4" w:space="0"/>
            </w:tcBorders>
            <w:vAlign w:val="center"/>
          </w:tcPr>
          <w:p w14:paraId="21C74491">
            <w:pPr>
              <w:spacing w:line="360" w:lineRule="auto"/>
              <w:rPr>
                <w:rStyle w:val="66"/>
                <w:rFonts w:ascii="宋体" w:hAnsi="宋体"/>
                <w:szCs w:val="21"/>
                <w:highlight w:val="none"/>
              </w:rPr>
            </w:pPr>
          </w:p>
        </w:tc>
        <w:tc>
          <w:tcPr>
            <w:tcW w:w="1350" w:type="dxa"/>
            <w:tcBorders>
              <w:top w:val="single" w:color="000000" w:sz="4" w:space="0"/>
              <w:left w:val="single" w:color="000000" w:sz="4" w:space="0"/>
              <w:bottom w:val="single" w:color="000000" w:sz="4" w:space="0"/>
              <w:right w:val="single" w:color="000000" w:sz="4" w:space="0"/>
            </w:tcBorders>
            <w:vAlign w:val="center"/>
          </w:tcPr>
          <w:p w14:paraId="234C1807">
            <w:pPr>
              <w:spacing w:line="360" w:lineRule="auto"/>
              <w:rPr>
                <w:rStyle w:val="66"/>
                <w:rFonts w:ascii="宋体" w:hAnsi="宋体"/>
                <w:szCs w:val="21"/>
                <w:highlight w:val="none"/>
              </w:rPr>
            </w:pPr>
          </w:p>
        </w:tc>
        <w:tc>
          <w:tcPr>
            <w:tcW w:w="1350" w:type="dxa"/>
            <w:tcBorders>
              <w:top w:val="single" w:color="000000" w:sz="4" w:space="0"/>
              <w:left w:val="single" w:color="000000" w:sz="4" w:space="0"/>
              <w:bottom w:val="single" w:color="000000" w:sz="4" w:space="0"/>
              <w:right w:val="single" w:color="000000" w:sz="4" w:space="0"/>
            </w:tcBorders>
            <w:vAlign w:val="center"/>
          </w:tcPr>
          <w:p w14:paraId="42315496">
            <w:pPr>
              <w:spacing w:line="360" w:lineRule="auto"/>
              <w:rPr>
                <w:rStyle w:val="66"/>
                <w:rFonts w:ascii="宋体" w:hAnsi="宋体"/>
                <w:szCs w:val="21"/>
                <w:highlight w:val="none"/>
              </w:rPr>
            </w:pPr>
          </w:p>
        </w:tc>
        <w:tc>
          <w:tcPr>
            <w:tcW w:w="1350" w:type="dxa"/>
            <w:tcBorders>
              <w:top w:val="single" w:color="000000" w:sz="4" w:space="0"/>
              <w:left w:val="single" w:color="000000" w:sz="4" w:space="0"/>
              <w:bottom w:val="single" w:color="000000" w:sz="4" w:space="0"/>
              <w:right w:val="single" w:color="000000" w:sz="4" w:space="0"/>
            </w:tcBorders>
            <w:vAlign w:val="center"/>
          </w:tcPr>
          <w:p w14:paraId="0388210B">
            <w:pPr>
              <w:spacing w:line="360" w:lineRule="auto"/>
              <w:rPr>
                <w:rStyle w:val="66"/>
                <w:rFonts w:ascii="宋体" w:hAnsi="宋体"/>
                <w:szCs w:val="21"/>
                <w:highlight w:val="none"/>
              </w:rPr>
            </w:pPr>
          </w:p>
        </w:tc>
        <w:tc>
          <w:tcPr>
            <w:tcW w:w="1350" w:type="dxa"/>
            <w:tcBorders>
              <w:top w:val="single" w:color="000000" w:sz="4" w:space="0"/>
              <w:left w:val="single" w:color="000000" w:sz="4" w:space="0"/>
              <w:bottom w:val="single" w:color="000000" w:sz="4" w:space="0"/>
              <w:right w:val="single" w:color="000000" w:sz="4" w:space="0"/>
            </w:tcBorders>
            <w:vAlign w:val="center"/>
          </w:tcPr>
          <w:p w14:paraId="56797CD4">
            <w:pPr>
              <w:spacing w:line="360" w:lineRule="auto"/>
              <w:rPr>
                <w:rStyle w:val="66"/>
                <w:rFonts w:ascii="宋体" w:hAnsi="宋体"/>
                <w:szCs w:val="21"/>
                <w:highlight w:val="none"/>
              </w:rPr>
            </w:pPr>
          </w:p>
        </w:tc>
        <w:tc>
          <w:tcPr>
            <w:tcW w:w="1350" w:type="dxa"/>
            <w:tcBorders>
              <w:top w:val="single" w:color="000000" w:sz="4" w:space="0"/>
              <w:left w:val="single" w:color="000000" w:sz="4" w:space="0"/>
              <w:bottom w:val="single" w:color="000000" w:sz="4" w:space="0"/>
              <w:right w:val="single" w:color="000000" w:sz="4" w:space="0"/>
            </w:tcBorders>
            <w:vAlign w:val="center"/>
          </w:tcPr>
          <w:p w14:paraId="69C91568">
            <w:pPr>
              <w:spacing w:line="360" w:lineRule="auto"/>
              <w:rPr>
                <w:rStyle w:val="66"/>
                <w:rFonts w:ascii="宋体" w:hAnsi="宋体"/>
                <w:szCs w:val="21"/>
                <w:highlight w:val="none"/>
              </w:rPr>
            </w:pPr>
          </w:p>
        </w:tc>
        <w:tc>
          <w:tcPr>
            <w:tcW w:w="1342" w:type="dxa"/>
            <w:tcBorders>
              <w:top w:val="single" w:color="000000" w:sz="4" w:space="0"/>
              <w:left w:val="single" w:color="000000" w:sz="4" w:space="0"/>
              <w:bottom w:val="single" w:color="000000" w:sz="4" w:space="0"/>
              <w:right w:val="single" w:color="000000" w:sz="4" w:space="0"/>
            </w:tcBorders>
            <w:vAlign w:val="center"/>
          </w:tcPr>
          <w:p w14:paraId="5ED758E3">
            <w:pPr>
              <w:spacing w:line="360" w:lineRule="auto"/>
              <w:rPr>
                <w:rStyle w:val="66"/>
                <w:rFonts w:ascii="宋体" w:hAnsi="宋体"/>
                <w:szCs w:val="21"/>
                <w:highlight w:val="none"/>
              </w:rPr>
            </w:pPr>
          </w:p>
        </w:tc>
      </w:tr>
      <w:tr w14:paraId="44C6B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 w:hRule="atLeast"/>
          <w:jc w:val="center"/>
        </w:trPr>
        <w:tc>
          <w:tcPr>
            <w:tcW w:w="2676" w:type="dxa"/>
            <w:tcBorders>
              <w:top w:val="single" w:color="000000" w:sz="4" w:space="0"/>
              <w:left w:val="single" w:color="000000" w:sz="4" w:space="0"/>
              <w:bottom w:val="single" w:color="000000" w:sz="4" w:space="0"/>
              <w:right w:val="single" w:color="000000" w:sz="4" w:space="0"/>
            </w:tcBorders>
            <w:vAlign w:val="center"/>
          </w:tcPr>
          <w:p w14:paraId="73A03488">
            <w:pPr>
              <w:spacing w:line="360" w:lineRule="auto"/>
              <w:rPr>
                <w:rStyle w:val="66"/>
                <w:rFonts w:ascii="宋体" w:hAnsi="宋体"/>
                <w:szCs w:val="21"/>
                <w:highlight w:val="none"/>
              </w:rPr>
            </w:pPr>
            <w:r>
              <w:rPr>
                <w:rStyle w:val="66"/>
                <w:rFonts w:ascii="宋体" w:hAnsi="宋体"/>
                <w:szCs w:val="21"/>
                <w:highlight w:val="none"/>
              </w:rPr>
              <w:t>报价权重</w:t>
            </w:r>
          </w:p>
        </w:tc>
        <w:tc>
          <w:tcPr>
            <w:tcW w:w="1315" w:type="dxa"/>
            <w:tcBorders>
              <w:top w:val="single" w:color="000000" w:sz="4" w:space="0"/>
              <w:left w:val="single" w:color="000000" w:sz="4" w:space="0"/>
              <w:bottom w:val="single" w:color="000000" w:sz="4" w:space="0"/>
              <w:right w:val="single" w:color="000000" w:sz="4" w:space="0"/>
            </w:tcBorders>
            <w:vAlign w:val="center"/>
          </w:tcPr>
          <w:p w14:paraId="0993FC07">
            <w:pPr>
              <w:spacing w:line="360" w:lineRule="auto"/>
              <w:rPr>
                <w:rStyle w:val="66"/>
                <w:rFonts w:ascii="宋体" w:hAnsi="宋体"/>
                <w:szCs w:val="21"/>
                <w:highlight w:val="none"/>
              </w:rPr>
            </w:pPr>
          </w:p>
        </w:tc>
        <w:tc>
          <w:tcPr>
            <w:tcW w:w="1363" w:type="dxa"/>
            <w:gridSpan w:val="2"/>
            <w:tcBorders>
              <w:top w:val="single" w:color="000000" w:sz="4" w:space="0"/>
              <w:left w:val="single" w:color="000000" w:sz="4" w:space="0"/>
              <w:bottom w:val="single" w:color="000000" w:sz="4" w:space="0"/>
              <w:right w:val="single" w:color="000000" w:sz="4" w:space="0"/>
            </w:tcBorders>
            <w:vAlign w:val="center"/>
          </w:tcPr>
          <w:p w14:paraId="38FF7427">
            <w:pPr>
              <w:spacing w:line="360" w:lineRule="auto"/>
              <w:rPr>
                <w:rStyle w:val="66"/>
                <w:rFonts w:ascii="宋体" w:hAnsi="宋体"/>
                <w:szCs w:val="21"/>
                <w:highlight w:val="none"/>
              </w:rPr>
            </w:pPr>
          </w:p>
        </w:tc>
        <w:tc>
          <w:tcPr>
            <w:tcW w:w="1350" w:type="dxa"/>
            <w:tcBorders>
              <w:top w:val="single" w:color="000000" w:sz="4" w:space="0"/>
              <w:left w:val="single" w:color="000000" w:sz="4" w:space="0"/>
              <w:bottom w:val="single" w:color="000000" w:sz="4" w:space="0"/>
              <w:right w:val="single" w:color="000000" w:sz="4" w:space="0"/>
            </w:tcBorders>
            <w:vAlign w:val="center"/>
          </w:tcPr>
          <w:p w14:paraId="72C0B2CC">
            <w:pPr>
              <w:spacing w:line="360" w:lineRule="auto"/>
              <w:rPr>
                <w:rStyle w:val="66"/>
                <w:rFonts w:ascii="宋体" w:hAnsi="宋体"/>
                <w:szCs w:val="21"/>
                <w:highlight w:val="none"/>
              </w:rPr>
            </w:pPr>
          </w:p>
        </w:tc>
        <w:tc>
          <w:tcPr>
            <w:tcW w:w="1350" w:type="dxa"/>
            <w:tcBorders>
              <w:top w:val="single" w:color="000000" w:sz="4" w:space="0"/>
              <w:left w:val="single" w:color="000000" w:sz="4" w:space="0"/>
              <w:bottom w:val="single" w:color="000000" w:sz="4" w:space="0"/>
              <w:right w:val="single" w:color="000000" w:sz="4" w:space="0"/>
            </w:tcBorders>
            <w:vAlign w:val="center"/>
          </w:tcPr>
          <w:p w14:paraId="5E545460">
            <w:pPr>
              <w:spacing w:line="360" w:lineRule="auto"/>
              <w:rPr>
                <w:rStyle w:val="66"/>
                <w:rFonts w:ascii="宋体" w:hAnsi="宋体"/>
                <w:szCs w:val="21"/>
                <w:highlight w:val="none"/>
              </w:rPr>
            </w:pPr>
          </w:p>
        </w:tc>
        <w:tc>
          <w:tcPr>
            <w:tcW w:w="1350" w:type="dxa"/>
            <w:tcBorders>
              <w:top w:val="single" w:color="000000" w:sz="4" w:space="0"/>
              <w:left w:val="single" w:color="000000" w:sz="4" w:space="0"/>
              <w:bottom w:val="single" w:color="000000" w:sz="4" w:space="0"/>
              <w:right w:val="single" w:color="000000" w:sz="4" w:space="0"/>
            </w:tcBorders>
            <w:vAlign w:val="center"/>
          </w:tcPr>
          <w:p w14:paraId="21EBA9B7">
            <w:pPr>
              <w:spacing w:line="360" w:lineRule="auto"/>
              <w:rPr>
                <w:rStyle w:val="66"/>
                <w:rFonts w:ascii="宋体" w:hAnsi="宋体"/>
                <w:szCs w:val="21"/>
                <w:highlight w:val="none"/>
              </w:rPr>
            </w:pPr>
          </w:p>
        </w:tc>
        <w:tc>
          <w:tcPr>
            <w:tcW w:w="1350" w:type="dxa"/>
            <w:tcBorders>
              <w:top w:val="single" w:color="000000" w:sz="4" w:space="0"/>
              <w:left w:val="single" w:color="000000" w:sz="4" w:space="0"/>
              <w:bottom w:val="single" w:color="000000" w:sz="4" w:space="0"/>
              <w:right w:val="single" w:color="000000" w:sz="4" w:space="0"/>
            </w:tcBorders>
            <w:vAlign w:val="center"/>
          </w:tcPr>
          <w:p w14:paraId="17DECBF8">
            <w:pPr>
              <w:spacing w:line="360" w:lineRule="auto"/>
              <w:rPr>
                <w:rStyle w:val="66"/>
                <w:rFonts w:ascii="宋体" w:hAnsi="宋体"/>
                <w:szCs w:val="21"/>
                <w:highlight w:val="none"/>
              </w:rPr>
            </w:pPr>
          </w:p>
        </w:tc>
        <w:tc>
          <w:tcPr>
            <w:tcW w:w="1350" w:type="dxa"/>
            <w:tcBorders>
              <w:top w:val="single" w:color="000000" w:sz="4" w:space="0"/>
              <w:left w:val="single" w:color="000000" w:sz="4" w:space="0"/>
              <w:bottom w:val="single" w:color="000000" w:sz="4" w:space="0"/>
              <w:right w:val="single" w:color="000000" w:sz="4" w:space="0"/>
            </w:tcBorders>
            <w:vAlign w:val="center"/>
          </w:tcPr>
          <w:p w14:paraId="42493F7E">
            <w:pPr>
              <w:spacing w:line="360" w:lineRule="auto"/>
              <w:rPr>
                <w:rStyle w:val="66"/>
                <w:rFonts w:ascii="宋体" w:hAnsi="宋体"/>
                <w:szCs w:val="21"/>
                <w:highlight w:val="none"/>
              </w:rPr>
            </w:pPr>
          </w:p>
        </w:tc>
        <w:tc>
          <w:tcPr>
            <w:tcW w:w="1342" w:type="dxa"/>
            <w:tcBorders>
              <w:top w:val="single" w:color="000000" w:sz="4" w:space="0"/>
              <w:left w:val="single" w:color="000000" w:sz="4" w:space="0"/>
              <w:bottom w:val="single" w:color="000000" w:sz="4" w:space="0"/>
              <w:right w:val="single" w:color="auto" w:sz="4" w:space="0"/>
            </w:tcBorders>
            <w:vAlign w:val="center"/>
          </w:tcPr>
          <w:p w14:paraId="0664FC97">
            <w:pPr>
              <w:spacing w:line="360" w:lineRule="auto"/>
              <w:rPr>
                <w:rStyle w:val="66"/>
                <w:rFonts w:ascii="宋体" w:hAnsi="宋体"/>
                <w:szCs w:val="21"/>
                <w:highlight w:val="none"/>
              </w:rPr>
            </w:pPr>
          </w:p>
        </w:tc>
      </w:tr>
      <w:tr w14:paraId="49196F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 w:hRule="atLeast"/>
          <w:jc w:val="center"/>
        </w:trPr>
        <w:tc>
          <w:tcPr>
            <w:tcW w:w="2676" w:type="dxa"/>
            <w:tcBorders>
              <w:top w:val="single" w:color="000000" w:sz="4" w:space="0"/>
              <w:left w:val="single" w:color="000000" w:sz="4" w:space="0"/>
              <w:bottom w:val="single" w:color="000000" w:sz="4" w:space="0"/>
              <w:right w:val="single" w:color="000000" w:sz="4" w:space="0"/>
            </w:tcBorders>
            <w:vAlign w:val="center"/>
          </w:tcPr>
          <w:p w14:paraId="401A43C0">
            <w:pPr>
              <w:spacing w:line="360" w:lineRule="auto"/>
              <w:rPr>
                <w:rStyle w:val="66"/>
                <w:rFonts w:ascii="宋体" w:hAnsi="宋体"/>
                <w:szCs w:val="21"/>
                <w:highlight w:val="none"/>
              </w:rPr>
            </w:pPr>
            <w:r>
              <w:rPr>
                <w:rStyle w:val="66"/>
                <w:rFonts w:ascii="宋体" w:hAnsi="宋体"/>
                <w:szCs w:val="21"/>
                <w:highlight w:val="none"/>
              </w:rPr>
              <w:t>评标参考价PC（元）</w:t>
            </w:r>
          </w:p>
        </w:tc>
        <w:tc>
          <w:tcPr>
            <w:tcW w:w="10770" w:type="dxa"/>
            <w:gridSpan w:val="9"/>
            <w:tcBorders>
              <w:top w:val="nil"/>
              <w:bottom w:val="nil"/>
              <w:right w:val="single" w:color="auto" w:sz="4" w:space="0"/>
            </w:tcBorders>
          </w:tcPr>
          <w:p w14:paraId="6F3D38F1">
            <w:pPr>
              <w:spacing w:line="360" w:lineRule="auto"/>
              <w:jc w:val="left"/>
              <w:textAlignment w:val="auto"/>
              <w:rPr>
                <w:rStyle w:val="66"/>
                <w:rFonts w:ascii="宋体" w:hAnsi="宋体"/>
                <w:szCs w:val="21"/>
                <w:highlight w:val="none"/>
              </w:rPr>
            </w:pPr>
          </w:p>
        </w:tc>
      </w:tr>
      <w:tr w14:paraId="6E39E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 w:hRule="atLeast"/>
          <w:jc w:val="center"/>
        </w:trPr>
        <w:tc>
          <w:tcPr>
            <w:tcW w:w="2676" w:type="dxa"/>
            <w:tcBorders>
              <w:top w:val="single" w:color="000000" w:sz="4" w:space="0"/>
              <w:left w:val="single" w:color="000000" w:sz="4" w:space="0"/>
              <w:bottom w:val="single" w:color="000000" w:sz="4" w:space="0"/>
              <w:right w:val="single" w:color="000000" w:sz="4" w:space="0"/>
            </w:tcBorders>
            <w:vAlign w:val="center"/>
          </w:tcPr>
          <w:p w14:paraId="3E04917B">
            <w:pPr>
              <w:spacing w:line="360" w:lineRule="auto"/>
              <w:rPr>
                <w:rStyle w:val="66"/>
                <w:rFonts w:ascii="宋体" w:hAnsi="宋体"/>
                <w:szCs w:val="21"/>
                <w:highlight w:val="none"/>
              </w:rPr>
            </w:pPr>
            <w:r>
              <w:rPr>
                <w:rStyle w:val="66"/>
                <w:rFonts w:ascii="宋体" w:hAnsi="宋体"/>
                <w:szCs w:val="21"/>
                <w:highlight w:val="none"/>
              </w:rPr>
              <w:t>偏差（（PT-PC）/PC）（%）</w:t>
            </w:r>
          </w:p>
        </w:tc>
        <w:tc>
          <w:tcPr>
            <w:tcW w:w="1328" w:type="dxa"/>
            <w:gridSpan w:val="2"/>
            <w:tcBorders>
              <w:top w:val="single" w:color="000000" w:sz="4" w:space="0"/>
              <w:left w:val="single" w:color="000000" w:sz="4" w:space="0"/>
              <w:bottom w:val="single" w:color="000000" w:sz="4" w:space="0"/>
              <w:right w:val="single" w:color="000000" w:sz="4" w:space="0"/>
            </w:tcBorders>
            <w:vAlign w:val="center"/>
          </w:tcPr>
          <w:p w14:paraId="00BB6C24">
            <w:pPr>
              <w:spacing w:line="360" w:lineRule="auto"/>
              <w:rPr>
                <w:rStyle w:val="66"/>
                <w:rFonts w:ascii="宋体" w:hAnsi="宋体"/>
                <w:szCs w:val="21"/>
                <w:highlight w:val="none"/>
              </w:rPr>
            </w:pPr>
          </w:p>
        </w:tc>
        <w:tc>
          <w:tcPr>
            <w:tcW w:w="1350" w:type="dxa"/>
            <w:tcBorders>
              <w:top w:val="single" w:color="000000" w:sz="4" w:space="0"/>
              <w:left w:val="single" w:color="000000" w:sz="4" w:space="0"/>
              <w:bottom w:val="single" w:color="000000" w:sz="4" w:space="0"/>
              <w:right w:val="single" w:color="000000" w:sz="4" w:space="0"/>
            </w:tcBorders>
            <w:vAlign w:val="center"/>
          </w:tcPr>
          <w:p w14:paraId="633D29B0">
            <w:pPr>
              <w:spacing w:line="360" w:lineRule="auto"/>
              <w:rPr>
                <w:rStyle w:val="66"/>
                <w:rFonts w:ascii="宋体" w:hAnsi="宋体"/>
                <w:szCs w:val="21"/>
                <w:highlight w:val="none"/>
              </w:rPr>
            </w:pPr>
          </w:p>
        </w:tc>
        <w:tc>
          <w:tcPr>
            <w:tcW w:w="1350" w:type="dxa"/>
            <w:tcBorders>
              <w:top w:val="single" w:color="000000" w:sz="4" w:space="0"/>
              <w:left w:val="single" w:color="000000" w:sz="4" w:space="0"/>
              <w:bottom w:val="single" w:color="000000" w:sz="4" w:space="0"/>
              <w:right w:val="single" w:color="000000" w:sz="4" w:space="0"/>
            </w:tcBorders>
            <w:vAlign w:val="center"/>
          </w:tcPr>
          <w:p w14:paraId="31BF04A5">
            <w:pPr>
              <w:spacing w:line="360" w:lineRule="auto"/>
              <w:rPr>
                <w:rStyle w:val="66"/>
                <w:rFonts w:ascii="宋体" w:hAnsi="宋体"/>
                <w:szCs w:val="21"/>
                <w:highlight w:val="none"/>
              </w:rPr>
            </w:pPr>
          </w:p>
        </w:tc>
        <w:tc>
          <w:tcPr>
            <w:tcW w:w="1350" w:type="dxa"/>
            <w:tcBorders>
              <w:top w:val="single" w:color="000000" w:sz="4" w:space="0"/>
              <w:left w:val="single" w:color="000000" w:sz="4" w:space="0"/>
              <w:bottom w:val="single" w:color="000000" w:sz="4" w:space="0"/>
              <w:right w:val="single" w:color="000000" w:sz="4" w:space="0"/>
            </w:tcBorders>
            <w:vAlign w:val="center"/>
          </w:tcPr>
          <w:p w14:paraId="4CE4F23D">
            <w:pPr>
              <w:spacing w:line="360" w:lineRule="auto"/>
              <w:rPr>
                <w:rStyle w:val="66"/>
                <w:rFonts w:ascii="宋体" w:hAnsi="宋体"/>
                <w:szCs w:val="21"/>
                <w:highlight w:val="none"/>
              </w:rPr>
            </w:pPr>
          </w:p>
        </w:tc>
        <w:tc>
          <w:tcPr>
            <w:tcW w:w="1350" w:type="dxa"/>
            <w:tcBorders>
              <w:top w:val="single" w:color="000000" w:sz="4" w:space="0"/>
              <w:left w:val="single" w:color="000000" w:sz="4" w:space="0"/>
              <w:bottom w:val="single" w:color="000000" w:sz="4" w:space="0"/>
              <w:right w:val="single" w:color="000000" w:sz="4" w:space="0"/>
            </w:tcBorders>
            <w:vAlign w:val="center"/>
          </w:tcPr>
          <w:p w14:paraId="0EB6B9B1">
            <w:pPr>
              <w:spacing w:line="360" w:lineRule="auto"/>
              <w:rPr>
                <w:rStyle w:val="66"/>
                <w:rFonts w:ascii="宋体" w:hAnsi="宋体"/>
                <w:szCs w:val="21"/>
                <w:highlight w:val="none"/>
              </w:rPr>
            </w:pPr>
          </w:p>
        </w:tc>
        <w:tc>
          <w:tcPr>
            <w:tcW w:w="1350" w:type="dxa"/>
            <w:tcBorders>
              <w:top w:val="single" w:color="000000" w:sz="4" w:space="0"/>
              <w:left w:val="single" w:color="000000" w:sz="4" w:space="0"/>
              <w:bottom w:val="single" w:color="000000" w:sz="4" w:space="0"/>
              <w:right w:val="single" w:color="000000" w:sz="4" w:space="0"/>
            </w:tcBorders>
            <w:vAlign w:val="center"/>
          </w:tcPr>
          <w:p w14:paraId="2026BE63">
            <w:pPr>
              <w:spacing w:line="360" w:lineRule="auto"/>
              <w:rPr>
                <w:rStyle w:val="66"/>
                <w:rFonts w:ascii="宋体" w:hAnsi="宋体"/>
                <w:szCs w:val="21"/>
                <w:highlight w:val="none"/>
              </w:rPr>
            </w:pPr>
          </w:p>
        </w:tc>
        <w:tc>
          <w:tcPr>
            <w:tcW w:w="1350" w:type="dxa"/>
            <w:tcBorders>
              <w:top w:val="single" w:color="000000" w:sz="4" w:space="0"/>
              <w:left w:val="single" w:color="000000" w:sz="4" w:space="0"/>
              <w:bottom w:val="single" w:color="000000" w:sz="4" w:space="0"/>
              <w:right w:val="single" w:color="000000" w:sz="4" w:space="0"/>
            </w:tcBorders>
            <w:vAlign w:val="center"/>
          </w:tcPr>
          <w:p w14:paraId="4CA2CDA3">
            <w:pPr>
              <w:spacing w:line="360" w:lineRule="auto"/>
              <w:rPr>
                <w:rStyle w:val="66"/>
                <w:rFonts w:ascii="宋体" w:hAnsi="宋体"/>
                <w:szCs w:val="21"/>
                <w:highlight w:val="none"/>
              </w:rPr>
            </w:pPr>
          </w:p>
        </w:tc>
        <w:tc>
          <w:tcPr>
            <w:tcW w:w="1342" w:type="dxa"/>
            <w:tcBorders>
              <w:top w:val="single" w:color="000000" w:sz="4" w:space="0"/>
              <w:left w:val="single" w:color="000000" w:sz="4" w:space="0"/>
              <w:bottom w:val="single" w:color="000000" w:sz="4" w:space="0"/>
              <w:right w:val="single" w:color="auto" w:sz="4" w:space="0"/>
            </w:tcBorders>
            <w:vAlign w:val="center"/>
          </w:tcPr>
          <w:p w14:paraId="1D497F8B">
            <w:pPr>
              <w:spacing w:line="360" w:lineRule="auto"/>
              <w:rPr>
                <w:rStyle w:val="66"/>
                <w:rFonts w:ascii="宋体" w:hAnsi="宋体"/>
                <w:szCs w:val="21"/>
                <w:highlight w:val="none"/>
              </w:rPr>
            </w:pPr>
          </w:p>
        </w:tc>
      </w:tr>
      <w:tr w14:paraId="13E67E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7" w:hRule="atLeast"/>
          <w:jc w:val="center"/>
        </w:trPr>
        <w:tc>
          <w:tcPr>
            <w:tcW w:w="2676" w:type="dxa"/>
            <w:tcBorders>
              <w:top w:val="single" w:color="000000" w:sz="4" w:space="0"/>
              <w:left w:val="single" w:color="000000" w:sz="4" w:space="0"/>
              <w:bottom w:val="single" w:color="000000" w:sz="4" w:space="0"/>
              <w:right w:val="single" w:color="000000" w:sz="4" w:space="0"/>
            </w:tcBorders>
            <w:vAlign w:val="center"/>
          </w:tcPr>
          <w:p w14:paraId="70C460BF">
            <w:pPr>
              <w:spacing w:line="360" w:lineRule="auto"/>
              <w:rPr>
                <w:rStyle w:val="66"/>
                <w:rFonts w:ascii="宋体" w:hAnsi="宋体"/>
                <w:szCs w:val="21"/>
                <w:highlight w:val="none"/>
              </w:rPr>
            </w:pPr>
            <w:r>
              <w:rPr>
                <w:rStyle w:val="66"/>
                <w:rFonts w:ascii="宋体" w:hAnsi="宋体"/>
                <w:szCs w:val="21"/>
                <w:highlight w:val="none"/>
              </w:rPr>
              <w:t>减分（A）</w:t>
            </w:r>
          </w:p>
        </w:tc>
        <w:tc>
          <w:tcPr>
            <w:tcW w:w="1328" w:type="dxa"/>
            <w:gridSpan w:val="2"/>
            <w:tcBorders>
              <w:top w:val="single" w:color="000000" w:sz="4" w:space="0"/>
              <w:left w:val="single" w:color="000000" w:sz="4" w:space="0"/>
              <w:bottom w:val="single" w:color="000000" w:sz="4" w:space="0"/>
              <w:right w:val="single" w:color="000000" w:sz="4" w:space="0"/>
            </w:tcBorders>
            <w:vAlign w:val="center"/>
          </w:tcPr>
          <w:p w14:paraId="41E452B7">
            <w:pPr>
              <w:spacing w:line="360" w:lineRule="auto"/>
              <w:rPr>
                <w:rStyle w:val="66"/>
                <w:rFonts w:ascii="宋体" w:hAnsi="宋体"/>
                <w:szCs w:val="21"/>
                <w:highlight w:val="none"/>
              </w:rPr>
            </w:pPr>
          </w:p>
        </w:tc>
        <w:tc>
          <w:tcPr>
            <w:tcW w:w="1350" w:type="dxa"/>
            <w:tcBorders>
              <w:top w:val="single" w:color="000000" w:sz="4" w:space="0"/>
              <w:left w:val="single" w:color="000000" w:sz="4" w:space="0"/>
              <w:bottom w:val="single" w:color="000000" w:sz="4" w:space="0"/>
              <w:right w:val="single" w:color="000000" w:sz="4" w:space="0"/>
            </w:tcBorders>
            <w:vAlign w:val="center"/>
          </w:tcPr>
          <w:p w14:paraId="560A2E45">
            <w:pPr>
              <w:spacing w:line="360" w:lineRule="auto"/>
              <w:rPr>
                <w:rStyle w:val="66"/>
                <w:rFonts w:ascii="宋体" w:hAnsi="宋体"/>
                <w:szCs w:val="21"/>
                <w:highlight w:val="none"/>
              </w:rPr>
            </w:pPr>
          </w:p>
        </w:tc>
        <w:tc>
          <w:tcPr>
            <w:tcW w:w="1350" w:type="dxa"/>
            <w:tcBorders>
              <w:top w:val="single" w:color="000000" w:sz="4" w:space="0"/>
              <w:left w:val="single" w:color="000000" w:sz="4" w:space="0"/>
              <w:bottom w:val="single" w:color="000000" w:sz="4" w:space="0"/>
              <w:right w:val="single" w:color="000000" w:sz="4" w:space="0"/>
            </w:tcBorders>
            <w:vAlign w:val="center"/>
          </w:tcPr>
          <w:p w14:paraId="7C5BF2FC">
            <w:pPr>
              <w:spacing w:line="360" w:lineRule="auto"/>
              <w:rPr>
                <w:rStyle w:val="66"/>
                <w:rFonts w:ascii="宋体" w:hAnsi="宋体"/>
                <w:szCs w:val="21"/>
                <w:highlight w:val="none"/>
              </w:rPr>
            </w:pPr>
          </w:p>
        </w:tc>
        <w:tc>
          <w:tcPr>
            <w:tcW w:w="1350" w:type="dxa"/>
            <w:tcBorders>
              <w:top w:val="single" w:color="000000" w:sz="4" w:space="0"/>
              <w:left w:val="single" w:color="000000" w:sz="4" w:space="0"/>
              <w:bottom w:val="single" w:color="000000" w:sz="4" w:space="0"/>
              <w:right w:val="single" w:color="000000" w:sz="4" w:space="0"/>
            </w:tcBorders>
            <w:vAlign w:val="center"/>
          </w:tcPr>
          <w:p w14:paraId="09D186F4">
            <w:pPr>
              <w:spacing w:line="360" w:lineRule="auto"/>
              <w:rPr>
                <w:rStyle w:val="66"/>
                <w:rFonts w:ascii="宋体" w:hAnsi="宋体"/>
                <w:szCs w:val="21"/>
                <w:highlight w:val="none"/>
              </w:rPr>
            </w:pPr>
          </w:p>
        </w:tc>
        <w:tc>
          <w:tcPr>
            <w:tcW w:w="1350" w:type="dxa"/>
            <w:tcBorders>
              <w:top w:val="single" w:color="000000" w:sz="4" w:space="0"/>
              <w:left w:val="single" w:color="000000" w:sz="4" w:space="0"/>
              <w:bottom w:val="single" w:color="000000" w:sz="4" w:space="0"/>
              <w:right w:val="single" w:color="000000" w:sz="4" w:space="0"/>
            </w:tcBorders>
            <w:vAlign w:val="center"/>
          </w:tcPr>
          <w:p w14:paraId="5DEC31B3">
            <w:pPr>
              <w:spacing w:line="360" w:lineRule="auto"/>
              <w:rPr>
                <w:rStyle w:val="66"/>
                <w:rFonts w:ascii="宋体" w:hAnsi="宋体"/>
                <w:szCs w:val="21"/>
                <w:highlight w:val="none"/>
              </w:rPr>
            </w:pPr>
          </w:p>
        </w:tc>
        <w:tc>
          <w:tcPr>
            <w:tcW w:w="1350" w:type="dxa"/>
            <w:tcBorders>
              <w:top w:val="single" w:color="000000" w:sz="4" w:space="0"/>
              <w:left w:val="single" w:color="000000" w:sz="4" w:space="0"/>
              <w:bottom w:val="single" w:color="000000" w:sz="4" w:space="0"/>
              <w:right w:val="single" w:color="000000" w:sz="4" w:space="0"/>
            </w:tcBorders>
            <w:vAlign w:val="center"/>
          </w:tcPr>
          <w:p w14:paraId="7F14CDF5">
            <w:pPr>
              <w:spacing w:line="360" w:lineRule="auto"/>
              <w:rPr>
                <w:rStyle w:val="66"/>
                <w:rFonts w:ascii="宋体" w:hAnsi="宋体"/>
                <w:szCs w:val="21"/>
                <w:highlight w:val="none"/>
              </w:rPr>
            </w:pPr>
          </w:p>
        </w:tc>
        <w:tc>
          <w:tcPr>
            <w:tcW w:w="1350" w:type="dxa"/>
            <w:tcBorders>
              <w:top w:val="single" w:color="000000" w:sz="4" w:space="0"/>
              <w:left w:val="single" w:color="000000" w:sz="4" w:space="0"/>
              <w:bottom w:val="single" w:color="000000" w:sz="4" w:space="0"/>
              <w:right w:val="single" w:color="000000" w:sz="4" w:space="0"/>
            </w:tcBorders>
            <w:vAlign w:val="center"/>
          </w:tcPr>
          <w:p w14:paraId="011138EF">
            <w:pPr>
              <w:spacing w:line="360" w:lineRule="auto"/>
              <w:rPr>
                <w:rStyle w:val="66"/>
                <w:rFonts w:ascii="宋体" w:hAnsi="宋体"/>
                <w:szCs w:val="21"/>
                <w:highlight w:val="none"/>
              </w:rPr>
            </w:pPr>
          </w:p>
        </w:tc>
        <w:tc>
          <w:tcPr>
            <w:tcW w:w="1342" w:type="dxa"/>
            <w:tcBorders>
              <w:top w:val="single" w:color="000000" w:sz="4" w:space="0"/>
              <w:left w:val="single" w:color="000000" w:sz="4" w:space="0"/>
              <w:bottom w:val="single" w:color="000000" w:sz="4" w:space="0"/>
              <w:right w:val="single" w:color="000000" w:sz="4" w:space="0"/>
            </w:tcBorders>
            <w:vAlign w:val="center"/>
          </w:tcPr>
          <w:p w14:paraId="58D6A96A">
            <w:pPr>
              <w:spacing w:line="360" w:lineRule="auto"/>
              <w:rPr>
                <w:rStyle w:val="66"/>
                <w:rFonts w:ascii="宋体" w:hAnsi="宋体"/>
                <w:szCs w:val="21"/>
                <w:highlight w:val="none"/>
              </w:rPr>
            </w:pPr>
          </w:p>
        </w:tc>
      </w:tr>
      <w:tr w14:paraId="378E0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 w:hRule="atLeast"/>
          <w:jc w:val="center"/>
        </w:trPr>
        <w:tc>
          <w:tcPr>
            <w:tcW w:w="2676" w:type="dxa"/>
            <w:tcBorders>
              <w:top w:val="single" w:color="000000" w:sz="4" w:space="0"/>
              <w:left w:val="single" w:color="000000" w:sz="4" w:space="0"/>
              <w:bottom w:val="single" w:color="000000" w:sz="4" w:space="0"/>
              <w:right w:val="single" w:color="000000" w:sz="4" w:space="0"/>
            </w:tcBorders>
            <w:vAlign w:val="center"/>
          </w:tcPr>
          <w:p w14:paraId="4183DCC5">
            <w:pPr>
              <w:spacing w:line="360" w:lineRule="auto"/>
              <w:rPr>
                <w:rStyle w:val="66"/>
                <w:rFonts w:ascii="宋体" w:hAnsi="宋体"/>
                <w:szCs w:val="21"/>
                <w:highlight w:val="none"/>
              </w:rPr>
            </w:pPr>
            <w:r>
              <w:rPr>
                <w:rStyle w:val="66"/>
                <w:rFonts w:ascii="宋体" w:hAnsi="宋体"/>
                <w:szCs w:val="21"/>
                <w:highlight w:val="none"/>
              </w:rPr>
              <w:t>得分(I=100-A)</w:t>
            </w:r>
          </w:p>
        </w:tc>
        <w:tc>
          <w:tcPr>
            <w:tcW w:w="1328" w:type="dxa"/>
            <w:gridSpan w:val="2"/>
            <w:tcBorders>
              <w:top w:val="single" w:color="000000" w:sz="4" w:space="0"/>
              <w:left w:val="single" w:color="000000" w:sz="4" w:space="0"/>
              <w:bottom w:val="single" w:color="000000" w:sz="4" w:space="0"/>
              <w:right w:val="single" w:color="000000" w:sz="4" w:space="0"/>
            </w:tcBorders>
            <w:vAlign w:val="center"/>
          </w:tcPr>
          <w:p w14:paraId="1AF9B9B5">
            <w:pPr>
              <w:spacing w:line="360" w:lineRule="auto"/>
              <w:rPr>
                <w:rStyle w:val="66"/>
                <w:rFonts w:ascii="宋体" w:hAnsi="宋体"/>
                <w:szCs w:val="21"/>
                <w:highlight w:val="none"/>
              </w:rPr>
            </w:pPr>
          </w:p>
        </w:tc>
        <w:tc>
          <w:tcPr>
            <w:tcW w:w="1350" w:type="dxa"/>
            <w:tcBorders>
              <w:top w:val="single" w:color="000000" w:sz="4" w:space="0"/>
              <w:left w:val="single" w:color="000000" w:sz="4" w:space="0"/>
              <w:bottom w:val="single" w:color="000000" w:sz="4" w:space="0"/>
              <w:right w:val="single" w:color="000000" w:sz="4" w:space="0"/>
            </w:tcBorders>
            <w:vAlign w:val="center"/>
          </w:tcPr>
          <w:p w14:paraId="01049B16">
            <w:pPr>
              <w:spacing w:line="360" w:lineRule="auto"/>
              <w:rPr>
                <w:rStyle w:val="66"/>
                <w:rFonts w:ascii="宋体" w:hAnsi="宋体"/>
                <w:szCs w:val="21"/>
                <w:highlight w:val="none"/>
              </w:rPr>
            </w:pPr>
          </w:p>
        </w:tc>
        <w:tc>
          <w:tcPr>
            <w:tcW w:w="1350" w:type="dxa"/>
            <w:tcBorders>
              <w:top w:val="single" w:color="000000" w:sz="4" w:space="0"/>
              <w:left w:val="single" w:color="000000" w:sz="4" w:space="0"/>
              <w:bottom w:val="single" w:color="000000" w:sz="4" w:space="0"/>
              <w:right w:val="single" w:color="000000" w:sz="4" w:space="0"/>
            </w:tcBorders>
            <w:vAlign w:val="center"/>
          </w:tcPr>
          <w:p w14:paraId="793D90F5">
            <w:pPr>
              <w:spacing w:line="360" w:lineRule="auto"/>
              <w:rPr>
                <w:rStyle w:val="66"/>
                <w:rFonts w:ascii="宋体" w:hAnsi="宋体"/>
                <w:szCs w:val="21"/>
                <w:highlight w:val="none"/>
              </w:rPr>
            </w:pPr>
          </w:p>
        </w:tc>
        <w:tc>
          <w:tcPr>
            <w:tcW w:w="1350" w:type="dxa"/>
            <w:tcBorders>
              <w:top w:val="single" w:color="000000" w:sz="4" w:space="0"/>
              <w:left w:val="single" w:color="000000" w:sz="4" w:space="0"/>
              <w:bottom w:val="single" w:color="000000" w:sz="4" w:space="0"/>
              <w:right w:val="single" w:color="000000" w:sz="4" w:space="0"/>
            </w:tcBorders>
            <w:vAlign w:val="center"/>
          </w:tcPr>
          <w:p w14:paraId="2A391B00">
            <w:pPr>
              <w:spacing w:line="360" w:lineRule="auto"/>
              <w:rPr>
                <w:rStyle w:val="66"/>
                <w:rFonts w:ascii="宋体" w:hAnsi="宋体"/>
                <w:szCs w:val="21"/>
                <w:highlight w:val="none"/>
              </w:rPr>
            </w:pPr>
          </w:p>
        </w:tc>
        <w:tc>
          <w:tcPr>
            <w:tcW w:w="1350" w:type="dxa"/>
            <w:tcBorders>
              <w:top w:val="single" w:color="000000" w:sz="4" w:space="0"/>
              <w:left w:val="single" w:color="000000" w:sz="4" w:space="0"/>
              <w:bottom w:val="single" w:color="000000" w:sz="4" w:space="0"/>
              <w:right w:val="single" w:color="000000" w:sz="4" w:space="0"/>
            </w:tcBorders>
            <w:vAlign w:val="center"/>
          </w:tcPr>
          <w:p w14:paraId="5D6DF892">
            <w:pPr>
              <w:spacing w:line="360" w:lineRule="auto"/>
              <w:rPr>
                <w:rStyle w:val="66"/>
                <w:rFonts w:ascii="宋体" w:hAnsi="宋体"/>
                <w:szCs w:val="21"/>
                <w:highlight w:val="none"/>
              </w:rPr>
            </w:pPr>
          </w:p>
        </w:tc>
        <w:tc>
          <w:tcPr>
            <w:tcW w:w="1350" w:type="dxa"/>
            <w:tcBorders>
              <w:top w:val="single" w:color="000000" w:sz="4" w:space="0"/>
              <w:left w:val="single" w:color="000000" w:sz="4" w:space="0"/>
              <w:bottom w:val="single" w:color="000000" w:sz="4" w:space="0"/>
              <w:right w:val="single" w:color="000000" w:sz="4" w:space="0"/>
            </w:tcBorders>
            <w:vAlign w:val="center"/>
          </w:tcPr>
          <w:p w14:paraId="772AC800">
            <w:pPr>
              <w:spacing w:line="360" w:lineRule="auto"/>
              <w:rPr>
                <w:rStyle w:val="66"/>
                <w:rFonts w:ascii="宋体" w:hAnsi="宋体"/>
                <w:szCs w:val="21"/>
                <w:highlight w:val="none"/>
              </w:rPr>
            </w:pPr>
          </w:p>
        </w:tc>
        <w:tc>
          <w:tcPr>
            <w:tcW w:w="1350" w:type="dxa"/>
            <w:tcBorders>
              <w:top w:val="single" w:color="000000" w:sz="4" w:space="0"/>
              <w:left w:val="single" w:color="000000" w:sz="4" w:space="0"/>
              <w:bottom w:val="single" w:color="000000" w:sz="4" w:space="0"/>
              <w:right w:val="single" w:color="000000" w:sz="4" w:space="0"/>
            </w:tcBorders>
            <w:vAlign w:val="center"/>
          </w:tcPr>
          <w:p w14:paraId="09574F5E">
            <w:pPr>
              <w:spacing w:line="360" w:lineRule="auto"/>
              <w:rPr>
                <w:rStyle w:val="66"/>
                <w:rFonts w:ascii="宋体" w:hAnsi="宋体"/>
                <w:szCs w:val="21"/>
                <w:highlight w:val="none"/>
              </w:rPr>
            </w:pPr>
          </w:p>
        </w:tc>
        <w:tc>
          <w:tcPr>
            <w:tcW w:w="1342" w:type="dxa"/>
            <w:tcBorders>
              <w:top w:val="single" w:color="000000" w:sz="4" w:space="0"/>
              <w:left w:val="single" w:color="000000" w:sz="4" w:space="0"/>
              <w:bottom w:val="single" w:color="000000" w:sz="4" w:space="0"/>
              <w:right w:val="single" w:color="000000" w:sz="4" w:space="0"/>
            </w:tcBorders>
            <w:vAlign w:val="center"/>
          </w:tcPr>
          <w:p w14:paraId="111B25F1">
            <w:pPr>
              <w:spacing w:line="360" w:lineRule="auto"/>
              <w:rPr>
                <w:rStyle w:val="66"/>
                <w:rFonts w:ascii="宋体" w:hAnsi="宋体"/>
                <w:szCs w:val="21"/>
                <w:highlight w:val="none"/>
              </w:rPr>
            </w:pPr>
          </w:p>
        </w:tc>
      </w:tr>
      <w:tr w14:paraId="27740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 w:hRule="atLeast"/>
          <w:jc w:val="center"/>
        </w:trPr>
        <w:tc>
          <w:tcPr>
            <w:tcW w:w="2676" w:type="dxa"/>
            <w:tcBorders>
              <w:top w:val="single" w:color="000000" w:sz="4" w:space="0"/>
              <w:left w:val="single" w:color="000000" w:sz="4" w:space="0"/>
              <w:bottom w:val="single" w:color="000000" w:sz="4" w:space="0"/>
              <w:right w:val="single" w:color="000000" w:sz="4" w:space="0"/>
            </w:tcBorders>
            <w:vAlign w:val="center"/>
          </w:tcPr>
          <w:p w14:paraId="6F6B8F8C">
            <w:pPr>
              <w:spacing w:line="360" w:lineRule="auto"/>
              <w:rPr>
                <w:rStyle w:val="66"/>
                <w:rFonts w:ascii="宋体" w:hAnsi="宋体"/>
                <w:szCs w:val="21"/>
                <w:highlight w:val="none"/>
              </w:rPr>
            </w:pPr>
            <w:r>
              <w:rPr>
                <w:rStyle w:val="66"/>
                <w:rFonts w:ascii="宋体" w:hAnsi="宋体"/>
                <w:szCs w:val="21"/>
                <w:highlight w:val="none"/>
              </w:rPr>
              <w:t>得分排名次序</w:t>
            </w:r>
          </w:p>
        </w:tc>
        <w:tc>
          <w:tcPr>
            <w:tcW w:w="1328" w:type="dxa"/>
            <w:gridSpan w:val="2"/>
            <w:tcBorders>
              <w:top w:val="single" w:color="000000" w:sz="4" w:space="0"/>
              <w:left w:val="single" w:color="000000" w:sz="4" w:space="0"/>
              <w:bottom w:val="single" w:color="000000" w:sz="4" w:space="0"/>
              <w:right w:val="single" w:color="000000" w:sz="4" w:space="0"/>
            </w:tcBorders>
            <w:vAlign w:val="center"/>
          </w:tcPr>
          <w:p w14:paraId="0BBFEC45">
            <w:pPr>
              <w:spacing w:line="360" w:lineRule="auto"/>
              <w:rPr>
                <w:rStyle w:val="66"/>
                <w:rFonts w:ascii="宋体" w:hAnsi="宋体"/>
                <w:szCs w:val="21"/>
                <w:highlight w:val="none"/>
              </w:rPr>
            </w:pPr>
          </w:p>
        </w:tc>
        <w:tc>
          <w:tcPr>
            <w:tcW w:w="1350" w:type="dxa"/>
            <w:tcBorders>
              <w:top w:val="single" w:color="000000" w:sz="4" w:space="0"/>
              <w:left w:val="single" w:color="000000" w:sz="4" w:space="0"/>
              <w:bottom w:val="single" w:color="000000" w:sz="4" w:space="0"/>
              <w:right w:val="single" w:color="000000" w:sz="4" w:space="0"/>
            </w:tcBorders>
            <w:vAlign w:val="center"/>
          </w:tcPr>
          <w:p w14:paraId="5F5E35D6">
            <w:pPr>
              <w:spacing w:line="360" w:lineRule="auto"/>
              <w:rPr>
                <w:rStyle w:val="66"/>
                <w:rFonts w:ascii="宋体" w:hAnsi="宋体"/>
                <w:szCs w:val="21"/>
                <w:highlight w:val="none"/>
              </w:rPr>
            </w:pPr>
          </w:p>
        </w:tc>
        <w:tc>
          <w:tcPr>
            <w:tcW w:w="1350" w:type="dxa"/>
            <w:tcBorders>
              <w:top w:val="single" w:color="000000" w:sz="4" w:space="0"/>
              <w:left w:val="single" w:color="000000" w:sz="4" w:space="0"/>
              <w:bottom w:val="single" w:color="000000" w:sz="4" w:space="0"/>
              <w:right w:val="single" w:color="000000" w:sz="4" w:space="0"/>
            </w:tcBorders>
            <w:vAlign w:val="center"/>
          </w:tcPr>
          <w:p w14:paraId="6585D0A3">
            <w:pPr>
              <w:spacing w:line="360" w:lineRule="auto"/>
              <w:rPr>
                <w:rStyle w:val="66"/>
                <w:rFonts w:ascii="宋体" w:hAnsi="宋体"/>
                <w:szCs w:val="21"/>
                <w:highlight w:val="none"/>
              </w:rPr>
            </w:pPr>
          </w:p>
        </w:tc>
        <w:tc>
          <w:tcPr>
            <w:tcW w:w="1350" w:type="dxa"/>
            <w:tcBorders>
              <w:top w:val="single" w:color="000000" w:sz="4" w:space="0"/>
              <w:left w:val="single" w:color="000000" w:sz="4" w:space="0"/>
              <w:bottom w:val="single" w:color="000000" w:sz="4" w:space="0"/>
              <w:right w:val="single" w:color="000000" w:sz="4" w:space="0"/>
            </w:tcBorders>
            <w:vAlign w:val="center"/>
          </w:tcPr>
          <w:p w14:paraId="2FE9893F">
            <w:pPr>
              <w:spacing w:line="360" w:lineRule="auto"/>
              <w:rPr>
                <w:rStyle w:val="66"/>
                <w:rFonts w:ascii="宋体" w:hAnsi="宋体"/>
                <w:szCs w:val="21"/>
                <w:highlight w:val="none"/>
              </w:rPr>
            </w:pPr>
          </w:p>
        </w:tc>
        <w:tc>
          <w:tcPr>
            <w:tcW w:w="1350" w:type="dxa"/>
            <w:tcBorders>
              <w:top w:val="single" w:color="000000" w:sz="4" w:space="0"/>
              <w:left w:val="single" w:color="000000" w:sz="4" w:space="0"/>
              <w:bottom w:val="single" w:color="000000" w:sz="4" w:space="0"/>
              <w:right w:val="single" w:color="000000" w:sz="4" w:space="0"/>
            </w:tcBorders>
            <w:vAlign w:val="center"/>
          </w:tcPr>
          <w:p w14:paraId="5EF5E82F">
            <w:pPr>
              <w:spacing w:line="360" w:lineRule="auto"/>
              <w:rPr>
                <w:rStyle w:val="66"/>
                <w:rFonts w:ascii="宋体" w:hAnsi="宋体"/>
                <w:szCs w:val="21"/>
                <w:highlight w:val="none"/>
              </w:rPr>
            </w:pPr>
          </w:p>
        </w:tc>
        <w:tc>
          <w:tcPr>
            <w:tcW w:w="1350" w:type="dxa"/>
            <w:tcBorders>
              <w:top w:val="single" w:color="000000" w:sz="4" w:space="0"/>
              <w:left w:val="single" w:color="000000" w:sz="4" w:space="0"/>
              <w:bottom w:val="single" w:color="000000" w:sz="4" w:space="0"/>
              <w:right w:val="single" w:color="000000" w:sz="4" w:space="0"/>
            </w:tcBorders>
            <w:vAlign w:val="center"/>
          </w:tcPr>
          <w:p w14:paraId="4873C984">
            <w:pPr>
              <w:spacing w:line="360" w:lineRule="auto"/>
              <w:rPr>
                <w:rStyle w:val="66"/>
                <w:rFonts w:ascii="宋体" w:hAnsi="宋体"/>
                <w:szCs w:val="21"/>
                <w:highlight w:val="none"/>
              </w:rPr>
            </w:pPr>
          </w:p>
        </w:tc>
        <w:tc>
          <w:tcPr>
            <w:tcW w:w="1350" w:type="dxa"/>
            <w:tcBorders>
              <w:top w:val="single" w:color="000000" w:sz="4" w:space="0"/>
              <w:left w:val="single" w:color="000000" w:sz="4" w:space="0"/>
              <w:bottom w:val="single" w:color="000000" w:sz="4" w:space="0"/>
              <w:right w:val="single" w:color="000000" w:sz="4" w:space="0"/>
            </w:tcBorders>
            <w:vAlign w:val="center"/>
          </w:tcPr>
          <w:p w14:paraId="73247A43">
            <w:pPr>
              <w:spacing w:line="360" w:lineRule="auto"/>
              <w:rPr>
                <w:rStyle w:val="66"/>
                <w:rFonts w:ascii="宋体" w:hAnsi="宋体"/>
                <w:szCs w:val="21"/>
                <w:highlight w:val="none"/>
              </w:rPr>
            </w:pPr>
          </w:p>
        </w:tc>
        <w:tc>
          <w:tcPr>
            <w:tcW w:w="1342" w:type="dxa"/>
            <w:tcBorders>
              <w:top w:val="single" w:color="000000" w:sz="4" w:space="0"/>
              <w:left w:val="single" w:color="000000" w:sz="4" w:space="0"/>
              <w:bottom w:val="single" w:color="000000" w:sz="4" w:space="0"/>
              <w:right w:val="single" w:color="000000" w:sz="4" w:space="0"/>
            </w:tcBorders>
            <w:vAlign w:val="center"/>
          </w:tcPr>
          <w:p w14:paraId="4DF3AC6B">
            <w:pPr>
              <w:spacing w:line="360" w:lineRule="auto"/>
              <w:rPr>
                <w:rStyle w:val="66"/>
                <w:rFonts w:ascii="宋体" w:hAnsi="宋体"/>
                <w:szCs w:val="21"/>
                <w:highlight w:val="none"/>
              </w:rPr>
            </w:pPr>
          </w:p>
        </w:tc>
      </w:tr>
    </w:tbl>
    <w:p w14:paraId="63F587DE">
      <w:pPr>
        <w:spacing w:line="360" w:lineRule="auto"/>
        <w:rPr>
          <w:rStyle w:val="66"/>
          <w:rFonts w:ascii="宋体" w:hAnsi="宋体"/>
          <w:b/>
          <w:sz w:val="36"/>
          <w:szCs w:val="36"/>
          <w:highlight w:val="none"/>
        </w:rPr>
      </w:pPr>
      <w:r>
        <w:rPr>
          <w:rStyle w:val="66"/>
          <w:rFonts w:ascii="宋体" w:hAnsi="宋体"/>
          <w:szCs w:val="21"/>
          <w:highlight w:val="none"/>
        </w:rPr>
        <w:t>评委签名：</w:t>
      </w:r>
    </w:p>
    <w:p w14:paraId="4B642347">
      <w:pPr>
        <w:spacing w:line="360" w:lineRule="auto"/>
        <w:rPr>
          <w:rStyle w:val="66"/>
          <w:rFonts w:ascii="宋体" w:hAnsi="宋体"/>
          <w:b/>
          <w:bCs/>
          <w:szCs w:val="21"/>
          <w:highlight w:val="none"/>
        </w:rPr>
      </w:pPr>
      <w:r>
        <w:rPr>
          <w:rStyle w:val="66"/>
          <w:rFonts w:ascii="宋体" w:hAnsi="宋体"/>
          <w:szCs w:val="21"/>
          <w:highlight w:val="none"/>
        </w:rPr>
        <w:br w:type="page"/>
      </w:r>
      <w:r>
        <w:rPr>
          <w:rStyle w:val="66"/>
          <w:rFonts w:ascii="宋体" w:hAnsi="宋体"/>
          <w:b/>
          <w:bCs/>
          <w:sz w:val="24"/>
          <w:szCs w:val="21"/>
          <w:highlight w:val="none"/>
        </w:rPr>
        <w:t>附表六</w:t>
      </w:r>
    </w:p>
    <w:p w14:paraId="68147D06">
      <w:pPr>
        <w:spacing w:line="360" w:lineRule="auto"/>
        <w:jc w:val="center"/>
        <w:rPr>
          <w:rStyle w:val="66"/>
          <w:rFonts w:ascii="宋体" w:hAnsi="宋体"/>
          <w:b/>
          <w:sz w:val="36"/>
          <w:szCs w:val="36"/>
          <w:highlight w:val="none"/>
        </w:rPr>
      </w:pPr>
      <w:r>
        <w:rPr>
          <w:rStyle w:val="66"/>
          <w:rFonts w:ascii="宋体" w:hAnsi="宋体"/>
          <w:b/>
          <w:sz w:val="36"/>
          <w:szCs w:val="36"/>
          <w:highlight w:val="none"/>
        </w:rPr>
        <w:t>算术复核表</w:t>
      </w:r>
    </w:p>
    <w:p w14:paraId="0AC2B39C">
      <w:pPr>
        <w:spacing w:line="360" w:lineRule="auto"/>
        <w:rPr>
          <w:rStyle w:val="66"/>
          <w:rFonts w:ascii="宋体" w:hAnsi="宋体"/>
          <w:kern w:val="0"/>
          <w:szCs w:val="21"/>
          <w:highlight w:val="none"/>
        </w:rPr>
      </w:pPr>
      <w:r>
        <w:rPr>
          <w:rStyle w:val="66"/>
          <w:rFonts w:ascii="宋体" w:hAnsi="宋体"/>
          <w:kern w:val="0"/>
          <w:szCs w:val="21"/>
          <w:highlight w:val="none"/>
        </w:rPr>
        <w:t>工程名称：                                           投标人:                                                  单位：元</w:t>
      </w:r>
    </w:p>
    <w:tbl>
      <w:tblPr>
        <w:tblStyle w:val="2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86"/>
        <w:gridCol w:w="2678"/>
        <w:gridCol w:w="1702"/>
        <w:gridCol w:w="1985"/>
        <w:gridCol w:w="1842"/>
        <w:gridCol w:w="1509"/>
        <w:gridCol w:w="3144"/>
      </w:tblGrid>
      <w:tr w14:paraId="1B540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2" w:hRule="atLeast"/>
          <w:jc w:val="center"/>
        </w:trPr>
        <w:tc>
          <w:tcPr>
            <w:tcW w:w="586" w:type="dxa"/>
            <w:tcBorders>
              <w:top w:val="single" w:color="000000" w:sz="4" w:space="0"/>
              <w:left w:val="single" w:color="000000" w:sz="4" w:space="0"/>
              <w:bottom w:val="single" w:color="000000" w:sz="4" w:space="0"/>
              <w:right w:val="single" w:color="000000" w:sz="4" w:space="0"/>
            </w:tcBorders>
            <w:vAlign w:val="center"/>
          </w:tcPr>
          <w:p w14:paraId="2CFE6F8E">
            <w:pPr>
              <w:spacing w:line="360" w:lineRule="auto"/>
              <w:jc w:val="center"/>
              <w:rPr>
                <w:rStyle w:val="66"/>
                <w:rFonts w:ascii="宋体" w:hAnsi="宋体"/>
                <w:kern w:val="0"/>
                <w:szCs w:val="21"/>
                <w:highlight w:val="none"/>
              </w:rPr>
            </w:pPr>
            <w:r>
              <w:rPr>
                <w:rStyle w:val="66"/>
                <w:rFonts w:ascii="宋体" w:hAnsi="宋体"/>
                <w:kern w:val="0"/>
                <w:szCs w:val="21"/>
                <w:highlight w:val="none"/>
              </w:rPr>
              <w:t>编号</w:t>
            </w:r>
          </w:p>
        </w:tc>
        <w:tc>
          <w:tcPr>
            <w:tcW w:w="2678" w:type="dxa"/>
            <w:tcBorders>
              <w:top w:val="single" w:color="000000" w:sz="4" w:space="0"/>
              <w:left w:val="nil"/>
              <w:bottom w:val="single" w:color="000000" w:sz="4" w:space="0"/>
              <w:right w:val="single" w:color="000000" w:sz="4" w:space="0"/>
            </w:tcBorders>
            <w:vAlign w:val="center"/>
          </w:tcPr>
          <w:p w14:paraId="4ACFEDB7">
            <w:pPr>
              <w:spacing w:line="360" w:lineRule="auto"/>
              <w:jc w:val="center"/>
              <w:rPr>
                <w:rStyle w:val="66"/>
                <w:rFonts w:ascii="宋体" w:hAnsi="宋体"/>
                <w:kern w:val="0"/>
                <w:szCs w:val="21"/>
                <w:highlight w:val="none"/>
              </w:rPr>
            </w:pPr>
            <w:r>
              <w:rPr>
                <w:rStyle w:val="66"/>
                <w:rFonts w:ascii="宋体" w:hAnsi="宋体"/>
                <w:kern w:val="0"/>
                <w:szCs w:val="21"/>
                <w:highlight w:val="none"/>
              </w:rPr>
              <w:t>算术校核项目</w:t>
            </w:r>
          </w:p>
        </w:tc>
        <w:tc>
          <w:tcPr>
            <w:tcW w:w="1702" w:type="dxa"/>
            <w:tcBorders>
              <w:top w:val="single" w:color="000000" w:sz="4" w:space="0"/>
              <w:left w:val="nil"/>
              <w:bottom w:val="single" w:color="000000" w:sz="4" w:space="0"/>
              <w:right w:val="single" w:color="000000" w:sz="4" w:space="0"/>
            </w:tcBorders>
            <w:vAlign w:val="center"/>
          </w:tcPr>
          <w:p w14:paraId="38324CBC">
            <w:pPr>
              <w:spacing w:line="360" w:lineRule="auto"/>
              <w:jc w:val="center"/>
              <w:rPr>
                <w:rStyle w:val="66"/>
                <w:rFonts w:ascii="宋体" w:hAnsi="宋体"/>
                <w:kern w:val="0"/>
                <w:szCs w:val="21"/>
                <w:highlight w:val="none"/>
              </w:rPr>
            </w:pPr>
            <w:r>
              <w:rPr>
                <w:rStyle w:val="66"/>
                <w:rFonts w:ascii="宋体" w:hAnsi="宋体"/>
                <w:kern w:val="0"/>
                <w:szCs w:val="21"/>
                <w:highlight w:val="none"/>
              </w:rPr>
              <w:t>修正前投标</w:t>
            </w:r>
          </w:p>
          <w:p w14:paraId="66EAE35F">
            <w:pPr>
              <w:spacing w:line="360" w:lineRule="auto"/>
              <w:jc w:val="center"/>
              <w:rPr>
                <w:rStyle w:val="66"/>
                <w:rFonts w:ascii="宋体" w:hAnsi="宋体"/>
                <w:kern w:val="0"/>
                <w:szCs w:val="21"/>
                <w:highlight w:val="none"/>
              </w:rPr>
            </w:pPr>
            <w:r>
              <w:rPr>
                <w:rStyle w:val="66"/>
                <w:rFonts w:ascii="宋体" w:hAnsi="宋体"/>
                <w:kern w:val="0"/>
                <w:szCs w:val="21"/>
                <w:highlight w:val="none"/>
              </w:rPr>
              <w:t>报价A</w:t>
            </w:r>
          </w:p>
        </w:tc>
        <w:tc>
          <w:tcPr>
            <w:tcW w:w="1985" w:type="dxa"/>
            <w:tcBorders>
              <w:top w:val="single" w:color="000000" w:sz="4" w:space="0"/>
              <w:left w:val="nil"/>
              <w:bottom w:val="single" w:color="000000" w:sz="4" w:space="0"/>
              <w:right w:val="single" w:color="000000" w:sz="4" w:space="0"/>
            </w:tcBorders>
            <w:vAlign w:val="center"/>
          </w:tcPr>
          <w:p w14:paraId="2F351A64">
            <w:pPr>
              <w:spacing w:line="360" w:lineRule="auto"/>
              <w:jc w:val="center"/>
              <w:rPr>
                <w:rStyle w:val="66"/>
                <w:rFonts w:ascii="宋体" w:hAnsi="宋体"/>
                <w:kern w:val="0"/>
                <w:szCs w:val="21"/>
                <w:highlight w:val="none"/>
              </w:rPr>
            </w:pPr>
            <w:r>
              <w:rPr>
                <w:rStyle w:val="66"/>
                <w:rFonts w:ascii="宋体" w:hAnsi="宋体"/>
                <w:kern w:val="0"/>
                <w:szCs w:val="21"/>
                <w:highlight w:val="none"/>
              </w:rPr>
              <w:t>修正后投标</w:t>
            </w:r>
          </w:p>
          <w:p w14:paraId="00F810EE">
            <w:pPr>
              <w:spacing w:line="360" w:lineRule="auto"/>
              <w:jc w:val="center"/>
              <w:rPr>
                <w:rStyle w:val="66"/>
                <w:rFonts w:ascii="宋体" w:hAnsi="宋体"/>
                <w:kern w:val="0"/>
                <w:szCs w:val="21"/>
                <w:highlight w:val="none"/>
              </w:rPr>
            </w:pPr>
            <w:r>
              <w:rPr>
                <w:rStyle w:val="66"/>
                <w:rFonts w:ascii="宋体" w:hAnsi="宋体"/>
                <w:kern w:val="0"/>
                <w:szCs w:val="21"/>
                <w:highlight w:val="none"/>
              </w:rPr>
              <w:t>报价B</w:t>
            </w:r>
          </w:p>
        </w:tc>
        <w:tc>
          <w:tcPr>
            <w:tcW w:w="1842" w:type="dxa"/>
            <w:tcBorders>
              <w:top w:val="single" w:color="000000" w:sz="4" w:space="0"/>
              <w:left w:val="nil"/>
              <w:bottom w:val="single" w:color="000000" w:sz="4" w:space="0"/>
              <w:right w:val="single" w:color="000000" w:sz="4" w:space="0"/>
            </w:tcBorders>
            <w:vAlign w:val="center"/>
          </w:tcPr>
          <w:p w14:paraId="7DDEA511">
            <w:pPr>
              <w:spacing w:line="360" w:lineRule="auto"/>
              <w:jc w:val="center"/>
              <w:rPr>
                <w:rStyle w:val="66"/>
                <w:rFonts w:ascii="宋体" w:hAnsi="宋体"/>
                <w:kern w:val="0"/>
                <w:szCs w:val="21"/>
                <w:highlight w:val="none"/>
              </w:rPr>
            </w:pPr>
            <w:r>
              <w:rPr>
                <w:rStyle w:val="66"/>
                <w:rFonts w:ascii="宋体" w:hAnsi="宋体"/>
                <w:kern w:val="0"/>
                <w:szCs w:val="21"/>
                <w:highlight w:val="none"/>
              </w:rPr>
              <w:t>修正率</w:t>
            </w:r>
            <w:r>
              <w:rPr>
                <w:rStyle w:val="66"/>
                <w:rFonts w:ascii="宋体" w:hAnsi="宋体"/>
                <w:kern w:val="0"/>
                <w:szCs w:val="21"/>
                <w:highlight w:val="none"/>
              </w:rPr>
              <w:br w:type="textWrapping" w:clear="all"/>
            </w:r>
            <w:r>
              <w:rPr>
                <w:rStyle w:val="66"/>
                <w:rFonts w:ascii="宋体" w:hAnsi="宋体"/>
                <w:kern w:val="0"/>
                <w:szCs w:val="21"/>
                <w:highlight w:val="none"/>
              </w:rPr>
              <w:t>r=|A-B|/A*100%</w:t>
            </w:r>
          </w:p>
        </w:tc>
        <w:tc>
          <w:tcPr>
            <w:tcW w:w="1509" w:type="dxa"/>
            <w:tcBorders>
              <w:top w:val="single" w:color="000000" w:sz="4" w:space="0"/>
              <w:left w:val="nil"/>
              <w:bottom w:val="single" w:color="000000" w:sz="4" w:space="0"/>
              <w:right w:val="single" w:color="000000" w:sz="4" w:space="0"/>
            </w:tcBorders>
            <w:vAlign w:val="center"/>
          </w:tcPr>
          <w:p w14:paraId="133AE45E">
            <w:pPr>
              <w:spacing w:line="360" w:lineRule="auto"/>
              <w:jc w:val="center"/>
              <w:rPr>
                <w:rStyle w:val="66"/>
                <w:rFonts w:ascii="宋体" w:hAnsi="宋体"/>
                <w:kern w:val="0"/>
                <w:szCs w:val="21"/>
                <w:highlight w:val="none"/>
              </w:rPr>
            </w:pPr>
            <w:r>
              <w:rPr>
                <w:rStyle w:val="66"/>
                <w:rFonts w:ascii="宋体" w:hAnsi="宋体"/>
                <w:kern w:val="0"/>
                <w:szCs w:val="21"/>
                <w:highlight w:val="none"/>
              </w:rPr>
              <w:t>经评审的最终投标报价</w:t>
            </w:r>
          </w:p>
        </w:tc>
        <w:tc>
          <w:tcPr>
            <w:tcW w:w="3144" w:type="dxa"/>
            <w:tcBorders>
              <w:top w:val="single" w:color="000000" w:sz="4" w:space="0"/>
              <w:left w:val="nil"/>
              <w:bottom w:val="single" w:color="000000" w:sz="4" w:space="0"/>
              <w:right w:val="single" w:color="000000" w:sz="4" w:space="0"/>
            </w:tcBorders>
            <w:vAlign w:val="center"/>
          </w:tcPr>
          <w:p w14:paraId="307937C2">
            <w:pPr>
              <w:spacing w:line="360" w:lineRule="auto"/>
              <w:jc w:val="center"/>
              <w:rPr>
                <w:rStyle w:val="66"/>
                <w:rFonts w:ascii="宋体" w:hAnsi="宋体"/>
                <w:kern w:val="0"/>
                <w:szCs w:val="21"/>
                <w:highlight w:val="none"/>
              </w:rPr>
            </w:pPr>
            <w:r>
              <w:rPr>
                <w:rStyle w:val="66"/>
                <w:rFonts w:ascii="宋体" w:hAnsi="宋体"/>
                <w:kern w:val="0"/>
                <w:szCs w:val="21"/>
                <w:highlight w:val="none"/>
              </w:rPr>
              <w:t>当B&gt;A时，修正后报价与原报价的差额；当B≤A时,R=0</w:t>
            </w:r>
          </w:p>
        </w:tc>
      </w:tr>
      <w:tr w14:paraId="09A7A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 w:hRule="atLeast"/>
          <w:jc w:val="center"/>
        </w:trPr>
        <w:tc>
          <w:tcPr>
            <w:tcW w:w="586" w:type="dxa"/>
            <w:tcBorders>
              <w:top w:val="nil"/>
              <w:left w:val="single" w:color="000000" w:sz="4" w:space="0"/>
              <w:bottom w:val="single" w:color="000000" w:sz="4" w:space="0"/>
              <w:right w:val="single" w:color="000000" w:sz="4" w:space="0"/>
            </w:tcBorders>
            <w:vAlign w:val="center"/>
          </w:tcPr>
          <w:p w14:paraId="519C8A3E">
            <w:pPr>
              <w:spacing w:line="360" w:lineRule="auto"/>
              <w:jc w:val="center"/>
              <w:rPr>
                <w:rStyle w:val="66"/>
                <w:rFonts w:ascii="宋体" w:hAnsi="宋体"/>
                <w:kern w:val="0"/>
                <w:szCs w:val="21"/>
                <w:highlight w:val="none"/>
              </w:rPr>
            </w:pPr>
            <w:r>
              <w:rPr>
                <w:rStyle w:val="66"/>
                <w:rFonts w:ascii="宋体" w:hAnsi="宋体"/>
                <w:kern w:val="0"/>
                <w:szCs w:val="21"/>
                <w:highlight w:val="none"/>
              </w:rPr>
              <w:t>1</w:t>
            </w:r>
          </w:p>
        </w:tc>
        <w:tc>
          <w:tcPr>
            <w:tcW w:w="2678" w:type="dxa"/>
            <w:tcBorders>
              <w:top w:val="nil"/>
              <w:left w:val="nil"/>
              <w:bottom w:val="single" w:color="000000" w:sz="4" w:space="0"/>
              <w:right w:val="single" w:color="000000" w:sz="4" w:space="0"/>
            </w:tcBorders>
            <w:vAlign w:val="center"/>
          </w:tcPr>
          <w:p w14:paraId="10DDD840">
            <w:pPr>
              <w:spacing w:line="360" w:lineRule="auto"/>
              <w:rPr>
                <w:rStyle w:val="66"/>
                <w:rFonts w:ascii="宋体" w:hAnsi="宋体"/>
                <w:kern w:val="0"/>
                <w:szCs w:val="21"/>
                <w:highlight w:val="none"/>
              </w:rPr>
            </w:pPr>
            <w:r>
              <w:rPr>
                <w:rStyle w:val="66"/>
                <w:rFonts w:ascii="宋体" w:hAnsi="宋体"/>
                <w:kern w:val="0"/>
                <w:szCs w:val="21"/>
                <w:highlight w:val="none"/>
              </w:rPr>
              <w:t>[单位工程1]</w:t>
            </w:r>
          </w:p>
        </w:tc>
        <w:tc>
          <w:tcPr>
            <w:tcW w:w="1702" w:type="dxa"/>
            <w:tcBorders>
              <w:top w:val="nil"/>
              <w:left w:val="nil"/>
              <w:bottom w:val="single" w:color="000000" w:sz="4" w:space="0"/>
              <w:right w:val="single" w:color="000000" w:sz="4" w:space="0"/>
            </w:tcBorders>
            <w:vAlign w:val="center"/>
          </w:tcPr>
          <w:p w14:paraId="500416CE">
            <w:pPr>
              <w:spacing w:line="360" w:lineRule="auto"/>
              <w:rPr>
                <w:rStyle w:val="66"/>
                <w:rFonts w:ascii="宋体" w:hAnsi="宋体"/>
                <w:kern w:val="0"/>
                <w:szCs w:val="21"/>
                <w:highlight w:val="none"/>
              </w:rPr>
            </w:pPr>
            <w:r>
              <w:rPr>
                <w:rStyle w:val="66"/>
                <w:rFonts w:ascii="宋体" w:hAnsi="宋体"/>
                <w:kern w:val="0"/>
                <w:szCs w:val="21"/>
                <w:highlight w:val="none"/>
              </w:rPr>
              <w:t>　</w:t>
            </w:r>
          </w:p>
        </w:tc>
        <w:tc>
          <w:tcPr>
            <w:tcW w:w="1985" w:type="dxa"/>
            <w:tcBorders>
              <w:top w:val="nil"/>
              <w:left w:val="nil"/>
              <w:bottom w:val="single" w:color="000000" w:sz="4" w:space="0"/>
              <w:right w:val="single" w:color="000000" w:sz="4" w:space="0"/>
            </w:tcBorders>
            <w:vAlign w:val="center"/>
          </w:tcPr>
          <w:p w14:paraId="611AEC4D">
            <w:pPr>
              <w:spacing w:line="360" w:lineRule="auto"/>
              <w:rPr>
                <w:rStyle w:val="66"/>
                <w:rFonts w:ascii="宋体" w:hAnsi="宋体"/>
                <w:kern w:val="0"/>
                <w:szCs w:val="21"/>
                <w:highlight w:val="none"/>
              </w:rPr>
            </w:pPr>
            <w:r>
              <w:rPr>
                <w:rStyle w:val="66"/>
                <w:rFonts w:ascii="宋体" w:hAnsi="宋体"/>
                <w:kern w:val="0"/>
                <w:szCs w:val="21"/>
                <w:highlight w:val="none"/>
              </w:rPr>
              <w:t>　</w:t>
            </w:r>
          </w:p>
        </w:tc>
        <w:tc>
          <w:tcPr>
            <w:tcW w:w="1842" w:type="dxa"/>
            <w:tcBorders>
              <w:top w:val="nil"/>
              <w:left w:val="nil"/>
              <w:bottom w:val="single" w:color="000000" w:sz="4" w:space="0"/>
              <w:right w:val="single" w:color="000000" w:sz="4" w:space="0"/>
            </w:tcBorders>
            <w:vAlign w:val="center"/>
          </w:tcPr>
          <w:p w14:paraId="6BA2F9EE">
            <w:pPr>
              <w:spacing w:line="360" w:lineRule="auto"/>
              <w:rPr>
                <w:rStyle w:val="66"/>
                <w:rFonts w:ascii="宋体" w:hAnsi="宋体"/>
                <w:kern w:val="0"/>
                <w:szCs w:val="21"/>
                <w:highlight w:val="none"/>
              </w:rPr>
            </w:pPr>
            <w:r>
              <w:rPr>
                <w:rStyle w:val="66"/>
                <w:rFonts w:ascii="宋体" w:hAnsi="宋体"/>
                <w:kern w:val="0"/>
                <w:szCs w:val="21"/>
                <w:highlight w:val="none"/>
              </w:rPr>
              <w:t>　</w:t>
            </w:r>
          </w:p>
        </w:tc>
        <w:tc>
          <w:tcPr>
            <w:tcW w:w="1509" w:type="dxa"/>
            <w:tcBorders>
              <w:top w:val="nil"/>
              <w:left w:val="nil"/>
              <w:bottom w:val="single" w:color="000000" w:sz="4" w:space="0"/>
              <w:right w:val="single" w:color="000000" w:sz="4" w:space="0"/>
            </w:tcBorders>
            <w:vAlign w:val="center"/>
          </w:tcPr>
          <w:p w14:paraId="597237D1">
            <w:pPr>
              <w:spacing w:line="360" w:lineRule="auto"/>
              <w:rPr>
                <w:rStyle w:val="66"/>
                <w:rFonts w:ascii="宋体" w:hAnsi="宋体"/>
                <w:kern w:val="0"/>
                <w:szCs w:val="21"/>
                <w:highlight w:val="none"/>
              </w:rPr>
            </w:pPr>
            <w:r>
              <w:rPr>
                <w:rStyle w:val="66"/>
                <w:rFonts w:ascii="宋体" w:hAnsi="宋体"/>
                <w:kern w:val="0"/>
                <w:szCs w:val="21"/>
                <w:highlight w:val="none"/>
              </w:rPr>
              <w:t>　</w:t>
            </w:r>
          </w:p>
        </w:tc>
        <w:tc>
          <w:tcPr>
            <w:tcW w:w="3144" w:type="dxa"/>
            <w:tcBorders>
              <w:top w:val="single" w:color="000000" w:sz="4" w:space="0"/>
              <w:left w:val="nil"/>
              <w:bottom w:val="single" w:color="000000" w:sz="4" w:space="0"/>
              <w:right w:val="single" w:color="000000" w:sz="4" w:space="0"/>
            </w:tcBorders>
            <w:vAlign w:val="center"/>
          </w:tcPr>
          <w:p w14:paraId="16351FA8">
            <w:pPr>
              <w:spacing w:line="360" w:lineRule="auto"/>
              <w:rPr>
                <w:rStyle w:val="66"/>
                <w:rFonts w:ascii="宋体" w:hAnsi="宋体"/>
                <w:kern w:val="0"/>
                <w:szCs w:val="21"/>
                <w:highlight w:val="none"/>
              </w:rPr>
            </w:pPr>
          </w:p>
        </w:tc>
      </w:tr>
      <w:tr w14:paraId="6F370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2" w:hRule="atLeast"/>
          <w:jc w:val="center"/>
        </w:trPr>
        <w:tc>
          <w:tcPr>
            <w:tcW w:w="586" w:type="dxa"/>
            <w:tcBorders>
              <w:top w:val="nil"/>
              <w:left w:val="single" w:color="000000" w:sz="4" w:space="0"/>
              <w:bottom w:val="single" w:color="000000" w:sz="4" w:space="0"/>
              <w:right w:val="single" w:color="000000" w:sz="4" w:space="0"/>
            </w:tcBorders>
            <w:vAlign w:val="center"/>
          </w:tcPr>
          <w:p w14:paraId="5D929EF8">
            <w:pPr>
              <w:spacing w:line="360" w:lineRule="auto"/>
              <w:jc w:val="center"/>
              <w:rPr>
                <w:rStyle w:val="66"/>
                <w:rFonts w:ascii="宋体" w:hAnsi="宋体"/>
                <w:kern w:val="0"/>
                <w:szCs w:val="21"/>
                <w:highlight w:val="none"/>
              </w:rPr>
            </w:pPr>
            <w:r>
              <w:rPr>
                <w:rStyle w:val="66"/>
                <w:rFonts w:ascii="宋体" w:hAnsi="宋体"/>
                <w:kern w:val="0"/>
                <w:szCs w:val="21"/>
                <w:highlight w:val="none"/>
              </w:rPr>
              <w:t>2</w:t>
            </w:r>
          </w:p>
        </w:tc>
        <w:tc>
          <w:tcPr>
            <w:tcW w:w="2678" w:type="dxa"/>
            <w:tcBorders>
              <w:top w:val="nil"/>
              <w:left w:val="nil"/>
              <w:bottom w:val="single" w:color="000000" w:sz="4" w:space="0"/>
              <w:right w:val="single" w:color="000000" w:sz="4" w:space="0"/>
            </w:tcBorders>
            <w:vAlign w:val="center"/>
          </w:tcPr>
          <w:p w14:paraId="78CF2C49">
            <w:pPr>
              <w:spacing w:line="360" w:lineRule="auto"/>
              <w:rPr>
                <w:rStyle w:val="66"/>
                <w:rFonts w:ascii="宋体" w:hAnsi="宋体"/>
                <w:kern w:val="0"/>
                <w:szCs w:val="21"/>
                <w:highlight w:val="none"/>
              </w:rPr>
            </w:pPr>
            <w:r>
              <w:rPr>
                <w:rStyle w:val="66"/>
                <w:rFonts w:ascii="宋体" w:hAnsi="宋体"/>
                <w:kern w:val="0"/>
                <w:szCs w:val="21"/>
                <w:highlight w:val="none"/>
              </w:rPr>
              <w:t>[单位工程2]</w:t>
            </w:r>
          </w:p>
        </w:tc>
        <w:tc>
          <w:tcPr>
            <w:tcW w:w="1702" w:type="dxa"/>
            <w:tcBorders>
              <w:top w:val="nil"/>
              <w:left w:val="nil"/>
              <w:bottom w:val="single" w:color="000000" w:sz="4" w:space="0"/>
              <w:right w:val="single" w:color="000000" w:sz="4" w:space="0"/>
            </w:tcBorders>
            <w:vAlign w:val="center"/>
          </w:tcPr>
          <w:p w14:paraId="077406C9">
            <w:pPr>
              <w:spacing w:line="360" w:lineRule="auto"/>
              <w:rPr>
                <w:rStyle w:val="66"/>
                <w:rFonts w:ascii="宋体" w:hAnsi="宋体"/>
                <w:kern w:val="0"/>
                <w:szCs w:val="21"/>
                <w:highlight w:val="none"/>
              </w:rPr>
            </w:pPr>
            <w:r>
              <w:rPr>
                <w:rStyle w:val="66"/>
                <w:rFonts w:ascii="宋体" w:hAnsi="宋体"/>
                <w:kern w:val="0"/>
                <w:szCs w:val="21"/>
                <w:highlight w:val="none"/>
              </w:rPr>
              <w:t>　</w:t>
            </w:r>
          </w:p>
        </w:tc>
        <w:tc>
          <w:tcPr>
            <w:tcW w:w="1985" w:type="dxa"/>
            <w:tcBorders>
              <w:top w:val="nil"/>
              <w:left w:val="nil"/>
              <w:bottom w:val="single" w:color="000000" w:sz="4" w:space="0"/>
              <w:right w:val="single" w:color="000000" w:sz="4" w:space="0"/>
            </w:tcBorders>
            <w:vAlign w:val="center"/>
          </w:tcPr>
          <w:p w14:paraId="674A0BB0">
            <w:pPr>
              <w:spacing w:line="360" w:lineRule="auto"/>
              <w:rPr>
                <w:rStyle w:val="66"/>
                <w:rFonts w:ascii="宋体" w:hAnsi="宋体"/>
                <w:kern w:val="0"/>
                <w:szCs w:val="21"/>
                <w:highlight w:val="none"/>
              </w:rPr>
            </w:pPr>
            <w:r>
              <w:rPr>
                <w:rStyle w:val="66"/>
                <w:rFonts w:ascii="宋体" w:hAnsi="宋体"/>
                <w:kern w:val="0"/>
                <w:szCs w:val="21"/>
                <w:highlight w:val="none"/>
              </w:rPr>
              <w:t>　</w:t>
            </w:r>
          </w:p>
        </w:tc>
        <w:tc>
          <w:tcPr>
            <w:tcW w:w="1842" w:type="dxa"/>
            <w:tcBorders>
              <w:top w:val="nil"/>
              <w:left w:val="nil"/>
              <w:bottom w:val="single" w:color="000000" w:sz="4" w:space="0"/>
              <w:right w:val="single" w:color="000000" w:sz="4" w:space="0"/>
            </w:tcBorders>
            <w:vAlign w:val="center"/>
          </w:tcPr>
          <w:p w14:paraId="34CBD0C9">
            <w:pPr>
              <w:spacing w:line="360" w:lineRule="auto"/>
              <w:rPr>
                <w:rStyle w:val="66"/>
                <w:rFonts w:ascii="宋体" w:hAnsi="宋体"/>
                <w:kern w:val="0"/>
                <w:szCs w:val="21"/>
                <w:highlight w:val="none"/>
              </w:rPr>
            </w:pPr>
            <w:r>
              <w:rPr>
                <w:rStyle w:val="66"/>
                <w:rFonts w:ascii="宋体" w:hAnsi="宋体"/>
                <w:kern w:val="0"/>
                <w:szCs w:val="21"/>
                <w:highlight w:val="none"/>
              </w:rPr>
              <w:t>　</w:t>
            </w:r>
          </w:p>
        </w:tc>
        <w:tc>
          <w:tcPr>
            <w:tcW w:w="1509" w:type="dxa"/>
            <w:tcBorders>
              <w:top w:val="nil"/>
              <w:left w:val="nil"/>
              <w:bottom w:val="single" w:color="000000" w:sz="4" w:space="0"/>
              <w:right w:val="single" w:color="000000" w:sz="4" w:space="0"/>
            </w:tcBorders>
            <w:vAlign w:val="center"/>
          </w:tcPr>
          <w:p w14:paraId="3009FB2C">
            <w:pPr>
              <w:spacing w:line="360" w:lineRule="auto"/>
              <w:rPr>
                <w:rStyle w:val="66"/>
                <w:rFonts w:ascii="宋体" w:hAnsi="宋体"/>
                <w:kern w:val="0"/>
                <w:szCs w:val="21"/>
                <w:highlight w:val="none"/>
              </w:rPr>
            </w:pPr>
            <w:r>
              <w:rPr>
                <w:rStyle w:val="66"/>
                <w:rFonts w:ascii="宋体" w:hAnsi="宋体"/>
                <w:kern w:val="0"/>
                <w:szCs w:val="21"/>
                <w:highlight w:val="none"/>
              </w:rPr>
              <w:t>　</w:t>
            </w:r>
          </w:p>
        </w:tc>
        <w:tc>
          <w:tcPr>
            <w:tcW w:w="3144" w:type="dxa"/>
            <w:tcBorders>
              <w:top w:val="single" w:color="000000" w:sz="4" w:space="0"/>
              <w:left w:val="nil"/>
              <w:bottom w:val="single" w:color="000000" w:sz="4" w:space="0"/>
              <w:right w:val="single" w:color="000000" w:sz="4" w:space="0"/>
            </w:tcBorders>
            <w:vAlign w:val="center"/>
          </w:tcPr>
          <w:p w14:paraId="5F0F8691">
            <w:pPr>
              <w:spacing w:line="360" w:lineRule="auto"/>
              <w:rPr>
                <w:rStyle w:val="66"/>
                <w:rFonts w:ascii="宋体" w:hAnsi="宋体"/>
                <w:kern w:val="0"/>
                <w:szCs w:val="21"/>
                <w:highlight w:val="none"/>
              </w:rPr>
            </w:pPr>
          </w:p>
        </w:tc>
      </w:tr>
      <w:tr w14:paraId="66964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 w:hRule="atLeast"/>
          <w:jc w:val="center"/>
        </w:trPr>
        <w:tc>
          <w:tcPr>
            <w:tcW w:w="586" w:type="dxa"/>
            <w:tcBorders>
              <w:top w:val="nil"/>
              <w:left w:val="single" w:color="000000" w:sz="4" w:space="0"/>
              <w:bottom w:val="single" w:color="000000" w:sz="4" w:space="0"/>
              <w:right w:val="single" w:color="000000" w:sz="4" w:space="0"/>
            </w:tcBorders>
            <w:vAlign w:val="center"/>
          </w:tcPr>
          <w:p w14:paraId="588CD0C8">
            <w:pPr>
              <w:spacing w:line="360" w:lineRule="auto"/>
              <w:jc w:val="center"/>
              <w:rPr>
                <w:rStyle w:val="66"/>
                <w:rFonts w:ascii="宋体" w:hAnsi="宋体"/>
                <w:kern w:val="0"/>
                <w:szCs w:val="21"/>
                <w:highlight w:val="none"/>
              </w:rPr>
            </w:pPr>
            <w:r>
              <w:rPr>
                <w:rStyle w:val="66"/>
                <w:rFonts w:ascii="宋体" w:hAnsi="宋体"/>
                <w:kern w:val="0"/>
                <w:szCs w:val="21"/>
                <w:highlight w:val="none"/>
              </w:rPr>
              <w:t>…</w:t>
            </w:r>
          </w:p>
        </w:tc>
        <w:tc>
          <w:tcPr>
            <w:tcW w:w="2678" w:type="dxa"/>
            <w:tcBorders>
              <w:top w:val="nil"/>
              <w:left w:val="nil"/>
              <w:bottom w:val="single" w:color="000000" w:sz="4" w:space="0"/>
              <w:right w:val="single" w:color="000000" w:sz="4" w:space="0"/>
            </w:tcBorders>
            <w:vAlign w:val="center"/>
          </w:tcPr>
          <w:p w14:paraId="00F930C2">
            <w:pPr>
              <w:spacing w:line="360" w:lineRule="auto"/>
              <w:rPr>
                <w:rStyle w:val="66"/>
                <w:rFonts w:ascii="宋体" w:hAnsi="宋体"/>
                <w:kern w:val="0"/>
                <w:szCs w:val="21"/>
                <w:highlight w:val="none"/>
              </w:rPr>
            </w:pPr>
            <w:r>
              <w:rPr>
                <w:rStyle w:val="66"/>
                <w:rFonts w:ascii="宋体" w:hAnsi="宋体"/>
                <w:kern w:val="0"/>
                <w:szCs w:val="21"/>
                <w:highlight w:val="none"/>
              </w:rPr>
              <w:t>…</w:t>
            </w:r>
          </w:p>
        </w:tc>
        <w:tc>
          <w:tcPr>
            <w:tcW w:w="1702" w:type="dxa"/>
            <w:tcBorders>
              <w:top w:val="nil"/>
              <w:left w:val="nil"/>
              <w:bottom w:val="single" w:color="000000" w:sz="4" w:space="0"/>
              <w:right w:val="single" w:color="000000" w:sz="4" w:space="0"/>
            </w:tcBorders>
            <w:vAlign w:val="center"/>
          </w:tcPr>
          <w:p w14:paraId="75D1315B">
            <w:pPr>
              <w:spacing w:line="360" w:lineRule="auto"/>
              <w:rPr>
                <w:rStyle w:val="66"/>
                <w:rFonts w:ascii="宋体" w:hAnsi="宋体"/>
                <w:kern w:val="0"/>
                <w:szCs w:val="21"/>
                <w:highlight w:val="none"/>
              </w:rPr>
            </w:pPr>
            <w:r>
              <w:rPr>
                <w:rStyle w:val="66"/>
                <w:rFonts w:ascii="宋体" w:hAnsi="宋体"/>
                <w:kern w:val="0"/>
                <w:szCs w:val="21"/>
                <w:highlight w:val="none"/>
              </w:rPr>
              <w:t>　</w:t>
            </w:r>
          </w:p>
        </w:tc>
        <w:tc>
          <w:tcPr>
            <w:tcW w:w="1985" w:type="dxa"/>
            <w:tcBorders>
              <w:top w:val="nil"/>
              <w:left w:val="nil"/>
              <w:bottom w:val="single" w:color="000000" w:sz="4" w:space="0"/>
              <w:right w:val="single" w:color="000000" w:sz="4" w:space="0"/>
            </w:tcBorders>
            <w:vAlign w:val="center"/>
          </w:tcPr>
          <w:p w14:paraId="6615E8D8">
            <w:pPr>
              <w:spacing w:line="360" w:lineRule="auto"/>
              <w:rPr>
                <w:rStyle w:val="66"/>
                <w:rFonts w:ascii="宋体" w:hAnsi="宋体"/>
                <w:kern w:val="0"/>
                <w:szCs w:val="21"/>
                <w:highlight w:val="none"/>
              </w:rPr>
            </w:pPr>
            <w:r>
              <w:rPr>
                <w:rStyle w:val="66"/>
                <w:rFonts w:ascii="宋体" w:hAnsi="宋体"/>
                <w:kern w:val="0"/>
                <w:szCs w:val="21"/>
                <w:highlight w:val="none"/>
              </w:rPr>
              <w:t>　</w:t>
            </w:r>
          </w:p>
        </w:tc>
        <w:tc>
          <w:tcPr>
            <w:tcW w:w="1842" w:type="dxa"/>
            <w:tcBorders>
              <w:top w:val="nil"/>
              <w:left w:val="nil"/>
              <w:bottom w:val="single" w:color="000000" w:sz="4" w:space="0"/>
              <w:right w:val="single" w:color="000000" w:sz="4" w:space="0"/>
            </w:tcBorders>
            <w:vAlign w:val="center"/>
          </w:tcPr>
          <w:p w14:paraId="1A208379">
            <w:pPr>
              <w:spacing w:line="360" w:lineRule="auto"/>
              <w:rPr>
                <w:rStyle w:val="66"/>
                <w:rFonts w:ascii="宋体" w:hAnsi="宋体"/>
                <w:kern w:val="0"/>
                <w:szCs w:val="21"/>
                <w:highlight w:val="none"/>
              </w:rPr>
            </w:pPr>
            <w:r>
              <w:rPr>
                <w:rStyle w:val="66"/>
                <w:rFonts w:ascii="宋体" w:hAnsi="宋体"/>
                <w:kern w:val="0"/>
                <w:szCs w:val="21"/>
                <w:highlight w:val="none"/>
              </w:rPr>
              <w:t>　</w:t>
            </w:r>
          </w:p>
        </w:tc>
        <w:tc>
          <w:tcPr>
            <w:tcW w:w="1509" w:type="dxa"/>
            <w:tcBorders>
              <w:top w:val="nil"/>
              <w:left w:val="nil"/>
              <w:bottom w:val="single" w:color="000000" w:sz="4" w:space="0"/>
              <w:right w:val="single" w:color="000000" w:sz="4" w:space="0"/>
            </w:tcBorders>
            <w:vAlign w:val="center"/>
          </w:tcPr>
          <w:p w14:paraId="1C9757FB">
            <w:pPr>
              <w:spacing w:line="360" w:lineRule="auto"/>
              <w:rPr>
                <w:rStyle w:val="66"/>
                <w:rFonts w:ascii="宋体" w:hAnsi="宋体"/>
                <w:kern w:val="0"/>
                <w:szCs w:val="21"/>
                <w:highlight w:val="none"/>
              </w:rPr>
            </w:pPr>
            <w:r>
              <w:rPr>
                <w:rStyle w:val="66"/>
                <w:rFonts w:ascii="宋体" w:hAnsi="宋体"/>
                <w:kern w:val="0"/>
                <w:szCs w:val="21"/>
                <w:highlight w:val="none"/>
              </w:rPr>
              <w:t>　</w:t>
            </w:r>
          </w:p>
        </w:tc>
        <w:tc>
          <w:tcPr>
            <w:tcW w:w="3144" w:type="dxa"/>
            <w:tcBorders>
              <w:top w:val="single" w:color="000000" w:sz="4" w:space="0"/>
              <w:left w:val="nil"/>
              <w:bottom w:val="single" w:color="000000" w:sz="4" w:space="0"/>
              <w:right w:val="single" w:color="000000" w:sz="4" w:space="0"/>
            </w:tcBorders>
            <w:vAlign w:val="center"/>
          </w:tcPr>
          <w:p w14:paraId="44D31EEB">
            <w:pPr>
              <w:spacing w:line="360" w:lineRule="auto"/>
              <w:rPr>
                <w:rStyle w:val="66"/>
                <w:rFonts w:ascii="宋体" w:hAnsi="宋体"/>
                <w:kern w:val="0"/>
                <w:szCs w:val="21"/>
                <w:highlight w:val="none"/>
              </w:rPr>
            </w:pPr>
          </w:p>
        </w:tc>
      </w:tr>
      <w:tr w14:paraId="5CF13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 w:hRule="atLeast"/>
          <w:jc w:val="center"/>
        </w:trPr>
        <w:tc>
          <w:tcPr>
            <w:tcW w:w="586" w:type="dxa"/>
            <w:tcBorders>
              <w:top w:val="nil"/>
              <w:left w:val="single" w:color="000000" w:sz="4" w:space="0"/>
              <w:bottom w:val="single" w:color="000000" w:sz="4" w:space="0"/>
              <w:right w:val="single" w:color="000000" w:sz="4" w:space="0"/>
            </w:tcBorders>
            <w:vAlign w:val="center"/>
          </w:tcPr>
          <w:p w14:paraId="50E8AA7B">
            <w:pPr>
              <w:spacing w:line="360" w:lineRule="auto"/>
              <w:jc w:val="center"/>
              <w:rPr>
                <w:rStyle w:val="66"/>
                <w:rFonts w:ascii="宋体" w:hAnsi="宋体"/>
                <w:kern w:val="0"/>
                <w:szCs w:val="21"/>
                <w:highlight w:val="none"/>
              </w:rPr>
            </w:pPr>
            <w:r>
              <w:rPr>
                <w:rStyle w:val="66"/>
                <w:rFonts w:ascii="宋体" w:hAnsi="宋体"/>
                <w:kern w:val="0"/>
                <w:szCs w:val="21"/>
                <w:highlight w:val="none"/>
              </w:rPr>
              <w:t>…</w:t>
            </w:r>
          </w:p>
        </w:tc>
        <w:tc>
          <w:tcPr>
            <w:tcW w:w="2678" w:type="dxa"/>
            <w:tcBorders>
              <w:top w:val="nil"/>
              <w:left w:val="nil"/>
              <w:bottom w:val="single" w:color="000000" w:sz="4" w:space="0"/>
              <w:right w:val="single" w:color="000000" w:sz="4" w:space="0"/>
            </w:tcBorders>
            <w:vAlign w:val="center"/>
          </w:tcPr>
          <w:p w14:paraId="4B3C6D2C">
            <w:pPr>
              <w:spacing w:line="360" w:lineRule="auto"/>
              <w:rPr>
                <w:rStyle w:val="66"/>
                <w:rFonts w:ascii="宋体" w:hAnsi="宋体"/>
                <w:kern w:val="0"/>
                <w:szCs w:val="21"/>
                <w:highlight w:val="none"/>
              </w:rPr>
            </w:pPr>
            <w:r>
              <w:rPr>
                <w:rStyle w:val="66"/>
                <w:rFonts w:ascii="宋体" w:hAnsi="宋体"/>
                <w:kern w:val="0"/>
                <w:szCs w:val="21"/>
                <w:highlight w:val="none"/>
              </w:rPr>
              <w:t>…</w:t>
            </w:r>
          </w:p>
        </w:tc>
        <w:tc>
          <w:tcPr>
            <w:tcW w:w="1702" w:type="dxa"/>
            <w:tcBorders>
              <w:top w:val="nil"/>
              <w:left w:val="nil"/>
              <w:bottom w:val="single" w:color="000000" w:sz="4" w:space="0"/>
              <w:right w:val="single" w:color="000000" w:sz="4" w:space="0"/>
            </w:tcBorders>
            <w:vAlign w:val="center"/>
          </w:tcPr>
          <w:p w14:paraId="00E6B9F5">
            <w:pPr>
              <w:spacing w:line="360" w:lineRule="auto"/>
              <w:rPr>
                <w:rStyle w:val="66"/>
                <w:rFonts w:ascii="宋体" w:hAnsi="宋体"/>
                <w:kern w:val="0"/>
                <w:szCs w:val="21"/>
                <w:highlight w:val="none"/>
              </w:rPr>
            </w:pPr>
            <w:r>
              <w:rPr>
                <w:rStyle w:val="66"/>
                <w:rFonts w:ascii="宋体" w:hAnsi="宋体"/>
                <w:kern w:val="0"/>
                <w:szCs w:val="21"/>
                <w:highlight w:val="none"/>
              </w:rPr>
              <w:t>　</w:t>
            </w:r>
          </w:p>
        </w:tc>
        <w:tc>
          <w:tcPr>
            <w:tcW w:w="1985" w:type="dxa"/>
            <w:tcBorders>
              <w:top w:val="nil"/>
              <w:left w:val="nil"/>
              <w:bottom w:val="single" w:color="000000" w:sz="4" w:space="0"/>
              <w:right w:val="single" w:color="000000" w:sz="4" w:space="0"/>
            </w:tcBorders>
            <w:vAlign w:val="center"/>
          </w:tcPr>
          <w:p w14:paraId="63483ED2">
            <w:pPr>
              <w:spacing w:line="360" w:lineRule="auto"/>
              <w:rPr>
                <w:rStyle w:val="66"/>
                <w:rFonts w:ascii="宋体" w:hAnsi="宋体"/>
                <w:kern w:val="0"/>
                <w:szCs w:val="21"/>
                <w:highlight w:val="none"/>
              </w:rPr>
            </w:pPr>
            <w:r>
              <w:rPr>
                <w:rStyle w:val="66"/>
                <w:rFonts w:ascii="宋体" w:hAnsi="宋体"/>
                <w:kern w:val="0"/>
                <w:szCs w:val="21"/>
                <w:highlight w:val="none"/>
              </w:rPr>
              <w:t>　</w:t>
            </w:r>
          </w:p>
        </w:tc>
        <w:tc>
          <w:tcPr>
            <w:tcW w:w="1842" w:type="dxa"/>
            <w:tcBorders>
              <w:top w:val="nil"/>
              <w:left w:val="nil"/>
              <w:bottom w:val="single" w:color="000000" w:sz="4" w:space="0"/>
              <w:right w:val="single" w:color="000000" w:sz="4" w:space="0"/>
            </w:tcBorders>
            <w:vAlign w:val="center"/>
          </w:tcPr>
          <w:p w14:paraId="01CDAF79">
            <w:pPr>
              <w:spacing w:line="360" w:lineRule="auto"/>
              <w:rPr>
                <w:rStyle w:val="66"/>
                <w:rFonts w:ascii="宋体" w:hAnsi="宋体"/>
                <w:kern w:val="0"/>
                <w:szCs w:val="21"/>
                <w:highlight w:val="none"/>
              </w:rPr>
            </w:pPr>
            <w:r>
              <w:rPr>
                <w:rStyle w:val="66"/>
                <w:rFonts w:ascii="宋体" w:hAnsi="宋体"/>
                <w:kern w:val="0"/>
                <w:szCs w:val="21"/>
                <w:highlight w:val="none"/>
              </w:rPr>
              <w:t>　</w:t>
            </w:r>
          </w:p>
        </w:tc>
        <w:tc>
          <w:tcPr>
            <w:tcW w:w="1509" w:type="dxa"/>
            <w:tcBorders>
              <w:top w:val="nil"/>
              <w:left w:val="nil"/>
              <w:bottom w:val="single" w:color="000000" w:sz="4" w:space="0"/>
              <w:right w:val="single" w:color="000000" w:sz="4" w:space="0"/>
            </w:tcBorders>
            <w:vAlign w:val="center"/>
          </w:tcPr>
          <w:p w14:paraId="509B4D05">
            <w:pPr>
              <w:spacing w:line="360" w:lineRule="auto"/>
              <w:rPr>
                <w:rStyle w:val="66"/>
                <w:rFonts w:ascii="宋体" w:hAnsi="宋体"/>
                <w:kern w:val="0"/>
                <w:szCs w:val="21"/>
                <w:highlight w:val="none"/>
              </w:rPr>
            </w:pPr>
            <w:r>
              <w:rPr>
                <w:rStyle w:val="66"/>
                <w:rFonts w:ascii="宋体" w:hAnsi="宋体"/>
                <w:kern w:val="0"/>
                <w:szCs w:val="21"/>
                <w:highlight w:val="none"/>
              </w:rPr>
              <w:t>　</w:t>
            </w:r>
          </w:p>
        </w:tc>
        <w:tc>
          <w:tcPr>
            <w:tcW w:w="3144" w:type="dxa"/>
            <w:tcBorders>
              <w:top w:val="single" w:color="000000" w:sz="4" w:space="0"/>
              <w:left w:val="nil"/>
              <w:bottom w:val="single" w:color="000000" w:sz="4" w:space="0"/>
              <w:right w:val="single" w:color="000000" w:sz="4" w:space="0"/>
            </w:tcBorders>
            <w:vAlign w:val="center"/>
          </w:tcPr>
          <w:p w14:paraId="3430BA7B">
            <w:pPr>
              <w:spacing w:line="360" w:lineRule="auto"/>
              <w:rPr>
                <w:rStyle w:val="66"/>
                <w:rFonts w:ascii="宋体" w:hAnsi="宋体"/>
                <w:kern w:val="0"/>
                <w:szCs w:val="21"/>
                <w:highlight w:val="none"/>
              </w:rPr>
            </w:pPr>
          </w:p>
        </w:tc>
      </w:tr>
      <w:tr w14:paraId="02B0F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 w:hRule="atLeast"/>
          <w:jc w:val="center"/>
        </w:trPr>
        <w:tc>
          <w:tcPr>
            <w:tcW w:w="586" w:type="dxa"/>
            <w:tcBorders>
              <w:top w:val="nil"/>
              <w:left w:val="single" w:color="000000" w:sz="4" w:space="0"/>
              <w:bottom w:val="single" w:color="000000" w:sz="4" w:space="0"/>
              <w:right w:val="single" w:color="000000" w:sz="4" w:space="0"/>
            </w:tcBorders>
            <w:vAlign w:val="center"/>
          </w:tcPr>
          <w:p w14:paraId="35029DDF">
            <w:pPr>
              <w:spacing w:line="360" w:lineRule="auto"/>
              <w:jc w:val="center"/>
              <w:rPr>
                <w:rStyle w:val="66"/>
                <w:rFonts w:ascii="宋体" w:hAnsi="宋体"/>
                <w:kern w:val="0"/>
                <w:szCs w:val="21"/>
                <w:highlight w:val="none"/>
              </w:rPr>
            </w:pPr>
            <w:r>
              <w:rPr>
                <w:rStyle w:val="66"/>
                <w:rFonts w:ascii="宋体" w:hAnsi="宋体"/>
                <w:kern w:val="0"/>
                <w:szCs w:val="21"/>
                <w:highlight w:val="none"/>
              </w:rPr>
              <w:t>…</w:t>
            </w:r>
          </w:p>
        </w:tc>
        <w:tc>
          <w:tcPr>
            <w:tcW w:w="2678" w:type="dxa"/>
            <w:tcBorders>
              <w:top w:val="nil"/>
              <w:left w:val="nil"/>
              <w:bottom w:val="single" w:color="000000" w:sz="4" w:space="0"/>
              <w:right w:val="single" w:color="000000" w:sz="4" w:space="0"/>
            </w:tcBorders>
            <w:vAlign w:val="center"/>
          </w:tcPr>
          <w:p w14:paraId="34AA83AD">
            <w:pPr>
              <w:spacing w:line="360" w:lineRule="auto"/>
              <w:rPr>
                <w:rStyle w:val="66"/>
                <w:rFonts w:ascii="宋体" w:hAnsi="宋体"/>
                <w:kern w:val="0"/>
                <w:szCs w:val="21"/>
                <w:highlight w:val="none"/>
              </w:rPr>
            </w:pPr>
            <w:r>
              <w:rPr>
                <w:rStyle w:val="66"/>
                <w:rFonts w:ascii="宋体" w:hAnsi="宋体"/>
                <w:kern w:val="0"/>
                <w:szCs w:val="21"/>
                <w:highlight w:val="none"/>
              </w:rPr>
              <w:t>…</w:t>
            </w:r>
          </w:p>
        </w:tc>
        <w:tc>
          <w:tcPr>
            <w:tcW w:w="1702" w:type="dxa"/>
            <w:tcBorders>
              <w:top w:val="nil"/>
              <w:left w:val="nil"/>
              <w:bottom w:val="single" w:color="000000" w:sz="4" w:space="0"/>
              <w:right w:val="single" w:color="000000" w:sz="4" w:space="0"/>
            </w:tcBorders>
            <w:vAlign w:val="center"/>
          </w:tcPr>
          <w:p w14:paraId="310EB2AF">
            <w:pPr>
              <w:spacing w:line="360" w:lineRule="auto"/>
              <w:rPr>
                <w:rStyle w:val="66"/>
                <w:rFonts w:ascii="宋体" w:hAnsi="宋体"/>
                <w:kern w:val="0"/>
                <w:szCs w:val="21"/>
                <w:highlight w:val="none"/>
              </w:rPr>
            </w:pPr>
            <w:r>
              <w:rPr>
                <w:rStyle w:val="66"/>
                <w:rFonts w:ascii="宋体" w:hAnsi="宋体"/>
                <w:kern w:val="0"/>
                <w:szCs w:val="21"/>
                <w:highlight w:val="none"/>
              </w:rPr>
              <w:t>　</w:t>
            </w:r>
          </w:p>
        </w:tc>
        <w:tc>
          <w:tcPr>
            <w:tcW w:w="1985" w:type="dxa"/>
            <w:tcBorders>
              <w:top w:val="nil"/>
              <w:left w:val="nil"/>
              <w:bottom w:val="single" w:color="000000" w:sz="4" w:space="0"/>
              <w:right w:val="single" w:color="000000" w:sz="4" w:space="0"/>
            </w:tcBorders>
            <w:vAlign w:val="center"/>
          </w:tcPr>
          <w:p w14:paraId="7147DD77">
            <w:pPr>
              <w:spacing w:line="360" w:lineRule="auto"/>
              <w:rPr>
                <w:rStyle w:val="66"/>
                <w:rFonts w:ascii="宋体" w:hAnsi="宋体"/>
                <w:kern w:val="0"/>
                <w:szCs w:val="21"/>
                <w:highlight w:val="none"/>
              </w:rPr>
            </w:pPr>
            <w:r>
              <w:rPr>
                <w:rStyle w:val="66"/>
                <w:rFonts w:ascii="宋体" w:hAnsi="宋体"/>
                <w:kern w:val="0"/>
                <w:szCs w:val="21"/>
                <w:highlight w:val="none"/>
              </w:rPr>
              <w:t>　</w:t>
            </w:r>
          </w:p>
        </w:tc>
        <w:tc>
          <w:tcPr>
            <w:tcW w:w="1842" w:type="dxa"/>
            <w:tcBorders>
              <w:top w:val="nil"/>
              <w:left w:val="nil"/>
              <w:bottom w:val="single" w:color="000000" w:sz="4" w:space="0"/>
              <w:right w:val="single" w:color="000000" w:sz="4" w:space="0"/>
            </w:tcBorders>
            <w:vAlign w:val="center"/>
          </w:tcPr>
          <w:p w14:paraId="48241805">
            <w:pPr>
              <w:spacing w:line="360" w:lineRule="auto"/>
              <w:rPr>
                <w:rStyle w:val="66"/>
                <w:rFonts w:ascii="宋体" w:hAnsi="宋体"/>
                <w:kern w:val="0"/>
                <w:szCs w:val="21"/>
                <w:highlight w:val="none"/>
              </w:rPr>
            </w:pPr>
            <w:r>
              <w:rPr>
                <w:rStyle w:val="66"/>
                <w:rFonts w:ascii="宋体" w:hAnsi="宋体"/>
                <w:kern w:val="0"/>
                <w:szCs w:val="21"/>
                <w:highlight w:val="none"/>
              </w:rPr>
              <w:t>　</w:t>
            </w:r>
          </w:p>
        </w:tc>
        <w:tc>
          <w:tcPr>
            <w:tcW w:w="1509" w:type="dxa"/>
            <w:tcBorders>
              <w:top w:val="nil"/>
              <w:left w:val="nil"/>
              <w:bottom w:val="single" w:color="000000" w:sz="4" w:space="0"/>
              <w:right w:val="single" w:color="000000" w:sz="4" w:space="0"/>
            </w:tcBorders>
            <w:vAlign w:val="center"/>
          </w:tcPr>
          <w:p w14:paraId="50B3CB41">
            <w:pPr>
              <w:spacing w:line="360" w:lineRule="auto"/>
              <w:rPr>
                <w:rStyle w:val="66"/>
                <w:rFonts w:ascii="宋体" w:hAnsi="宋体"/>
                <w:kern w:val="0"/>
                <w:szCs w:val="21"/>
                <w:highlight w:val="none"/>
              </w:rPr>
            </w:pPr>
            <w:r>
              <w:rPr>
                <w:rStyle w:val="66"/>
                <w:rFonts w:ascii="宋体" w:hAnsi="宋体"/>
                <w:kern w:val="0"/>
                <w:szCs w:val="21"/>
                <w:highlight w:val="none"/>
              </w:rPr>
              <w:t>　</w:t>
            </w:r>
          </w:p>
        </w:tc>
        <w:tc>
          <w:tcPr>
            <w:tcW w:w="3144" w:type="dxa"/>
            <w:tcBorders>
              <w:top w:val="single" w:color="000000" w:sz="4" w:space="0"/>
              <w:left w:val="nil"/>
              <w:bottom w:val="single" w:color="000000" w:sz="4" w:space="0"/>
              <w:right w:val="single" w:color="000000" w:sz="4" w:space="0"/>
            </w:tcBorders>
            <w:vAlign w:val="center"/>
          </w:tcPr>
          <w:p w14:paraId="36BB1CCA">
            <w:pPr>
              <w:spacing w:line="360" w:lineRule="auto"/>
              <w:rPr>
                <w:rStyle w:val="66"/>
                <w:rFonts w:ascii="宋体" w:hAnsi="宋体"/>
                <w:kern w:val="0"/>
                <w:szCs w:val="21"/>
                <w:highlight w:val="none"/>
              </w:rPr>
            </w:pPr>
          </w:p>
        </w:tc>
      </w:tr>
      <w:tr w14:paraId="299F1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 w:hRule="atLeast"/>
          <w:jc w:val="center"/>
        </w:trPr>
        <w:tc>
          <w:tcPr>
            <w:tcW w:w="586" w:type="dxa"/>
            <w:tcBorders>
              <w:top w:val="nil"/>
              <w:left w:val="single" w:color="000000" w:sz="4" w:space="0"/>
              <w:bottom w:val="single" w:color="000000" w:sz="4" w:space="0"/>
              <w:right w:val="single" w:color="000000" w:sz="4" w:space="0"/>
            </w:tcBorders>
            <w:vAlign w:val="center"/>
          </w:tcPr>
          <w:p w14:paraId="3B405B91">
            <w:pPr>
              <w:spacing w:line="360" w:lineRule="auto"/>
              <w:jc w:val="center"/>
              <w:rPr>
                <w:rStyle w:val="66"/>
                <w:rFonts w:ascii="宋体" w:hAnsi="宋体"/>
                <w:kern w:val="0"/>
                <w:szCs w:val="21"/>
                <w:highlight w:val="none"/>
              </w:rPr>
            </w:pPr>
            <w:r>
              <w:rPr>
                <w:rStyle w:val="66"/>
                <w:rFonts w:ascii="宋体" w:hAnsi="宋体"/>
                <w:kern w:val="0"/>
                <w:szCs w:val="21"/>
                <w:highlight w:val="none"/>
              </w:rPr>
              <w:t>n</w:t>
            </w:r>
          </w:p>
        </w:tc>
        <w:tc>
          <w:tcPr>
            <w:tcW w:w="2678" w:type="dxa"/>
            <w:tcBorders>
              <w:top w:val="nil"/>
              <w:left w:val="nil"/>
              <w:bottom w:val="single" w:color="000000" w:sz="4" w:space="0"/>
              <w:right w:val="single" w:color="000000" w:sz="4" w:space="0"/>
            </w:tcBorders>
            <w:vAlign w:val="center"/>
          </w:tcPr>
          <w:p w14:paraId="67491E18">
            <w:pPr>
              <w:spacing w:line="360" w:lineRule="auto"/>
              <w:rPr>
                <w:rStyle w:val="66"/>
                <w:rFonts w:ascii="宋体" w:hAnsi="宋体"/>
                <w:kern w:val="0"/>
                <w:szCs w:val="21"/>
                <w:highlight w:val="none"/>
              </w:rPr>
            </w:pPr>
            <w:r>
              <w:rPr>
                <w:rStyle w:val="66"/>
                <w:rFonts w:ascii="宋体" w:hAnsi="宋体"/>
                <w:kern w:val="0"/>
                <w:szCs w:val="21"/>
                <w:highlight w:val="none"/>
              </w:rPr>
              <w:t>[单位工程n]</w:t>
            </w:r>
          </w:p>
        </w:tc>
        <w:tc>
          <w:tcPr>
            <w:tcW w:w="1702" w:type="dxa"/>
            <w:tcBorders>
              <w:top w:val="nil"/>
              <w:left w:val="nil"/>
              <w:bottom w:val="single" w:color="000000" w:sz="4" w:space="0"/>
              <w:right w:val="single" w:color="000000" w:sz="4" w:space="0"/>
            </w:tcBorders>
            <w:vAlign w:val="center"/>
          </w:tcPr>
          <w:p w14:paraId="5ECAF0C3">
            <w:pPr>
              <w:spacing w:line="360" w:lineRule="auto"/>
              <w:rPr>
                <w:rStyle w:val="66"/>
                <w:rFonts w:ascii="宋体" w:hAnsi="宋体"/>
                <w:kern w:val="0"/>
                <w:szCs w:val="21"/>
                <w:highlight w:val="none"/>
              </w:rPr>
            </w:pPr>
            <w:r>
              <w:rPr>
                <w:rStyle w:val="66"/>
                <w:rFonts w:ascii="宋体" w:hAnsi="宋体"/>
                <w:kern w:val="0"/>
                <w:szCs w:val="21"/>
                <w:highlight w:val="none"/>
              </w:rPr>
              <w:t>　</w:t>
            </w:r>
          </w:p>
        </w:tc>
        <w:tc>
          <w:tcPr>
            <w:tcW w:w="1985" w:type="dxa"/>
            <w:tcBorders>
              <w:top w:val="nil"/>
              <w:left w:val="nil"/>
              <w:bottom w:val="single" w:color="000000" w:sz="4" w:space="0"/>
              <w:right w:val="single" w:color="000000" w:sz="4" w:space="0"/>
            </w:tcBorders>
            <w:vAlign w:val="center"/>
          </w:tcPr>
          <w:p w14:paraId="0D270D6A">
            <w:pPr>
              <w:spacing w:line="360" w:lineRule="auto"/>
              <w:rPr>
                <w:rStyle w:val="66"/>
                <w:rFonts w:ascii="宋体" w:hAnsi="宋体"/>
                <w:kern w:val="0"/>
                <w:szCs w:val="21"/>
                <w:highlight w:val="none"/>
              </w:rPr>
            </w:pPr>
            <w:r>
              <w:rPr>
                <w:rStyle w:val="66"/>
                <w:rFonts w:ascii="宋体" w:hAnsi="宋体"/>
                <w:kern w:val="0"/>
                <w:szCs w:val="21"/>
                <w:highlight w:val="none"/>
              </w:rPr>
              <w:t>　</w:t>
            </w:r>
          </w:p>
        </w:tc>
        <w:tc>
          <w:tcPr>
            <w:tcW w:w="1842" w:type="dxa"/>
            <w:tcBorders>
              <w:top w:val="nil"/>
              <w:left w:val="nil"/>
              <w:bottom w:val="single" w:color="000000" w:sz="4" w:space="0"/>
              <w:right w:val="single" w:color="000000" w:sz="4" w:space="0"/>
            </w:tcBorders>
            <w:vAlign w:val="center"/>
          </w:tcPr>
          <w:p w14:paraId="67719700">
            <w:pPr>
              <w:spacing w:line="360" w:lineRule="auto"/>
              <w:rPr>
                <w:rStyle w:val="66"/>
                <w:rFonts w:ascii="宋体" w:hAnsi="宋体"/>
                <w:kern w:val="0"/>
                <w:szCs w:val="21"/>
                <w:highlight w:val="none"/>
              </w:rPr>
            </w:pPr>
            <w:r>
              <w:rPr>
                <w:rStyle w:val="66"/>
                <w:rFonts w:ascii="宋体" w:hAnsi="宋体"/>
                <w:kern w:val="0"/>
                <w:szCs w:val="21"/>
                <w:highlight w:val="none"/>
              </w:rPr>
              <w:t>　</w:t>
            </w:r>
          </w:p>
        </w:tc>
        <w:tc>
          <w:tcPr>
            <w:tcW w:w="1509" w:type="dxa"/>
            <w:tcBorders>
              <w:top w:val="nil"/>
              <w:left w:val="nil"/>
              <w:bottom w:val="single" w:color="000000" w:sz="4" w:space="0"/>
              <w:right w:val="single" w:color="000000" w:sz="4" w:space="0"/>
            </w:tcBorders>
            <w:vAlign w:val="center"/>
          </w:tcPr>
          <w:p w14:paraId="5CF6CAC0">
            <w:pPr>
              <w:spacing w:line="360" w:lineRule="auto"/>
              <w:rPr>
                <w:rStyle w:val="66"/>
                <w:rFonts w:ascii="宋体" w:hAnsi="宋体"/>
                <w:kern w:val="0"/>
                <w:szCs w:val="21"/>
                <w:highlight w:val="none"/>
              </w:rPr>
            </w:pPr>
            <w:r>
              <w:rPr>
                <w:rStyle w:val="66"/>
                <w:rFonts w:ascii="宋体" w:hAnsi="宋体"/>
                <w:kern w:val="0"/>
                <w:szCs w:val="21"/>
                <w:highlight w:val="none"/>
              </w:rPr>
              <w:t>　</w:t>
            </w:r>
          </w:p>
        </w:tc>
        <w:tc>
          <w:tcPr>
            <w:tcW w:w="3144" w:type="dxa"/>
            <w:tcBorders>
              <w:top w:val="single" w:color="000000" w:sz="4" w:space="0"/>
              <w:left w:val="nil"/>
              <w:bottom w:val="single" w:color="000000" w:sz="4" w:space="0"/>
              <w:right w:val="single" w:color="000000" w:sz="4" w:space="0"/>
            </w:tcBorders>
            <w:vAlign w:val="center"/>
          </w:tcPr>
          <w:p w14:paraId="5BD0170A">
            <w:pPr>
              <w:spacing w:line="360" w:lineRule="auto"/>
              <w:rPr>
                <w:rStyle w:val="66"/>
                <w:rFonts w:ascii="宋体" w:hAnsi="宋体"/>
                <w:kern w:val="0"/>
                <w:szCs w:val="21"/>
                <w:highlight w:val="none"/>
              </w:rPr>
            </w:pPr>
          </w:p>
        </w:tc>
      </w:tr>
      <w:tr w14:paraId="2B3B9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 w:hRule="atLeast"/>
          <w:jc w:val="center"/>
        </w:trPr>
        <w:tc>
          <w:tcPr>
            <w:tcW w:w="586" w:type="dxa"/>
            <w:tcBorders>
              <w:top w:val="nil"/>
              <w:left w:val="single" w:color="000000" w:sz="4" w:space="0"/>
              <w:bottom w:val="single" w:color="000000" w:sz="4" w:space="0"/>
              <w:right w:val="single" w:color="000000" w:sz="4" w:space="0"/>
            </w:tcBorders>
            <w:vAlign w:val="center"/>
          </w:tcPr>
          <w:p w14:paraId="4F9166BC">
            <w:pPr>
              <w:spacing w:line="360" w:lineRule="auto"/>
              <w:jc w:val="center"/>
              <w:rPr>
                <w:rStyle w:val="66"/>
                <w:rFonts w:ascii="宋体" w:hAnsi="宋体"/>
                <w:kern w:val="0"/>
                <w:szCs w:val="21"/>
                <w:highlight w:val="none"/>
              </w:rPr>
            </w:pPr>
            <w:r>
              <w:rPr>
                <w:rStyle w:val="66"/>
                <w:rFonts w:ascii="宋体" w:hAnsi="宋体"/>
                <w:kern w:val="0"/>
                <w:szCs w:val="21"/>
                <w:highlight w:val="none"/>
              </w:rPr>
              <w:t>∑</w:t>
            </w:r>
          </w:p>
        </w:tc>
        <w:tc>
          <w:tcPr>
            <w:tcW w:w="2678" w:type="dxa"/>
            <w:tcBorders>
              <w:top w:val="nil"/>
              <w:left w:val="nil"/>
              <w:bottom w:val="single" w:color="000000" w:sz="4" w:space="0"/>
              <w:right w:val="single" w:color="000000" w:sz="4" w:space="0"/>
            </w:tcBorders>
            <w:vAlign w:val="center"/>
          </w:tcPr>
          <w:p w14:paraId="51C5B3EE">
            <w:pPr>
              <w:spacing w:line="360" w:lineRule="auto"/>
              <w:rPr>
                <w:rStyle w:val="66"/>
                <w:rFonts w:ascii="宋体" w:hAnsi="宋体"/>
                <w:kern w:val="0"/>
                <w:szCs w:val="21"/>
                <w:highlight w:val="none"/>
              </w:rPr>
            </w:pPr>
            <w:r>
              <w:rPr>
                <w:rStyle w:val="66"/>
                <w:rFonts w:ascii="宋体" w:hAnsi="宋体"/>
                <w:kern w:val="0"/>
                <w:szCs w:val="21"/>
                <w:highlight w:val="none"/>
              </w:rPr>
              <w:t>投标总报价</w:t>
            </w:r>
          </w:p>
        </w:tc>
        <w:tc>
          <w:tcPr>
            <w:tcW w:w="1702" w:type="dxa"/>
            <w:tcBorders>
              <w:top w:val="nil"/>
              <w:left w:val="nil"/>
              <w:bottom w:val="single" w:color="000000" w:sz="4" w:space="0"/>
              <w:right w:val="single" w:color="000000" w:sz="4" w:space="0"/>
            </w:tcBorders>
            <w:vAlign w:val="center"/>
          </w:tcPr>
          <w:p w14:paraId="2086DC39">
            <w:pPr>
              <w:spacing w:line="360" w:lineRule="auto"/>
              <w:rPr>
                <w:rStyle w:val="66"/>
                <w:rFonts w:ascii="宋体" w:hAnsi="宋体"/>
                <w:kern w:val="0"/>
                <w:szCs w:val="21"/>
                <w:highlight w:val="none"/>
              </w:rPr>
            </w:pPr>
            <w:r>
              <w:rPr>
                <w:rStyle w:val="66"/>
                <w:rFonts w:ascii="宋体" w:hAnsi="宋体"/>
                <w:kern w:val="0"/>
                <w:szCs w:val="21"/>
                <w:highlight w:val="none"/>
              </w:rPr>
              <w:t>　</w:t>
            </w:r>
          </w:p>
        </w:tc>
        <w:tc>
          <w:tcPr>
            <w:tcW w:w="1985" w:type="dxa"/>
            <w:tcBorders>
              <w:top w:val="nil"/>
              <w:left w:val="nil"/>
              <w:bottom w:val="single" w:color="000000" w:sz="4" w:space="0"/>
              <w:right w:val="single" w:color="000000" w:sz="4" w:space="0"/>
            </w:tcBorders>
            <w:vAlign w:val="center"/>
          </w:tcPr>
          <w:p w14:paraId="507199F9">
            <w:pPr>
              <w:spacing w:line="360" w:lineRule="auto"/>
              <w:rPr>
                <w:rStyle w:val="66"/>
                <w:rFonts w:ascii="宋体" w:hAnsi="宋体"/>
                <w:kern w:val="0"/>
                <w:szCs w:val="21"/>
                <w:highlight w:val="none"/>
              </w:rPr>
            </w:pPr>
            <w:r>
              <w:rPr>
                <w:rStyle w:val="66"/>
                <w:rFonts w:ascii="宋体" w:hAnsi="宋体"/>
                <w:kern w:val="0"/>
                <w:szCs w:val="21"/>
                <w:highlight w:val="none"/>
              </w:rPr>
              <w:t>　</w:t>
            </w:r>
          </w:p>
        </w:tc>
        <w:tc>
          <w:tcPr>
            <w:tcW w:w="1842" w:type="dxa"/>
            <w:tcBorders>
              <w:top w:val="nil"/>
              <w:left w:val="nil"/>
              <w:bottom w:val="single" w:color="000000" w:sz="4" w:space="0"/>
              <w:right w:val="single" w:color="000000" w:sz="4" w:space="0"/>
            </w:tcBorders>
            <w:vAlign w:val="center"/>
          </w:tcPr>
          <w:p w14:paraId="36D8FA17">
            <w:pPr>
              <w:spacing w:line="360" w:lineRule="auto"/>
              <w:rPr>
                <w:rStyle w:val="66"/>
                <w:rFonts w:ascii="宋体" w:hAnsi="宋体"/>
                <w:kern w:val="0"/>
                <w:szCs w:val="21"/>
                <w:highlight w:val="none"/>
              </w:rPr>
            </w:pPr>
            <w:r>
              <w:rPr>
                <w:rStyle w:val="66"/>
                <w:rFonts w:ascii="宋体" w:hAnsi="宋体"/>
                <w:kern w:val="0"/>
                <w:szCs w:val="21"/>
                <w:highlight w:val="none"/>
              </w:rPr>
              <w:t>　</w:t>
            </w:r>
          </w:p>
        </w:tc>
        <w:tc>
          <w:tcPr>
            <w:tcW w:w="1509" w:type="dxa"/>
            <w:tcBorders>
              <w:top w:val="nil"/>
              <w:left w:val="nil"/>
              <w:bottom w:val="single" w:color="000000" w:sz="4" w:space="0"/>
              <w:right w:val="single" w:color="000000" w:sz="4" w:space="0"/>
            </w:tcBorders>
            <w:vAlign w:val="center"/>
          </w:tcPr>
          <w:p w14:paraId="5A40CD20">
            <w:pPr>
              <w:spacing w:line="360" w:lineRule="auto"/>
              <w:rPr>
                <w:rStyle w:val="66"/>
                <w:rFonts w:ascii="宋体" w:hAnsi="宋体"/>
                <w:kern w:val="0"/>
                <w:szCs w:val="21"/>
                <w:highlight w:val="none"/>
              </w:rPr>
            </w:pPr>
            <w:r>
              <w:rPr>
                <w:rStyle w:val="66"/>
                <w:rFonts w:ascii="宋体" w:hAnsi="宋体"/>
                <w:kern w:val="0"/>
                <w:szCs w:val="21"/>
                <w:highlight w:val="none"/>
              </w:rPr>
              <w:t>　</w:t>
            </w:r>
          </w:p>
        </w:tc>
        <w:tc>
          <w:tcPr>
            <w:tcW w:w="3144" w:type="dxa"/>
            <w:tcBorders>
              <w:top w:val="single" w:color="000000" w:sz="4" w:space="0"/>
              <w:left w:val="nil"/>
              <w:bottom w:val="single" w:color="000000" w:sz="4" w:space="0"/>
              <w:right w:val="single" w:color="000000" w:sz="4" w:space="0"/>
            </w:tcBorders>
            <w:vAlign w:val="center"/>
          </w:tcPr>
          <w:p w14:paraId="43A88091">
            <w:pPr>
              <w:spacing w:line="360" w:lineRule="auto"/>
              <w:rPr>
                <w:rStyle w:val="66"/>
                <w:rFonts w:ascii="宋体" w:hAnsi="宋体"/>
                <w:kern w:val="0"/>
                <w:szCs w:val="21"/>
                <w:highlight w:val="none"/>
              </w:rPr>
            </w:pPr>
            <w:r>
              <w:rPr>
                <w:rStyle w:val="66"/>
                <w:rFonts w:ascii="宋体" w:hAnsi="宋体"/>
                <w:kern w:val="0"/>
                <w:szCs w:val="21"/>
                <w:highlight w:val="none"/>
              </w:rPr>
              <w:t>∑A=A</w:t>
            </w:r>
            <w:r>
              <w:rPr>
                <w:rStyle w:val="66"/>
                <w:rFonts w:ascii="宋体" w:hAnsi="宋体"/>
                <w:kern w:val="0"/>
                <w:szCs w:val="21"/>
                <w:highlight w:val="none"/>
                <w:vertAlign w:val="subscript"/>
              </w:rPr>
              <w:t>1</w:t>
            </w:r>
            <w:r>
              <w:rPr>
                <w:rStyle w:val="66"/>
                <w:rFonts w:ascii="宋体" w:hAnsi="宋体"/>
                <w:kern w:val="0"/>
                <w:szCs w:val="21"/>
                <w:highlight w:val="none"/>
              </w:rPr>
              <w:t>+A</w:t>
            </w:r>
            <w:r>
              <w:rPr>
                <w:rStyle w:val="66"/>
                <w:rFonts w:ascii="宋体" w:hAnsi="宋体"/>
                <w:kern w:val="0"/>
                <w:szCs w:val="21"/>
                <w:highlight w:val="none"/>
                <w:vertAlign w:val="subscript"/>
              </w:rPr>
              <w:t>2</w:t>
            </w:r>
            <w:r>
              <w:rPr>
                <w:rStyle w:val="66"/>
                <w:rFonts w:ascii="宋体" w:hAnsi="宋体"/>
                <w:kern w:val="0"/>
                <w:szCs w:val="21"/>
                <w:highlight w:val="none"/>
              </w:rPr>
              <w:t>+…An；∑B=B</w:t>
            </w:r>
            <w:r>
              <w:rPr>
                <w:rStyle w:val="66"/>
                <w:rFonts w:ascii="宋体" w:hAnsi="宋体"/>
                <w:kern w:val="0"/>
                <w:szCs w:val="21"/>
                <w:highlight w:val="none"/>
                <w:vertAlign w:val="subscript"/>
              </w:rPr>
              <w:t>1</w:t>
            </w:r>
            <w:r>
              <w:rPr>
                <w:rStyle w:val="66"/>
                <w:rFonts w:ascii="宋体" w:hAnsi="宋体"/>
                <w:kern w:val="0"/>
                <w:szCs w:val="21"/>
                <w:highlight w:val="none"/>
              </w:rPr>
              <w:t>+B</w:t>
            </w:r>
            <w:r>
              <w:rPr>
                <w:rStyle w:val="66"/>
                <w:rFonts w:ascii="宋体" w:hAnsi="宋体"/>
                <w:kern w:val="0"/>
                <w:szCs w:val="21"/>
                <w:highlight w:val="none"/>
                <w:vertAlign w:val="subscript"/>
              </w:rPr>
              <w:t>2</w:t>
            </w:r>
            <w:r>
              <w:rPr>
                <w:rStyle w:val="66"/>
                <w:rFonts w:ascii="宋体" w:hAnsi="宋体"/>
                <w:kern w:val="0"/>
                <w:szCs w:val="21"/>
                <w:highlight w:val="none"/>
              </w:rPr>
              <w:t>+…Bn</w:t>
            </w:r>
          </w:p>
        </w:tc>
      </w:tr>
    </w:tbl>
    <w:p w14:paraId="5F572298">
      <w:pPr>
        <w:spacing w:line="360" w:lineRule="auto"/>
        <w:rPr>
          <w:rStyle w:val="66"/>
          <w:rFonts w:ascii="宋体" w:hAnsi="宋体"/>
          <w:kern w:val="0"/>
          <w:szCs w:val="21"/>
          <w:highlight w:val="none"/>
        </w:rPr>
      </w:pPr>
      <w:r>
        <w:rPr>
          <w:rStyle w:val="66"/>
          <w:rFonts w:ascii="宋体" w:hAnsi="宋体"/>
          <w:kern w:val="0"/>
          <w:szCs w:val="21"/>
          <w:highlight w:val="none"/>
        </w:rPr>
        <w:t>修正原则：</w:t>
      </w:r>
      <w:r>
        <w:rPr>
          <w:rStyle w:val="66"/>
          <w:rFonts w:ascii="宋体" w:hAnsi="宋体"/>
          <w:szCs w:val="21"/>
          <w:highlight w:val="none"/>
        </w:rPr>
        <w:t>按就低不就高原则，当修正后报价小于原报价，总价按修正后报价；当修正后报价大于原报价，总价按原报价，并在签订合同时载明在结算价中扣除修正报价与原报价的差额。</w:t>
      </w:r>
      <w:r>
        <w:rPr>
          <w:rStyle w:val="66"/>
          <w:rFonts w:ascii="宋体" w:hAnsi="宋体"/>
          <w:kern w:val="0"/>
          <w:szCs w:val="21"/>
          <w:highlight w:val="none"/>
        </w:rPr>
        <w:tab/>
      </w:r>
    </w:p>
    <w:p w14:paraId="46F2E23C">
      <w:pPr>
        <w:spacing w:line="360" w:lineRule="auto"/>
        <w:rPr>
          <w:rStyle w:val="66"/>
          <w:rFonts w:ascii="宋体" w:hAnsi="宋体"/>
          <w:kern w:val="0"/>
          <w:szCs w:val="21"/>
          <w:highlight w:val="none"/>
        </w:rPr>
      </w:pPr>
      <w:r>
        <w:rPr>
          <w:rStyle w:val="66"/>
          <w:rFonts w:ascii="宋体" w:hAnsi="宋体"/>
          <w:kern w:val="0"/>
          <w:szCs w:val="21"/>
          <w:highlight w:val="none"/>
        </w:rPr>
        <w:t>评委签名：</w:t>
      </w:r>
      <w:r>
        <w:rPr>
          <w:rStyle w:val="66"/>
          <w:rFonts w:ascii="宋体" w:hAnsi="宋体"/>
          <w:kern w:val="0"/>
          <w:szCs w:val="21"/>
          <w:highlight w:val="none"/>
        </w:rPr>
        <w:tab/>
      </w:r>
      <w:r>
        <w:rPr>
          <w:rStyle w:val="66"/>
          <w:rFonts w:ascii="宋体" w:hAnsi="宋体"/>
          <w:kern w:val="0"/>
          <w:szCs w:val="21"/>
          <w:highlight w:val="none"/>
        </w:rPr>
        <w:tab/>
      </w:r>
      <w:r>
        <w:rPr>
          <w:rStyle w:val="66"/>
          <w:rFonts w:ascii="宋体" w:hAnsi="宋体"/>
          <w:kern w:val="0"/>
          <w:szCs w:val="21"/>
          <w:highlight w:val="none"/>
        </w:rPr>
        <w:tab/>
      </w:r>
      <w:r>
        <w:rPr>
          <w:rStyle w:val="66"/>
          <w:rFonts w:ascii="宋体" w:hAnsi="宋体"/>
          <w:kern w:val="0"/>
          <w:szCs w:val="21"/>
          <w:highlight w:val="none"/>
        </w:rPr>
        <w:tab/>
      </w:r>
      <w:r>
        <w:rPr>
          <w:rStyle w:val="66"/>
          <w:rFonts w:ascii="宋体" w:hAnsi="宋体"/>
          <w:kern w:val="0"/>
          <w:szCs w:val="21"/>
          <w:highlight w:val="none"/>
        </w:rPr>
        <w:t>日期：</w:t>
      </w:r>
    </w:p>
    <w:p w14:paraId="5036FBEE">
      <w:pPr>
        <w:rPr>
          <w:rStyle w:val="66"/>
          <w:rFonts w:ascii="宋体" w:hAnsi="宋体"/>
          <w:highlight w:val="none"/>
        </w:rPr>
      </w:pPr>
    </w:p>
    <w:p w14:paraId="675E01A2">
      <w:pPr>
        <w:spacing w:line="360" w:lineRule="auto"/>
        <w:jc w:val="left"/>
        <w:rPr>
          <w:rStyle w:val="66"/>
          <w:rFonts w:ascii="宋体" w:hAnsi="宋体"/>
          <w:szCs w:val="21"/>
          <w:highlight w:val="none"/>
        </w:rPr>
      </w:pPr>
      <w:r>
        <w:rPr>
          <w:rStyle w:val="66"/>
          <w:rFonts w:ascii="宋体" w:hAnsi="宋体"/>
          <w:highlight w:val="none"/>
        </w:rPr>
        <w:br w:type="page"/>
      </w:r>
    </w:p>
    <w:p w14:paraId="3EED78AB">
      <w:pPr>
        <w:spacing w:line="360" w:lineRule="auto"/>
        <w:rPr>
          <w:rStyle w:val="66"/>
          <w:rFonts w:ascii="宋体" w:hAnsi="宋体"/>
          <w:szCs w:val="21"/>
          <w:highlight w:val="none"/>
        </w:rPr>
        <w:sectPr>
          <w:pgSz w:w="16838" w:h="11906"/>
          <w:pgMar w:top="1418" w:right="1701" w:bottom="1418" w:left="1701" w:header="851" w:footer="907" w:gutter="0"/>
          <w:cols w:space="720" w:num="1"/>
          <w:titlePg/>
          <w:docGrid w:type="lines" w:linePitch="312" w:charSpace="0"/>
        </w:sectPr>
      </w:pPr>
    </w:p>
    <w:p w14:paraId="7489658F">
      <w:pPr>
        <w:spacing w:line="360" w:lineRule="auto"/>
        <w:jc w:val="left"/>
        <w:rPr>
          <w:rStyle w:val="66"/>
          <w:rFonts w:ascii="宋体" w:hAnsi="宋体"/>
          <w:b/>
          <w:bCs/>
          <w:sz w:val="24"/>
          <w:szCs w:val="21"/>
          <w:highlight w:val="none"/>
        </w:rPr>
      </w:pPr>
      <w:r>
        <w:rPr>
          <w:rStyle w:val="66"/>
          <w:rFonts w:ascii="宋体" w:hAnsi="宋体"/>
          <w:b/>
          <w:bCs/>
          <w:sz w:val="24"/>
          <w:szCs w:val="21"/>
          <w:highlight w:val="none"/>
        </w:rPr>
        <w:t>附表</w:t>
      </w:r>
      <w:r>
        <w:rPr>
          <w:rStyle w:val="66"/>
          <w:rFonts w:hint="eastAsia" w:ascii="宋体" w:hAnsi="宋体"/>
          <w:b/>
          <w:bCs/>
          <w:sz w:val="24"/>
          <w:szCs w:val="21"/>
          <w:highlight w:val="none"/>
        </w:rPr>
        <w:t>七</w:t>
      </w:r>
    </w:p>
    <w:p w14:paraId="7E94F912">
      <w:pPr>
        <w:spacing w:line="360" w:lineRule="auto"/>
        <w:jc w:val="center"/>
        <w:rPr>
          <w:rStyle w:val="66"/>
          <w:rFonts w:ascii="宋体" w:hAnsi="宋体"/>
          <w:b/>
          <w:sz w:val="36"/>
          <w:szCs w:val="36"/>
          <w:highlight w:val="none"/>
        </w:rPr>
      </w:pPr>
      <w:r>
        <w:rPr>
          <w:rStyle w:val="66"/>
          <w:rFonts w:ascii="宋体" w:hAnsi="宋体"/>
          <w:b/>
          <w:sz w:val="36"/>
          <w:szCs w:val="36"/>
          <w:highlight w:val="none"/>
        </w:rPr>
        <w:t>算术复核表</w:t>
      </w:r>
    </w:p>
    <w:p w14:paraId="64DD924B">
      <w:pPr>
        <w:spacing w:line="360" w:lineRule="auto"/>
        <w:rPr>
          <w:rStyle w:val="66"/>
          <w:rFonts w:ascii="宋体" w:hAnsi="宋体"/>
          <w:szCs w:val="21"/>
          <w:highlight w:val="none"/>
        </w:rPr>
      </w:pPr>
      <w:r>
        <w:rPr>
          <w:rStyle w:val="66"/>
          <w:rFonts w:ascii="宋体" w:hAnsi="宋体"/>
          <w:szCs w:val="21"/>
          <w:highlight w:val="none"/>
        </w:rPr>
        <w:t>工程名称：</w:t>
      </w:r>
    </w:p>
    <w:tbl>
      <w:tblPr>
        <w:tblStyle w:val="2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0"/>
        <w:gridCol w:w="4077"/>
        <w:gridCol w:w="2211"/>
        <w:gridCol w:w="2942"/>
        <w:gridCol w:w="3246"/>
      </w:tblGrid>
      <w:tr w14:paraId="2B5D8E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 w:hRule="atLeast"/>
          <w:jc w:val="center"/>
        </w:trPr>
        <w:tc>
          <w:tcPr>
            <w:tcW w:w="970" w:type="dxa"/>
            <w:tcBorders>
              <w:top w:val="single" w:color="000000" w:sz="4" w:space="0"/>
              <w:left w:val="single" w:color="000000" w:sz="4" w:space="0"/>
              <w:bottom w:val="single" w:color="000000" w:sz="4" w:space="0"/>
              <w:right w:val="single" w:color="000000" w:sz="4" w:space="0"/>
            </w:tcBorders>
            <w:vAlign w:val="center"/>
          </w:tcPr>
          <w:p w14:paraId="745F4FD7">
            <w:pPr>
              <w:spacing w:line="360" w:lineRule="auto"/>
              <w:jc w:val="center"/>
              <w:rPr>
                <w:rStyle w:val="66"/>
                <w:rFonts w:ascii="宋体" w:hAnsi="宋体"/>
                <w:b/>
                <w:sz w:val="24"/>
                <w:szCs w:val="24"/>
                <w:highlight w:val="none"/>
              </w:rPr>
            </w:pPr>
            <w:r>
              <w:rPr>
                <w:rStyle w:val="66"/>
                <w:rFonts w:ascii="宋体" w:hAnsi="宋体"/>
                <w:b/>
                <w:sz w:val="24"/>
                <w:szCs w:val="24"/>
                <w:highlight w:val="none"/>
              </w:rPr>
              <w:t>编号</w:t>
            </w:r>
          </w:p>
        </w:tc>
        <w:tc>
          <w:tcPr>
            <w:tcW w:w="4077" w:type="dxa"/>
            <w:tcBorders>
              <w:top w:val="single" w:color="000000" w:sz="4" w:space="0"/>
              <w:left w:val="single" w:color="000000" w:sz="4" w:space="0"/>
              <w:bottom w:val="single" w:color="000000" w:sz="4" w:space="0"/>
              <w:right w:val="single" w:color="000000" w:sz="4" w:space="0"/>
            </w:tcBorders>
            <w:vAlign w:val="center"/>
          </w:tcPr>
          <w:p w14:paraId="5231278F">
            <w:pPr>
              <w:spacing w:line="360" w:lineRule="auto"/>
              <w:jc w:val="center"/>
              <w:rPr>
                <w:rStyle w:val="66"/>
                <w:rFonts w:ascii="宋体" w:hAnsi="宋体"/>
                <w:b/>
                <w:sz w:val="24"/>
                <w:szCs w:val="24"/>
                <w:highlight w:val="none"/>
              </w:rPr>
            </w:pPr>
            <w:r>
              <w:rPr>
                <w:rStyle w:val="66"/>
                <w:rFonts w:ascii="宋体" w:hAnsi="宋体"/>
                <w:b/>
                <w:sz w:val="24"/>
                <w:szCs w:val="24"/>
                <w:highlight w:val="none"/>
              </w:rPr>
              <w:t>投标人名称</w:t>
            </w:r>
          </w:p>
        </w:tc>
        <w:tc>
          <w:tcPr>
            <w:tcW w:w="2211" w:type="dxa"/>
            <w:tcBorders>
              <w:top w:val="single" w:color="000000" w:sz="4" w:space="0"/>
              <w:left w:val="single" w:color="000000" w:sz="4" w:space="0"/>
              <w:bottom w:val="single" w:color="000000" w:sz="4" w:space="0"/>
              <w:right w:val="single" w:color="000000" w:sz="4" w:space="0"/>
            </w:tcBorders>
            <w:vAlign w:val="center"/>
          </w:tcPr>
          <w:p w14:paraId="3775025C">
            <w:pPr>
              <w:spacing w:line="360" w:lineRule="auto"/>
              <w:jc w:val="center"/>
              <w:rPr>
                <w:rStyle w:val="66"/>
                <w:rFonts w:ascii="宋体" w:hAnsi="宋体"/>
                <w:b/>
                <w:sz w:val="24"/>
                <w:szCs w:val="24"/>
                <w:highlight w:val="none"/>
              </w:rPr>
            </w:pPr>
            <w:r>
              <w:rPr>
                <w:rStyle w:val="66"/>
                <w:rFonts w:ascii="宋体" w:hAnsi="宋体"/>
                <w:b/>
                <w:sz w:val="24"/>
                <w:szCs w:val="24"/>
                <w:highlight w:val="none"/>
              </w:rPr>
              <w:t>原投标报价（A）</w:t>
            </w:r>
          </w:p>
        </w:tc>
        <w:tc>
          <w:tcPr>
            <w:tcW w:w="2942" w:type="dxa"/>
            <w:tcBorders>
              <w:top w:val="single" w:color="000000" w:sz="4" w:space="0"/>
              <w:left w:val="single" w:color="000000" w:sz="4" w:space="0"/>
              <w:bottom w:val="single" w:color="000000" w:sz="4" w:space="0"/>
              <w:right w:val="single" w:color="000000" w:sz="4" w:space="0"/>
            </w:tcBorders>
            <w:vAlign w:val="center"/>
          </w:tcPr>
          <w:p w14:paraId="0DA0A900">
            <w:pPr>
              <w:spacing w:line="360" w:lineRule="auto"/>
              <w:jc w:val="center"/>
              <w:rPr>
                <w:rStyle w:val="66"/>
                <w:rFonts w:ascii="宋体" w:hAnsi="宋体"/>
                <w:b/>
                <w:sz w:val="24"/>
                <w:szCs w:val="24"/>
                <w:highlight w:val="none"/>
              </w:rPr>
            </w:pPr>
            <w:r>
              <w:rPr>
                <w:rStyle w:val="66"/>
                <w:rFonts w:ascii="宋体" w:hAnsi="宋体"/>
                <w:b/>
                <w:sz w:val="24"/>
                <w:szCs w:val="24"/>
                <w:highlight w:val="none"/>
              </w:rPr>
              <w:t>算数复核后投标报价（B）</w:t>
            </w:r>
          </w:p>
        </w:tc>
        <w:tc>
          <w:tcPr>
            <w:tcW w:w="3246" w:type="dxa"/>
            <w:tcBorders>
              <w:top w:val="single" w:color="000000" w:sz="4" w:space="0"/>
              <w:left w:val="single" w:color="000000" w:sz="4" w:space="0"/>
              <w:bottom w:val="single" w:color="000000" w:sz="4" w:space="0"/>
              <w:right w:val="single" w:color="000000" w:sz="4" w:space="0"/>
            </w:tcBorders>
            <w:vAlign w:val="center"/>
          </w:tcPr>
          <w:p w14:paraId="0B8E34B6">
            <w:pPr>
              <w:spacing w:line="360" w:lineRule="auto"/>
              <w:jc w:val="center"/>
              <w:rPr>
                <w:rStyle w:val="66"/>
                <w:rFonts w:ascii="宋体" w:hAnsi="宋体"/>
                <w:b/>
                <w:sz w:val="24"/>
                <w:szCs w:val="24"/>
                <w:highlight w:val="none"/>
              </w:rPr>
            </w:pPr>
            <w:r>
              <w:rPr>
                <w:rStyle w:val="66"/>
                <w:rFonts w:ascii="宋体" w:hAnsi="宋体"/>
                <w:b/>
                <w:sz w:val="24"/>
                <w:szCs w:val="24"/>
                <w:highlight w:val="none"/>
              </w:rPr>
              <w:t>误差率（r=|A-B|/A*100%）</w:t>
            </w:r>
          </w:p>
        </w:tc>
      </w:tr>
      <w:tr w14:paraId="07DE7A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 w:hRule="atLeast"/>
          <w:jc w:val="center"/>
        </w:trPr>
        <w:tc>
          <w:tcPr>
            <w:tcW w:w="970" w:type="dxa"/>
            <w:tcBorders>
              <w:top w:val="single" w:color="000000" w:sz="4" w:space="0"/>
              <w:left w:val="single" w:color="000000" w:sz="4" w:space="0"/>
              <w:bottom w:val="single" w:color="000000" w:sz="4" w:space="0"/>
              <w:right w:val="single" w:color="000000" w:sz="4" w:space="0"/>
            </w:tcBorders>
          </w:tcPr>
          <w:p w14:paraId="65CA4676">
            <w:pPr>
              <w:spacing w:line="360" w:lineRule="auto"/>
              <w:jc w:val="center"/>
              <w:rPr>
                <w:rStyle w:val="66"/>
                <w:rFonts w:ascii="宋体" w:hAnsi="宋体"/>
                <w:sz w:val="24"/>
                <w:szCs w:val="24"/>
                <w:highlight w:val="none"/>
              </w:rPr>
            </w:pPr>
          </w:p>
        </w:tc>
        <w:tc>
          <w:tcPr>
            <w:tcW w:w="4077" w:type="dxa"/>
            <w:tcBorders>
              <w:top w:val="single" w:color="000000" w:sz="4" w:space="0"/>
              <w:left w:val="single" w:color="000000" w:sz="4" w:space="0"/>
              <w:bottom w:val="single" w:color="000000" w:sz="4" w:space="0"/>
              <w:right w:val="single" w:color="000000" w:sz="4" w:space="0"/>
            </w:tcBorders>
          </w:tcPr>
          <w:p w14:paraId="7C70C23B">
            <w:pPr>
              <w:spacing w:line="360" w:lineRule="auto"/>
              <w:jc w:val="center"/>
              <w:rPr>
                <w:rStyle w:val="66"/>
                <w:rFonts w:ascii="宋体" w:hAnsi="宋体"/>
                <w:sz w:val="24"/>
                <w:szCs w:val="24"/>
                <w:highlight w:val="none"/>
              </w:rPr>
            </w:pPr>
          </w:p>
        </w:tc>
        <w:tc>
          <w:tcPr>
            <w:tcW w:w="2211" w:type="dxa"/>
            <w:tcBorders>
              <w:top w:val="single" w:color="000000" w:sz="4" w:space="0"/>
              <w:left w:val="single" w:color="000000" w:sz="4" w:space="0"/>
              <w:bottom w:val="single" w:color="000000" w:sz="4" w:space="0"/>
              <w:right w:val="single" w:color="000000" w:sz="4" w:space="0"/>
            </w:tcBorders>
          </w:tcPr>
          <w:p w14:paraId="35686466">
            <w:pPr>
              <w:spacing w:line="360" w:lineRule="auto"/>
              <w:jc w:val="center"/>
              <w:rPr>
                <w:rStyle w:val="66"/>
                <w:rFonts w:ascii="宋体" w:hAnsi="宋体"/>
                <w:sz w:val="24"/>
                <w:szCs w:val="24"/>
                <w:highlight w:val="none"/>
              </w:rPr>
            </w:pPr>
          </w:p>
        </w:tc>
        <w:tc>
          <w:tcPr>
            <w:tcW w:w="2942" w:type="dxa"/>
            <w:tcBorders>
              <w:top w:val="single" w:color="000000" w:sz="4" w:space="0"/>
              <w:left w:val="single" w:color="000000" w:sz="4" w:space="0"/>
              <w:bottom w:val="single" w:color="000000" w:sz="4" w:space="0"/>
              <w:right w:val="single" w:color="000000" w:sz="4" w:space="0"/>
            </w:tcBorders>
          </w:tcPr>
          <w:p w14:paraId="0875CDBD">
            <w:pPr>
              <w:spacing w:line="360" w:lineRule="auto"/>
              <w:jc w:val="center"/>
              <w:rPr>
                <w:rStyle w:val="66"/>
                <w:rFonts w:ascii="宋体" w:hAnsi="宋体"/>
                <w:sz w:val="24"/>
                <w:szCs w:val="24"/>
                <w:highlight w:val="none"/>
              </w:rPr>
            </w:pPr>
          </w:p>
        </w:tc>
        <w:tc>
          <w:tcPr>
            <w:tcW w:w="3246" w:type="dxa"/>
            <w:tcBorders>
              <w:top w:val="single" w:color="000000" w:sz="4" w:space="0"/>
              <w:left w:val="single" w:color="000000" w:sz="4" w:space="0"/>
              <w:bottom w:val="single" w:color="000000" w:sz="4" w:space="0"/>
              <w:right w:val="single" w:color="000000" w:sz="4" w:space="0"/>
            </w:tcBorders>
          </w:tcPr>
          <w:p w14:paraId="12F406A3">
            <w:pPr>
              <w:spacing w:line="360" w:lineRule="auto"/>
              <w:jc w:val="center"/>
              <w:rPr>
                <w:rStyle w:val="66"/>
                <w:rFonts w:ascii="宋体" w:hAnsi="宋体"/>
                <w:sz w:val="24"/>
                <w:szCs w:val="24"/>
                <w:highlight w:val="none"/>
              </w:rPr>
            </w:pPr>
          </w:p>
        </w:tc>
      </w:tr>
      <w:tr w14:paraId="75F08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70" w:type="dxa"/>
            <w:tcBorders>
              <w:top w:val="single" w:color="000000" w:sz="4" w:space="0"/>
              <w:left w:val="single" w:color="000000" w:sz="4" w:space="0"/>
              <w:bottom w:val="single" w:color="000000" w:sz="4" w:space="0"/>
              <w:right w:val="single" w:color="000000" w:sz="4" w:space="0"/>
            </w:tcBorders>
          </w:tcPr>
          <w:p w14:paraId="49306A8E">
            <w:pPr>
              <w:spacing w:line="360" w:lineRule="auto"/>
              <w:jc w:val="center"/>
              <w:rPr>
                <w:rStyle w:val="66"/>
                <w:rFonts w:ascii="宋体" w:hAnsi="宋体"/>
                <w:sz w:val="24"/>
                <w:szCs w:val="24"/>
                <w:highlight w:val="none"/>
              </w:rPr>
            </w:pPr>
          </w:p>
        </w:tc>
        <w:tc>
          <w:tcPr>
            <w:tcW w:w="4077" w:type="dxa"/>
            <w:tcBorders>
              <w:top w:val="single" w:color="000000" w:sz="4" w:space="0"/>
              <w:left w:val="single" w:color="000000" w:sz="4" w:space="0"/>
              <w:bottom w:val="single" w:color="000000" w:sz="4" w:space="0"/>
              <w:right w:val="single" w:color="000000" w:sz="4" w:space="0"/>
            </w:tcBorders>
          </w:tcPr>
          <w:p w14:paraId="48CC18FA">
            <w:pPr>
              <w:spacing w:line="360" w:lineRule="auto"/>
              <w:jc w:val="center"/>
              <w:rPr>
                <w:rStyle w:val="66"/>
                <w:rFonts w:ascii="宋体" w:hAnsi="宋体"/>
                <w:sz w:val="24"/>
                <w:szCs w:val="24"/>
                <w:highlight w:val="none"/>
              </w:rPr>
            </w:pPr>
          </w:p>
        </w:tc>
        <w:tc>
          <w:tcPr>
            <w:tcW w:w="2211" w:type="dxa"/>
            <w:tcBorders>
              <w:top w:val="single" w:color="000000" w:sz="4" w:space="0"/>
              <w:left w:val="single" w:color="000000" w:sz="4" w:space="0"/>
              <w:bottom w:val="single" w:color="000000" w:sz="4" w:space="0"/>
              <w:right w:val="single" w:color="000000" w:sz="4" w:space="0"/>
            </w:tcBorders>
          </w:tcPr>
          <w:p w14:paraId="5927981B">
            <w:pPr>
              <w:spacing w:line="360" w:lineRule="auto"/>
              <w:jc w:val="center"/>
              <w:rPr>
                <w:rStyle w:val="66"/>
                <w:rFonts w:ascii="宋体" w:hAnsi="宋体"/>
                <w:sz w:val="24"/>
                <w:szCs w:val="24"/>
                <w:highlight w:val="none"/>
              </w:rPr>
            </w:pPr>
          </w:p>
        </w:tc>
        <w:tc>
          <w:tcPr>
            <w:tcW w:w="2942" w:type="dxa"/>
            <w:tcBorders>
              <w:top w:val="single" w:color="000000" w:sz="4" w:space="0"/>
              <w:left w:val="single" w:color="000000" w:sz="4" w:space="0"/>
              <w:bottom w:val="single" w:color="000000" w:sz="4" w:space="0"/>
              <w:right w:val="single" w:color="000000" w:sz="4" w:space="0"/>
            </w:tcBorders>
          </w:tcPr>
          <w:p w14:paraId="2B209757">
            <w:pPr>
              <w:spacing w:line="360" w:lineRule="auto"/>
              <w:jc w:val="center"/>
              <w:rPr>
                <w:rStyle w:val="66"/>
                <w:rFonts w:ascii="宋体" w:hAnsi="宋体"/>
                <w:sz w:val="24"/>
                <w:szCs w:val="24"/>
                <w:highlight w:val="none"/>
              </w:rPr>
            </w:pPr>
          </w:p>
        </w:tc>
        <w:tc>
          <w:tcPr>
            <w:tcW w:w="3246" w:type="dxa"/>
            <w:tcBorders>
              <w:top w:val="single" w:color="000000" w:sz="4" w:space="0"/>
              <w:left w:val="single" w:color="000000" w:sz="4" w:space="0"/>
              <w:bottom w:val="single" w:color="000000" w:sz="4" w:space="0"/>
              <w:right w:val="single" w:color="000000" w:sz="4" w:space="0"/>
            </w:tcBorders>
          </w:tcPr>
          <w:p w14:paraId="03DC8E85">
            <w:pPr>
              <w:spacing w:line="360" w:lineRule="auto"/>
              <w:jc w:val="center"/>
              <w:rPr>
                <w:rStyle w:val="66"/>
                <w:rFonts w:ascii="宋体" w:hAnsi="宋体"/>
                <w:sz w:val="24"/>
                <w:szCs w:val="24"/>
                <w:highlight w:val="none"/>
              </w:rPr>
            </w:pPr>
          </w:p>
        </w:tc>
      </w:tr>
      <w:tr w14:paraId="43A18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70" w:type="dxa"/>
            <w:tcBorders>
              <w:top w:val="single" w:color="000000" w:sz="4" w:space="0"/>
              <w:left w:val="single" w:color="000000" w:sz="4" w:space="0"/>
              <w:bottom w:val="single" w:color="000000" w:sz="4" w:space="0"/>
              <w:right w:val="single" w:color="000000" w:sz="4" w:space="0"/>
            </w:tcBorders>
          </w:tcPr>
          <w:p w14:paraId="449EB167">
            <w:pPr>
              <w:spacing w:line="360" w:lineRule="auto"/>
              <w:jc w:val="center"/>
              <w:rPr>
                <w:rStyle w:val="66"/>
                <w:rFonts w:ascii="宋体" w:hAnsi="宋体"/>
                <w:sz w:val="24"/>
                <w:szCs w:val="24"/>
                <w:highlight w:val="none"/>
              </w:rPr>
            </w:pPr>
          </w:p>
        </w:tc>
        <w:tc>
          <w:tcPr>
            <w:tcW w:w="4077" w:type="dxa"/>
            <w:tcBorders>
              <w:top w:val="single" w:color="000000" w:sz="4" w:space="0"/>
              <w:left w:val="single" w:color="000000" w:sz="4" w:space="0"/>
              <w:bottom w:val="single" w:color="000000" w:sz="4" w:space="0"/>
              <w:right w:val="single" w:color="000000" w:sz="4" w:space="0"/>
            </w:tcBorders>
          </w:tcPr>
          <w:p w14:paraId="069CB6E8">
            <w:pPr>
              <w:spacing w:line="360" w:lineRule="auto"/>
              <w:jc w:val="center"/>
              <w:rPr>
                <w:rStyle w:val="66"/>
                <w:rFonts w:ascii="宋体" w:hAnsi="宋体"/>
                <w:sz w:val="24"/>
                <w:szCs w:val="24"/>
                <w:highlight w:val="none"/>
              </w:rPr>
            </w:pPr>
          </w:p>
        </w:tc>
        <w:tc>
          <w:tcPr>
            <w:tcW w:w="2211" w:type="dxa"/>
            <w:tcBorders>
              <w:top w:val="single" w:color="000000" w:sz="4" w:space="0"/>
              <w:left w:val="single" w:color="000000" w:sz="4" w:space="0"/>
              <w:bottom w:val="single" w:color="000000" w:sz="4" w:space="0"/>
              <w:right w:val="single" w:color="000000" w:sz="4" w:space="0"/>
            </w:tcBorders>
          </w:tcPr>
          <w:p w14:paraId="66A76966">
            <w:pPr>
              <w:spacing w:line="360" w:lineRule="auto"/>
              <w:jc w:val="center"/>
              <w:rPr>
                <w:rStyle w:val="66"/>
                <w:rFonts w:ascii="宋体" w:hAnsi="宋体"/>
                <w:sz w:val="24"/>
                <w:szCs w:val="24"/>
                <w:highlight w:val="none"/>
              </w:rPr>
            </w:pPr>
          </w:p>
        </w:tc>
        <w:tc>
          <w:tcPr>
            <w:tcW w:w="2942" w:type="dxa"/>
            <w:tcBorders>
              <w:top w:val="single" w:color="000000" w:sz="4" w:space="0"/>
              <w:left w:val="single" w:color="000000" w:sz="4" w:space="0"/>
              <w:bottom w:val="single" w:color="000000" w:sz="4" w:space="0"/>
              <w:right w:val="single" w:color="000000" w:sz="4" w:space="0"/>
            </w:tcBorders>
          </w:tcPr>
          <w:p w14:paraId="134E9923">
            <w:pPr>
              <w:spacing w:line="360" w:lineRule="auto"/>
              <w:jc w:val="center"/>
              <w:rPr>
                <w:rStyle w:val="66"/>
                <w:rFonts w:ascii="宋体" w:hAnsi="宋体"/>
                <w:sz w:val="24"/>
                <w:szCs w:val="24"/>
                <w:highlight w:val="none"/>
              </w:rPr>
            </w:pPr>
          </w:p>
        </w:tc>
        <w:tc>
          <w:tcPr>
            <w:tcW w:w="3246" w:type="dxa"/>
            <w:tcBorders>
              <w:top w:val="single" w:color="000000" w:sz="4" w:space="0"/>
              <w:left w:val="single" w:color="000000" w:sz="4" w:space="0"/>
              <w:bottom w:val="single" w:color="000000" w:sz="4" w:space="0"/>
              <w:right w:val="single" w:color="000000" w:sz="4" w:space="0"/>
            </w:tcBorders>
          </w:tcPr>
          <w:p w14:paraId="31574946">
            <w:pPr>
              <w:spacing w:line="360" w:lineRule="auto"/>
              <w:jc w:val="center"/>
              <w:rPr>
                <w:rStyle w:val="66"/>
                <w:rFonts w:ascii="宋体" w:hAnsi="宋体"/>
                <w:sz w:val="24"/>
                <w:szCs w:val="24"/>
                <w:highlight w:val="none"/>
              </w:rPr>
            </w:pPr>
          </w:p>
        </w:tc>
      </w:tr>
      <w:tr w14:paraId="5971BD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70" w:type="dxa"/>
            <w:tcBorders>
              <w:top w:val="single" w:color="000000" w:sz="4" w:space="0"/>
              <w:left w:val="single" w:color="000000" w:sz="4" w:space="0"/>
              <w:bottom w:val="single" w:color="000000" w:sz="4" w:space="0"/>
              <w:right w:val="single" w:color="000000" w:sz="4" w:space="0"/>
            </w:tcBorders>
          </w:tcPr>
          <w:p w14:paraId="42C8C06E">
            <w:pPr>
              <w:spacing w:line="360" w:lineRule="auto"/>
              <w:jc w:val="center"/>
              <w:rPr>
                <w:rStyle w:val="66"/>
                <w:rFonts w:ascii="宋体" w:hAnsi="宋体"/>
                <w:sz w:val="24"/>
                <w:szCs w:val="24"/>
                <w:highlight w:val="none"/>
              </w:rPr>
            </w:pPr>
          </w:p>
        </w:tc>
        <w:tc>
          <w:tcPr>
            <w:tcW w:w="4077" w:type="dxa"/>
            <w:tcBorders>
              <w:top w:val="single" w:color="000000" w:sz="4" w:space="0"/>
              <w:left w:val="single" w:color="000000" w:sz="4" w:space="0"/>
              <w:bottom w:val="single" w:color="000000" w:sz="4" w:space="0"/>
              <w:right w:val="single" w:color="000000" w:sz="4" w:space="0"/>
            </w:tcBorders>
          </w:tcPr>
          <w:p w14:paraId="64D0EB30">
            <w:pPr>
              <w:spacing w:line="360" w:lineRule="auto"/>
              <w:jc w:val="center"/>
              <w:rPr>
                <w:rStyle w:val="66"/>
                <w:rFonts w:ascii="宋体" w:hAnsi="宋体"/>
                <w:sz w:val="24"/>
                <w:szCs w:val="24"/>
                <w:highlight w:val="none"/>
              </w:rPr>
            </w:pPr>
          </w:p>
        </w:tc>
        <w:tc>
          <w:tcPr>
            <w:tcW w:w="2211" w:type="dxa"/>
            <w:tcBorders>
              <w:top w:val="single" w:color="000000" w:sz="4" w:space="0"/>
              <w:left w:val="single" w:color="000000" w:sz="4" w:space="0"/>
              <w:bottom w:val="single" w:color="000000" w:sz="4" w:space="0"/>
              <w:right w:val="single" w:color="000000" w:sz="4" w:space="0"/>
            </w:tcBorders>
          </w:tcPr>
          <w:p w14:paraId="32E365F5">
            <w:pPr>
              <w:spacing w:line="360" w:lineRule="auto"/>
              <w:jc w:val="center"/>
              <w:rPr>
                <w:rStyle w:val="66"/>
                <w:rFonts w:ascii="宋体" w:hAnsi="宋体"/>
                <w:sz w:val="24"/>
                <w:szCs w:val="24"/>
                <w:highlight w:val="none"/>
              </w:rPr>
            </w:pPr>
          </w:p>
        </w:tc>
        <w:tc>
          <w:tcPr>
            <w:tcW w:w="2942" w:type="dxa"/>
            <w:tcBorders>
              <w:top w:val="single" w:color="000000" w:sz="4" w:space="0"/>
              <w:left w:val="single" w:color="000000" w:sz="4" w:space="0"/>
              <w:bottom w:val="single" w:color="000000" w:sz="4" w:space="0"/>
              <w:right w:val="single" w:color="000000" w:sz="4" w:space="0"/>
            </w:tcBorders>
          </w:tcPr>
          <w:p w14:paraId="7C583876">
            <w:pPr>
              <w:spacing w:line="360" w:lineRule="auto"/>
              <w:jc w:val="center"/>
              <w:rPr>
                <w:rStyle w:val="66"/>
                <w:rFonts w:ascii="宋体" w:hAnsi="宋体"/>
                <w:sz w:val="24"/>
                <w:szCs w:val="24"/>
                <w:highlight w:val="none"/>
              </w:rPr>
            </w:pPr>
          </w:p>
        </w:tc>
        <w:tc>
          <w:tcPr>
            <w:tcW w:w="3246" w:type="dxa"/>
            <w:tcBorders>
              <w:top w:val="single" w:color="000000" w:sz="4" w:space="0"/>
              <w:left w:val="single" w:color="000000" w:sz="4" w:space="0"/>
              <w:bottom w:val="single" w:color="000000" w:sz="4" w:space="0"/>
              <w:right w:val="single" w:color="000000" w:sz="4" w:space="0"/>
            </w:tcBorders>
          </w:tcPr>
          <w:p w14:paraId="06CD0CB5">
            <w:pPr>
              <w:spacing w:line="360" w:lineRule="auto"/>
              <w:jc w:val="center"/>
              <w:rPr>
                <w:rStyle w:val="66"/>
                <w:rFonts w:ascii="宋体" w:hAnsi="宋体"/>
                <w:sz w:val="24"/>
                <w:szCs w:val="24"/>
                <w:highlight w:val="none"/>
              </w:rPr>
            </w:pPr>
          </w:p>
        </w:tc>
      </w:tr>
      <w:tr w14:paraId="5A788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70" w:type="dxa"/>
            <w:tcBorders>
              <w:top w:val="single" w:color="000000" w:sz="4" w:space="0"/>
              <w:left w:val="single" w:color="000000" w:sz="4" w:space="0"/>
              <w:bottom w:val="single" w:color="000000" w:sz="4" w:space="0"/>
              <w:right w:val="single" w:color="000000" w:sz="4" w:space="0"/>
            </w:tcBorders>
          </w:tcPr>
          <w:p w14:paraId="28DE88D8">
            <w:pPr>
              <w:spacing w:line="360" w:lineRule="auto"/>
              <w:jc w:val="center"/>
              <w:rPr>
                <w:rStyle w:val="66"/>
                <w:rFonts w:ascii="宋体" w:hAnsi="宋体"/>
                <w:sz w:val="24"/>
                <w:szCs w:val="24"/>
                <w:highlight w:val="none"/>
              </w:rPr>
            </w:pPr>
          </w:p>
        </w:tc>
        <w:tc>
          <w:tcPr>
            <w:tcW w:w="4077" w:type="dxa"/>
            <w:tcBorders>
              <w:top w:val="single" w:color="000000" w:sz="4" w:space="0"/>
              <w:left w:val="single" w:color="000000" w:sz="4" w:space="0"/>
              <w:bottom w:val="single" w:color="000000" w:sz="4" w:space="0"/>
              <w:right w:val="single" w:color="000000" w:sz="4" w:space="0"/>
            </w:tcBorders>
          </w:tcPr>
          <w:p w14:paraId="03653700">
            <w:pPr>
              <w:spacing w:line="360" w:lineRule="auto"/>
              <w:jc w:val="center"/>
              <w:rPr>
                <w:rStyle w:val="66"/>
                <w:rFonts w:ascii="宋体" w:hAnsi="宋体"/>
                <w:sz w:val="24"/>
                <w:szCs w:val="24"/>
                <w:highlight w:val="none"/>
              </w:rPr>
            </w:pPr>
          </w:p>
        </w:tc>
        <w:tc>
          <w:tcPr>
            <w:tcW w:w="2211" w:type="dxa"/>
            <w:tcBorders>
              <w:top w:val="single" w:color="000000" w:sz="4" w:space="0"/>
              <w:left w:val="single" w:color="000000" w:sz="4" w:space="0"/>
              <w:bottom w:val="single" w:color="000000" w:sz="4" w:space="0"/>
              <w:right w:val="single" w:color="000000" w:sz="4" w:space="0"/>
            </w:tcBorders>
          </w:tcPr>
          <w:p w14:paraId="67282314">
            <w:pPr>
              <w:spacing w:line="360" w:lineRule="auto"/>
              <w:jc w:val="center"/>
              <w:rPr>
                <w:rStyle w:val="66"/>
                <w:rFonts w:ascii="宋体" w:hAnsi="宋体"/>
                <w:sz w:val="24"/>
                <w:szCs w:val="24"/>
                <w:highlight w:val="none"/>
              </w:rPr>
            </w:pPr>
          </w:p>
        </w:tc>
        <w:tc>
          <w:tcPr>
            <w:tcW w:w="2942" w:type="dxa"/>
            <w:tcBorders>
              <w:top w:val="single" w:color="000000" w:sz="4" w:space="0"/>
              <w:left w:val="single" w:color="000000" w:sz="4" w:space="0"/>
              <w:bottom w:val="single" w:color="000000" w:sz="4" w:space="0"/>
              <w:right w:val="single" w:color="000000" w:sz="4" w:space="0"/>
            </w:tcBorders>
          </w:tcPr>
          <w:p w14:paraId="7B40A2C1">
            <w:pPr>
              <w:spacing w:line="360" w:lineRule="auto"/>
              <w:jc w:val="center"/>
              <w:rPr>
                <w:rStyle w:val="66"/>
                <w:rFonts w:ascii="宋体" w:hAnsi="宋体"/>
                <w:sz w:val="24"/>
                <w:szCs w:val="24"/>
                <w:highlight w:val="none"/>
              </w:rPr>
            </w:pPr>
          </w:p>
        </w:tc>
        <w:tc>
          <w:tcPr>
            <w:tcW w:w="3246" w:type="dxa"/>
            <w:tcBorders>
              <w:top w:val="single" w:color="000000" w:sz="4" w:space="0"/>
              <w:left w:val="single" w:color="000000" w:sz="4" w:space="0"/>
              <w:bottom w:val="single" w:color="000000" w:sz="4" w:space="0"/>
              <w:right w:val="single" w:color="000000" w:sz="4" w:space="0"/>
            </w:tcBorders>
          </w:tcPr>
          <w:p w14:paraId="4DCDE5C9">
            <w:pPr>
              <w:spacing w:line="360" w:lineRule="auto"/>
              <w:jc w:val="center"/>
              <w:rPr>
                <w:rStyle w:val="66"/>
                <w:rFonts w:ascii="宋体" w:hAnsi="宋体"/>
                <w:sz w:val="24"/>
                <w:szCs w:val="24"/>
                <w:highlight w:val="none"/>
              </w:rPr>
            </w:pPr>
          </w:p>
        </w:tc>
      </w:tr>
      <w:tr w14:paraId="69E158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70" w:type="dxa"/>
            <w:tcBorders>
              <w:top w:val="single" w:color="000000" w:sz="4" w:space="0"/>
              <w:left w:val="single" w:color="000000" w:sz="4" w:space="0"/>
              <w:bottom w:val="single" w:color="000000" w:sz="4" w:space="0"/>
              <w:right w:val="single" w:color="000000" w:sz="4" w:space="0"/>
            </w:tcBorders>
          </w:tcPr>
          <w:p w14:paraId="49CD6852">
            <w:pPr>
              <w:spacing w:line="360" w:lineRule="auto"/>
              <w:jc w:val="center"/>
              <w:rPr>
                <w:rStyle w:val="66"/>
                <w:rFonts w:ascii="宋体" w:hAnsi="宋体"/>
                <w:sz w:val="24"/>
                <w:szCs w:val="24"/>
                <w:highlight w:val="none"/>
              </w:rPr>
            </w:pPr>
          </w:p>
        </w:tc>
        <w:tc>
          <w:tcPr>
            <w:tcW w:w="4077" w:type="dxa"/>
            <w:tcBorders>
              <w:top w:val="single" w:color="000000" w:sz="4" w:space="0"/>
              <w:left w:val="single" w:color="000000" w:sz="4" w:space="0"/>
              <w:bottom w:val="single" w:color="000000" w:sz="4" w:space="0"/>
              <w:right w:val="single" w:color="000000" w:sz="4" w:space="0"/>
            </w:tcBorders>
          </w:tcPr>
          <w:p w14:paraId="0760A0B5">
            <w:pPr>
              <w:spacing w:line="360" w:lineRule="auto"/>
              <w:jc w:val="center"/>
              <w:rPr>
                <w:rStyle w:val="66"/>
                <w:rFonts w:ascii="宋体" w:hAnsi="宋体"/>
                <w:sz w:val="24"/>
                <w:szCs w:val="24"/>
                <w:highlight w:val="none"/>
              </w:rPr>
            </w:pPr>
          </w:p>
        </w:tc>
        <w:tc>
          <w:tcPr>
            <w:tcW w:w="2211" w:type="dxa"/>
            <w:tcBorders>
              <w:top w:val="single" w:color="000000" w:sz="4" w:space="0"/>
              <w:left w:val="single" w:color="000000" w:sz="4" w:space="0"/>
              <w:bottom w:val="single" w:color="000000" w:sz="4" w:space="0"/>
              <w:right w:val="single" w:color="000000" w:sz="4" w:space="0"/>
            </w:tcBorders>
          </w:tcPr>
          <w:p w14:paraId="737A9789">
            <w:pPr>
              <w:spacing w:line="360" w:lineRule="auto"/>
              <w:jc w:val="center"/>
              <w:rPr>
                <w:rStyle w:val="66"/>
                <w:rFonts w:ascii="宋体" w:hAnsi="宋体"/>
                <w:sz w:val="24"/>
                <w:szCs w:val="24"/>
                <w:highlight w:val="none"/>
              </w:rPr>
            </w:pPr>
          </w:p>
        </w:tc>
        <w:tc>
          <w:tcPr>
            <w:tcW w:w="2942" w:type="dxa"/>
            <w:tcBorders>
              <w:top w:val="single" w:color="000000" w:sz="4" w:space="0"/>
              <w:left w:val="single" w:color="000000" w:sz="4" w:space="0"/>
              <w:bottom w:val="single" w:color="000000" w:sz="4" w:space="0"/>
              <w:right w:val="single" w:color="000000" w:sz="4" w:space="0"/>
            </w:tcBorders>
          </w:tcPr>
          <w:p w14:paraId="6A1909CA">
            <w:pPr>
              <w:spacing w:line="360" w:lineRule="auto"/>
              <w:jc w:val="center"/>
              <w:rPr>
                <w:rStyle w:val="66"/>
                <w:rFonts w:ascii="宋体" w:hAnsi="宋体"/>
                <w:sz w:val="24"/>
                <w:szCs w:val="24"/>
                <w:highlight w:val="none"/>
              </w:rPr>
            </w:pPr>
          </w:p>
        </w:tc>
        <w:tc>
          <w:tcPr>
            <w:tcW w:w="3246" w:type="dxa"/>
            <w:tcBorders>
              <w:top w:val="single" w:color="000000" w:sz="4" w:space="0"/>
              <w:left w:val="single" w:color="000000" w:sz="4" w:space="0"/>
              <w:bottom w:val="single" w:color="000000" w:sz="4" w:space="0"/>
              <w:right w:val="single" w:color="000000" w:sz="4" w:space="0"/>
            </w:tcBorders>
          </w:tcPr>
          <w:p w14:paraId="7FDD401E">
            <w:pPr>
              <w:spacing w:line="360" w:lineRule="auto"/>
              <w:jc w:val="center"/>
              <w:rPr>
                <w:rStyle w:val="66"/>
                <w:rFonts w:ascii="宋体" w:hAnsi="宋体"/>
                <w:sz w:val="24"/>
                <w:szCs w:val="24"/>
                <w:highlight w:val="none"/>
              </w:rPr>
            </w:pPr>
          </w:p>
        </w:tc>
      </w:tr>
      <w:tr w14:paraId="5B3AB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70" w:type="dxa"/>
            <w:tcBorders>
              <w:top w:val="single" w:color="000000" w:sz="4" w:space="0"/>
              <w:left w:val="single" w:color="000000" w:sz="4" w:space="0"/>
              <w:bottom w:val="single" w:color="000000" w:sz="4" w:space="0"/>
              <w:right w:val="single" w:color="000000" w:sz="4" w:space="0"/>
            </w:tcBorders>
          </w:tcPr>
          <w:p w14:paraId="1C3FC639">
            <w:pPr>
              <w:spacing w:line="360" w:lineRule="auto"/>
              <w:jc w:val="center"/>
              <w:rPr>
                <w:rStyle w:val="66"/>
                <w:rFonts w:ascii="宋体" w:hAnsi="宋体"/>
                <w:sz w:val="24"/>
                <w:szCs w:val="24"/>
                <w:highlight w:val="none"/>
              </w:rPr>
            </w:pPr>
          </w:p>
        </w:tc>
        <w:tc>
          <w:tcPr>
            <w:tcW w:w="4077" w:type="dxa"/>
            <w:tcBorders>
              <w:top w:val="single" w:color="000000" w:sz="4" w:space="0"/>
              <w:left w:val="single" w:color="000000" w:sz="4" w:space="0"/>
              <w:bottom w:val="single" w:color="000000" w:sz="4" w:space="0"/>
              <w:right w:val="single" w:color="000000" w:sz="4" w:space="0"/>
            </w:tcBorders>
          </w:tcPr>
          <w:p w14:paraId="2F65DD2D">
            <w:pPr>
              <w:spacing w:line="360" w:lineRule="auto"/>
              <w:jc w:val="center"/>
              <w:rPr>
                <w:rStyle w:val="66"/>
                <w:rFonts w:ascii="宋体" w:hAnsi="宋体"/>
                <w:sz w:val="24"/>
                <w:szCs w:val="24"/>
                <w:highlight w:val="none"/>
              </w:rPr>
            </w:pPr>
          </w:p>
        </w:tc>
        <w:tc>
          <w:tcPr>
            <w:tcW w:w="2211" w:type="dxa"/>
            <w:tcBorders>
              <w:top w:val="single" w:color="000000" w:sz="4" w:space="0"/>
              <w:left w:val="single" w:color="000000" w:sz="4" w:space="0"/>
              <w:bottom w:val="single" w:color="000000" w:sz="4" w:space="0"/>
              <w:right w:val="single" w:color="000000" w:sz="4" w:space="0"/>
            </w:tcBorders>
          </w:tcPr>
          <w:p w14:paraId="2FAC5298">
            <w:pPr>
              <w:spacing w:line="360" w:lineRule="auto"/>
              <w:jc w:val="center"/>
              <w:rPr>
                <w:rStyle w:val="66"/>
                <w:rFonts w:ascii="宋体" w:hAnsi="宋体"/>
                <w:sz w:val="24"/>
                <w:szCs w:val="24"/>
                <w:highlight w:val="none"/>
              </w:rPr>
            </w:pPr>
          </w:p>
        </w:tc>
        <w:tc>
          <w:tcPr>
            <w:tcW w:w="2942" w:type="dxa"/>
            <w:tcBorders>
              <w:top w:val="single" w:color="000000" w:sz="4" w:space="0"/>
              <w:left w:val="single" w:color="000000" w:sz="4" w:space="0"/>
              <w:bottom w:val="single" w:color="000000" w:sz="4" w:space="0"/>
              <w:right w:val="single" w:color="000000" w:sz="4" w:space="0"/>
            </w:tcBorders>
          </w:tcPr>
          <w:p w14:paraId="2468A313">
            <w:pPr>
              <w:spacing w:line="360" w:lineRule="auto"/>
              <w:jc w:val="center"/>
              <w:rPr>
                <w:rStyle w:val="66"/>
                <w:rFonts w:ascii="宋体" w:hAnsi="宋体"/>
                <w:sz w:val="24"/>
                <w:szCs w:val="24"/>
                <w:highlight w:val="none"/>
              </w:rPr>
            </w:pPr>
          </w:p>
        </w:tc>
        <w:tc>
          <w:tcPr>
            <w:tcW w:w="3246" w:type="dxa"/>
            <w:tcBorders>
              <w:top w:val="single" w:color="000000" w:sz="4" w:space="0"/>
              <w:left w:val="single" w:color="000000" w:sz="4" w:space="0"/>
              <w:bottom w:val="single" w:color="000000" w:sz="4" w:space="0"/>
              <w:right w:val="single" w:color="000000" w:sz="4" w:space="0"/>
            </w:tcBorders>
          </w:tcPr>
          <w:p w14:paraId="2215272A">
            <w:pPr>
              <w:spacing w:line="360" w:lineRule="auto"/>
              <w:jc w:val="center"/>
              <w:rPr>
                <w:rStyle w:val="66"/>
                <w:rFonts w:ascii="宋体" w:hAnsi="宋体"/>
                <w:sz w:val="24"/>
                <w:szCs w:val="24"/>
                <w:highlight w:val="none"/>
              </w:rPr>
            </w:pPr>
          </w:p>
        </w:tc>
      </w:tr>
      <w:tr w14:paraId="49F6DF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 w:hRule="atLeast"/>
          <w:jc w:val="center"/>
        </w:trPr>
        <w:tc>
          <w:tcPr>
            <w:tcW w:w="970" w:type="dxa"/>
            <w:tcBorders>
              <w:top w:val="single" w:color="000000" w:sz="4" w:space="0"/>
              <w:left w:val="single" w:color="000000" w:sz="4" w:space="0"/>
              <w:bottom w:val="single" w:color="000000" w:sz="4" w:space="0"/>
              <w:right w:val="single" w:color="000000" w:sz="4" w:space="0"/>
            </w:tcBorders>
          </w:tcPr>
          <w:p w14:paraId="2C8207D2">
            <w:pPr>
              <w:spacing w:line="360" w:lineRule="auto"/>
              <w:jc w:val="center"/>
              <w:rPr>
                <w:rStyle w:val="66"/>
                <w:rFonts w:ascii="宋体" w:hAnsi="宋体"/>
                <w:sz w:val="24"/>
                <w:szCs w:val="24"/>
                <w:highlight w:val="none"/>
              </w:rPr>
            </w:pPr>
          </w:p>
        </w:tc>
        <w:tc>
          <w:tcPr>
            <w:tcW w:w="4077" w:type="dxa"/>
            <w:tcBorders>
              <w:top w:val="single" w:color="000000" w:sz="4" w:space="0"/>
              <w:left w:val="single" w:color="000000" w:sz="4" w:space="0"/>
              <w:bottom w:val="single" w:color="000000" w:sz="4" w:space="0"/>
              <w:right w:val="single" w:color="000000" w:sz="4" w:space="0"/>
            </w:tcBorders>
          </w:tcPr>
          <w:p w14:paraId="5DB2B3EA">
            <w:pPr>
              <w:spacing w:line="360" w:lineRule="auto"/>
              <w:jc w:val="center"/>
              <w:rPr>
                <w:rStyle w:val="66"/>
                <w:rFonts w:ascii="宋体" w:hAnsi="宋体"/>
                <w:sz w:val="24"/>
                <w:szCs w:val="24"/>
                <w:highlight w:val="none"/>
              </w:rPr>
            </w:pPr>
          </w:p>
        </w:tc>
        <w:tc>
          <w:tcPr>
            <w:tcW w:w="2211" w:type="dxa"/>
            <w:tcBorders>
              <w:top w:val="single" w:color="000000" w:sz="4" w:space="0"/>
              <w:left w:val="single" w:color="000000" w:sz="4" w:space="0"/>
              <w:bottom w:val="single" w:color="000000" w:sz="4" w:space="0"/>
              <w:right w:val="single" w:color="000000" w:sz="4" w:space="0"/>
            </w:tcBorders>
          </w:tcPr>
          <w:p w14:paraId="5219B240">
            <w:pPr>
              <w:spacing w:line="360" w:lineRule="auto"/>
              <w:jc w:val="center"/>
              <w:rPr>
                <w:rStyle w:val="66"/>
                <w:rFonts w:ascii="宋体" w:hAnsi="宋体"/>
                <w:sz w:val="24"/>
                <w:szCs w:val="24"/>
                <w:highlight w:val="none"/>
              </w:rPr>
            </w:pPr>
          </w:p>
        </w:tc>
        <w:tc>
          <w:tcPr>
            <w:tcW w:w="2942" w:type="dxa"/>
            <w:tcBorders>
              <w:top w:val="single" w:color="000000" w:sz="4" w:space="0"/>
              <w:left w:val="single" w:color="000000" w:sz="4" w:space="0"/>
              <w:bottom w:val="single" w:color="000000" w:sz="4" w:space="0"/>
              <w:right w:val="single" w:color="000000" w:sz="4" w:space="0"/>
            </w:tcBorders>
          </w:tcPr>
          <w:p w14:paraId="377F3840">
            <w:pPr>
              <w:spacing w:line="360" w:lineRule="auto"/>
              <w:jc w:val="center"/>
              <w:rPr>
                <w:rStyle w:val="66"/>
                <w:rFonts w:ascii="宋体" w:hAnsi="宋体"/>
                <w:sz w:val="24"/>
                <w:szCs w:val="24"/>
                <w:highlight w:val="none"/>
              </w:rPr>
            </w:pPr>
          </w:p>
        </w:tc>
        <w:tc>
          <w:tcPr>
            <w:tcW w:w="3246" w:type="dxa"/>
            <w:tcBorders>
              <w:top w:val="single" w:color="000000" w:sz="4" w:space="0"/>
              <w:left w:val="single" w:color="000000" w:sz="4" w:space="0"/>
              <w:bottom w:val="single" w:color="000000" w:sz="4" w:space="0"/>
              <w:right w:val="single" w:color="000000" w:sz="4" w:space="0"/>
            </w:tcBorders>
          </w:tcPr>
          <w:p w14:paraId="0348F1DB">
            <w:pPr>
              <w:spacing w:line="360" w:lineRule="auto"/>
              <w:jc w:val="center"/>
              <w:rPr>
                <w:rStyle w:val="66"/>
                <w:rFonts w:ascii="宋体" w:hAnsi="宋体"/>
                <w:sz w:val="24"/>
                <w:szCs w:val="24"/>
                <w:highlight w:val="none"/>
              </w:rPr>
            </w:pPr>
          </w:p>
        </w:tc>
      </w:tr>
    </w:tbl>
    <w:p w14:paraId="641DBA4A">
      <w:pPr>
        <w:spacing w:line="360" w:lineRule="auto"/>
        <w:rPr>
          <w:rStyle w:val="66"/>
          <w:rFonts w:ascii="宋体" w:hAnsi="宋体"/>
          <w:szCs w:val="21"/>
          <w:highlight w:val="none"/>
        </w:rPr>
      </w:pPr>
      <w:r>
        <w:rPr>
          <w:rStyle w:val="66"/>
          <w:rFonts w:ascii="宋体" w:hAnsi="宋体"/>
          <w:szCs w:val="21"/>
          <w:highlight w:val="none"/>
        </w:rPr>
        <w:t>评委签名：</w:t>
      </w:r>
    </w:p>
    <w:p w14:paraId="4CD03BA7">
      <w:pPr>
        <w:spacing w:line="360" w:lineRule="auto"/>
        <w:rPr>
          <w:rStyle w:val="66"/>
          <w:rFonts w:ascii="宋体" w:hAnsi="宋体"/>
          <w:szCs w:val="21"/>
          <w:highlight w:val="none"/>
        </w:rPr>
        <w:sectPr>
          <w:pgSz w:w="16838" w:h="11906"/>
          <w:pgMar w:top="1418" w:right="1701" w:bottom="1418" w:left="1247" w:header="851" w:footer="907" w:gutter="0"/>
          <w:cols w:space="720" w:num="1"/>
          <w:titlePg/>
          <w:docGrid w:type="lines" w:linePitch="312" w:charSpace="0"/>
        </w:sectPr>
      </w:pPr>
    </w:p>
    <w:p w14:paraId="3470207D">
      <w:pPr>
        <w:pStyle w:val="116"/>
        <w:outlineLvl w:val="0"/>
        <w:rPr>
          <w:rStyle w:val="66"/>
          <w:rFonts w:ascii="宋体" w:hAnsi="宋体"/>
          <w:bCs/>
          <w:highlight w:val="none"/>
        </w:rPr>
      </w:pPr>
      <w:bookmarkStart w:id="26" w:name="_Toc105014636"/>
      <w:r>
        <w:rPr>
          <w:rStyle w:val="66"/>
          <w:rFonts w:ascii="宋体" w:hAnsi="宋体"/>
          <w:bCs/>
          <w:highlight w:val="none"/>
        </w:rPr>
        <w:t>第三章  合同条款</w:t>
      </w:r>
      <w:bookmarkEnd w:id="26"/>
    </w:p>
    <w:p w14:paraId="690A679A">
      <w:pPr>
        <w:rPr>
          <w:rStyle w:val="66"/>
          <w:rFonts w:ascii="宋体" w:hAnsi="宋体"/>
          <w:sz w:val="24"/>
          <w:szCs w:val="24"/>
          <w:highlight w:val="none"/>
        </w:rPr>
      </w:pPr>
      <w:r>
        <w:rPr>
          <w:rStyle w:val="66"/>
          <w:rFonts w:ascii="宋体" w:hAnsi="宋体"/>
          <w:sz w:val="24"/>
          <w:szCs w:val="24"/>
          <w:highlight w:val="none"/>
        </w:rPr>
        <w:t>另册。</w:t>
      </w:r>
    </w:p>
    <w:p w14:paraId="4DBE7B06">
      <w:pPr>
        <w:pStyle w:val="97"/>
        <w:spacing w:line="360" w:lineRule="auto"/>
        <w:ind w:firstLine="0"/>
        <w:rPr>
          <w:rStyle w:val="66"/>
          <w:rFonts w:ascii="宋体" w:hAnsi="宋体"/>
          <w:sz w:val="24"/>
          <w:szCs w:val="24"/>
          <w:highlight w:val="none"/>
        </w:rPr>
      </w:pPr>
    </w:p>
    <w:p w14:paraId="54C80226">
      <w:pPr>
        <w:pStyle w:val="53"/>
        <w:spacing w:line="360" w:lineRule="auto"/>
        <w:rPr>
          <w:rStyle w:val="66"/>
          <w:rFonts w:hAnsi="宋体"/>
          <w:sz w:val="24"/>
          <w:szCs w:val="24"/>
          <w:highlight w:val="none"/>
        </w:rPr>
      </w:pPr>
    </w:p>
    <w:p w14:paraId="18946523">
      <w:pPr>
        <w:pStyle w:val="116"/>
        <w:outlineLvl w:val="0"/>
        <w:rPr>
          <w:rStyle w:val="66"/>
          <w:rFonts w:ascii="宋体" w:hAnsi="宋体"/>
          <w:bCs/>
          <w:highlight w:val="none"/>
        </w:rPr>
      </w:pPr>
      <w:r>
        <w:rPr>
          <w:rStyle w:val="66"/>
          <w:rFonts w:ascii="宋体" w:hAnsi="宋体"/>
          <w:b w:val="0"/>
          <w:highlight w:val="none"/>
        </w:rPr>
        <w:br w:type="page"/>
      </w:r>
      <w:bookmarkStart w:id="27" w:name="_Toc105014637"/>
      <w:r>
        <w:rPr>
          <w:rStyle w:val="66"/>
          <w:rFonts w:ascii="宋体" w:hAnsi="宋体"/>
          <w:bCs/>
          <w:highlight w:val="none"/>
        </w:rPr>
        <w:t>第四章  投标文件格式</w:t>
      </w:r>
      <w:bookmarkEnd w:id="27"/>
    </w:p>
    <w:p w14:paraId="6FA623BA">
      <w:pPr>
        <w:topLinePunct/>
        <w:snapToGrid w:val="0"/>
        <w:spacing w:before="100" w:beforeAutospacing="1" w:after="156" w:line="360" w:lineRule="auto"/>
        <w:jc w:val="center"/>
        <w:rPr>
          <w:rStyle w:val="66"/>
          <w:rFonts w:ascii="宋体" w:hAnsi="宋体"/>
          <w:b/>
          <w:spacing w:val="4"/>
          <w:kern w:val="0"/>
          <w:sz w:val="30"/>
          <w:szCs w:val="30"/>
          <w:highlight w:val="none"/>
        </w:rPr>
      </w:pPr>
      <w:r>
        <w:rPr>
          <w:rStyle w:val="66"/>
          <w:rFonts w:ascii="宋体" w:hAnsi="宋体"/>
          <w:b/>
          <w:spacing w:val="4"/>
          <w:kern w:val="0"/>
          <w:sz w:val="30"/>
          <w:szCs w:val="30"/>
          <w:highlight w:val="none"/>
        </w:rPr>
        <w:t>一、技术标投标文件格式</w:t>
      </w:r>
    </w:p>
    <w:p w14:paraId="4D10BE00">
      <w:pPr>
        <w:topLinePunct/>
        <w:snapToGrid w:val="0"/>
        <w:spacing w:before="156" w:after="156" w:line="360" w:lineRule="auto"/>
        <w:jc w:val="left"/>
        <w:rPr>
          <w:rFonts w:ascii="宋体" w:hAnsi="宋体"/>
          <w:b/>
          <w:sz w:val="24"/>
          <w:szCs w:val="24"/>
          <w:highlight w:val="none"/>
        </w:rPr>
      </w:pPr>
    </w:p>
    <w:p w14:paraId="60254A47">
      <w:pPr>
        <w:topLinePunct/>
        <w:snapToGrid w:val="0"/>
        <w:spacing w:before="156" w:after="156" w:line="360" w:lineRule="auto"/>
        <w:jc w:val="left"/>
        <w:rPr>
          <w:rStyle w:val="66"/>
          <w:rFonts w:ascii="宋体" w:hAnsi="宋体" w:cs="宋体"/>
          <w:bCs/>
          <w:szCs w:val="21"/>
          <w:highlight w:val="none"/>
        </w:rPr>
      </w:pPr>
      <w:r>
        <w:rPr>
          <w:rFonts w:hint="eastAsia" w:ascii="宋体" w:hAnsi="宋体"/>
          <w:b/>
          <w:sz w:val="24"/>
          <w:szCs w:val="24"/>
          <w:highlight w:val="none"/>
        </w:rPr>
        <w:t>格式一</w:t>
      </w:r>
    </w:p>
    <w:p w14:paraId="12066C93">
      <w:pPr>
        <w:spacing w:line="360" w:lineRule="auto"/>
        <w:ind w:left="-540" w:leftChars="-257" w:firstLine="1135" w:firstLineChars="257"/>
        <w:jc w:val="center"/>
        <w:rPr>
          <w:rStyle w:val="66"/>
          <w:rFonts w:ascii="宋体" w:hAnsi="宋体" w:cs="宋体"/>
          <w:b/>
          <w:bCs/>
          <w:sz w:val="44"/>
          <w:szCs w:val="44"/>
          <w:highlight w:val="none"/>
          <w:lang w:val="zh-CN"/>
        </w:rPr>
      </w:pPr>
    </w:p>
    <w:p w14:paraId="1EA43915">
      <w:pPr>
        <w:spacing w:line="360" w:lineRule="auto"/>
        <w:ind w:left="-540" w:leftChars="-257" w:firstLine="795" w:firstLineChars="257"/>
        <w:jc w:val="center"/>
        <w:rPr>
          <w:rStyle w:val="66"/>
          <w:rFonts w:ascii="宋体" w:hAnsi="宋体"/>
          <w:b/>
          <w:spacing w:val="4"/>
          <w:kern w:val="0"/>
          <w:sz w:val="30"/>
          <w:szCs w:val="30"/>
          <w:highlight w:val="none"/>
        </w:rPr>
      </w:pPr>
      <w:r>
        <w:rPr>
          <w:rStyle w:val="66"/>
          <w:rFonts w:ascii="宋体" w:hAnsi="宋体"/>
          <w:b/>
          <w:spacing w:val="4"/>
          <w:kern w:val="0"/>
          <w:sz w:val="30"/>
          <w:szCs w:val="30"/>
          <w:highlight w:val="none"/>
        </w:rPr>
        <w:t>广州建设工程施工招标投标书</w:t>
      </w:r>
      <w:r>
        <w:rPr>
          <w:rStyle w:val="66"/>
          <w:rFonts w:hint="eastAsia" w:ascii="宋体" w:hAnsi="宋体"/>
          <w:b/>
          <w:spacing w:val="4"/>
          <w:kern w:val="0"/>
          <w:sz w:val="30"/>
          <w:szCs w:val="30"/>
          <w:highlight w:val="none"/>
        </w:rPr>
        <w:t>（技术标）</w:t>
      </w:r>
    </w:p>
    <w:tbl>
      <w:tblPr>
        <w:tblStyle w:val="26"/>
        <w:tblpPr w:leftFromText="180" w:rightFromText="180" w:vertAnchor="text" w:horzAnchor="margin" w:tblpXSpec="center" w:tblpY="27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9"/>
        <w:gridCol w:w="2056"/>
        <w:gridCol w:w="3565"/>
      </w:tblGrid>
      <w:tr w14:paraId="0041D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3099" w:type="dxa"/>
            <w:tcBorders>
              <w:top w:val="single" w:color="auto" w:sz="4" w:space="0"/>
              <w:left w:val="single" w:color="auto" w:sz="4" w:space="0"/>
              <w:bottom w:val="single" w:color="auto" w:sz="4" w:space="0"/>
              <w:right w:val="single" w:color="auto" w:sz="4" w:space="0"/>
            </w:tcBorders>
            <w:vAlign w:val="center"/>
          </w:tcPr>
          <w:p w14:paraId="7871F813">
            <w:pPr>
              <w:widowControl w:val="0"/>
              <w:autoSpaceDE w:val="0"/>
              <w:autoSpaceDN w:val="0"/>
              <w:adjustRightInd w:val="0"/>
              <w:spacing w:line="360" w:lineRule="auto"/>
              <w:jc w:val="center"/>
              <w:textAlignment w:val="auto"/>
              <w:rPr>
                <w:rFonts w:ascii="宋体" w:hAnsi="宋体" w:cs="宋体"/>
                <w:bCs/>
                <w:sz w:val="24"/>
                <w:szCs w:val="24"/>
                <w:highlight w:val="none"/>
                <w:lang w:val="zh-CN"/>
              </w:rPr>
            </w:pPr>
            <w:r>
              <w:rPr>
                <w:rFonts w:hint="eastAsia" w:ascii="宋体" w:hAnsi="宋体" w:cs="宋体"/>
                <w:sz w:val="24"/>
                <w:szCs w:val="24"/>
                <w:highlight w:val="none"/>
                <w:lang w:val="zh-CN"/>
              </w:rPr>
              <w:t>工程名称</w:t>
            </w:r>
          </w:p>
        </w:tc>
        <w:tc>
          <w:tcPr>
            <w:tcW w:w="5621" w:type="dxa"/>
            <w:gridSpan w:val="2"/>
            <w:tcBorders>
              <w:top w:val="single" w:color="auto" w:sz="4" w:space="0"/>
              <w:left w:val="single" w:color="auto" w:sz="4" w:space="0"/>
              <w:bottom w:val="single" w:color="auto" w:sz="4" w:space="0"/>
              <w:right w:val="single" w:color="auto" w:sz="4" w:space="0"/>
            </w:tcBorders>
            <w:vAlign w:val="center"/>
          </w:tcPr>
          <w:p w14:paraId="2E029800">
            <w:pPr>
              <w:widowControl w:val="0"/>
              <w:autoSpaceDE w:val="0"/>
              <w:autoSpaceDN w:val="0"/>
              <w:adjustRightInd w:val="0"/>
              <w:spacing w:line="360" w:lineRule="auto"/>
              <w:jc w:val="center"/>
              <w:textAlignment w:val="auto"/>
              <w:rPr>
                <w:rFonts w:ascii="宋体" w:hAnsi="宋体" w:cs="宋体"/>
                <w:bCs/>
                <w:sz w:val="24"/>
                <w:szCs w:val="24"/>
                <w:highlight w:val="none"/>
                <w:lang w:val="zh-CN"/>
              </w:rPr>
            </w:pPr>
          </w:p>
        </w:tc>
      </w:tr>
      <w:tr w14:paraId="26953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3099" w:type="dxa"/>
            <w:tcBorders>
              <w:top w:val="single" w:color="auto" w:sz="4" w:space="0"/>
              <w:left w:val="single" w:color="auto" w:sz="4" w:space="0"/>
              <w:bottom w:val="single" w:color="auto" w:sz="4" w:space="0"/>
              <w:right w:val="single" w:color="auto" w:sz="4" w:space="0"/>
            </w:tcBorders>
            <w:vAlign w:val="center"/>
          </w:tcPr>
          <w:p w14:paraId="09FE51E5">
            <w:pPr>
              <w:widowControl w:val="0"/>
              <w:spacing w:line="360" w:lineRule="auto"/>
              <w:jc w:val="center"/>
              <w:textAlignment w:val="auto"/>
              <w:rPr>
                <w:rFonts w:ascii="宋体" w:hAnsi="宋体" w:cs="宋体"/>
                <w:sz w:val="24"/>
                <w:szCs w:val="24"/>
                <w:highlight w:val="none"/>
                <w:lang w:val="zh-CN"/>
              </w:rPr>
            </w:pPr>
            <w:r>
              <w:rPr>
                <w:rFonts w:hint="eastAsia" w:ascii="宋体" w:hAnsi="宋体" w:cs="宋体"/>
                <w:sz w:val="24"/>
                <w:szCs w:val="24"/>
                <w:highlight w:val="none"/>
                <w:lang w:val="zh-CN"/>
              </w:rPr>
              <w:t>投标总工期</w:t>
            </w:r>
          </w:p>
        </w:tc>
        <w:tc>
          <w:tcPr>
            <w:tcW w:w="5621" w:type="dxa"/>
            <w:gridSpan w:val="2"/>
            <w:tcBorders>
              <w:top w:val="single" w:color="auto" w:sz="4" w:space="0"/>
              <w:left w:val="single" w:color="auto" w:sz="4" w:space="0"/>
              <w:bottom w:val="single" w:color="auto" w:sz="4" w:space="0"/>
              <w:right w:val="single" w:color="auto" w:sz="4" w:space="0"/>
            </w:tcBorders>
            <w:vAlign w:val="center"/>
          </w:tcPr>
          <w:p w14:paraId="74850A34">
            <w:pPr>
              <w:widowControl w:val="0"/>
              <w:autoSpaceDE w:val="0"/>
              <w:autoSpaceDN w:val="0"/>
              <w:adjustRightInd w:val="0"/>
              <w:spacing w:line="360" w:lineRule="auto"/>
              <w:jc w:val="center"/>
              <w:textAlignment w:val="auto"/>
              <w:rPr>
                <w:rFonts w:ascii="宋体" w:hAnsi="宋体" w:cs="宋体"/>
                <w:b/>
                <w:bCs/>
                <w:sz w:val="24"/>
                <w:szCs w:val="24"/>
                <w:highlight w:val="none"/>
                <w:lang w:val="zh-CN"/>
              </w:rPr>
            </w:pPr>
          </w:p>
        </w:tc>
      </w:tr>
      <w:tr w14:paraId="4729D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3099" w:type="dxa"/>
            <w:tcBorders>
              <w:top w:val="single" w:color="auto" w:sz="4" w:space="0"/>
              <w:left w:val="single" w:color="auto" w:sz="4" w:space="0"/>
              <w:bottom w:val="single" w:color="auto" w:sz="4" w:space="0"/>
              <w:right w:val="single" w:color="auto" w:sz="4" w:space="0"/>
            </w:tcBorders>
            <w:vAlign w:val="center"/>
          </w:tcPr>
          <w:p w14:paraId="5B77B525">
            <w:pPr>
              <w:widowControl w:val="0"/>
              <w:spacing w:line="360" w:lineRule="auto"/>
              <w:jc w:val="center"/>
              <w:textAlignment w:val="auto"/>
              <w:rPr>
                <w:rFonts w:ascii="宋体" w:hAnsi="宋体"/>
                <w:sz w:val="24"/>
                <w:szCs w:val="24"/>
                <w:highlight w:val="none"/>
              </w:rPr>
            </w:pPr>
            <w:r>
              <w:rPr>
                <w:rFonts w:hint="eastAsia" w:ascii="宋体" w:hAnsi="宋体" w:cs="宋体"/>
                <w:sz w:val="24"/>
                <w:szCs w:val="24"/>
                <w:highlight w:val="none"/>
                <w:lang w:val="zh-CN"/>
              </w:rPr>
              <w:t>工程质量标准</w:t>
            </w:r>
          </w:p>
        </w:tc>
        <w:tc>
          <w:tcPr>
            <w:tcW w:w="5621" w:type="dxa"/>
            <w:gridSpan w:val="2"/>
            <w:tcBorders>
              <w:top w:val="single" w:color="auto" w:sz="4" w:space="0"/>
              <w:left w:val="single" w:color="auto" w:sz="4" w:space="0"/>
              <w:bottom w:val="single" w:color="auto" w:sz="4" w:space="0"/>
              <w:right w:val="single" w:color="auto" w:sz="4" w:space="0"/>
            </w:tcBorders>
            <w:vAlign w:val="center"/>
          </w:tcPr>
          <w:p w14:paraId="7B6780DF">
            <w:pPr>
              <w:widowControl w:val="0"/>
              <w:autoSpaceDE w:val="0"/>
              <w:autoSpaceDN w:val="0"/>
              <w:adjustRightInd w:val="0"/>
              <w:spacing w:line="360" w:lineRule="auto"/>
              <w:jc w:val="center"/>
              <w:textAlignment w:val="auto"/>
              <w:rPr>
                <w:rFonts w:ascii="宋体" w:hAnsi="宋体" w:cs="宋体"/>
                <w:bCs/>
                <w:sz w:val="24"/>
                <w:szCs w:val="24"/>
                <w:highlight w:val="none"/>
                <w:lang w:val="zh-CN"/>
              </w:rPr>
            </w:pPr>
          </w:p>
        </w:tc>
      </w:tr>
      <w:tr w14:paraId="47939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099" w:type="dxa"/>
            <w:tcBorders>
              <w:top w:val="single" w:color="auto" w:sz="4" w:space="0"/>
              <w:left w:val="single" w:color="auto" w:sz="4" w:space="0"/>
              <w:bottom w:val="single" w:color="auto" w:sz="4" w:space="0"/>
              <w:right w:val="single" w:color="auto" w:sz="4" w:space="0"/>
            </w:tcBorders>
            <w:vAlign w:val="center"/>
          </w:tcPr>
          <w:p w14:paraId="7F73F1EF">
            <w:pPr>
              <w:widowControl w:val="0"/>
              <w:autoSpaceDE w:val="0"/>
              <w:autoSpaceDN w:val="0"/>
              <w:adjustRightInd w:val="0"/>
              <w:spacing w:line="360" w:lineRule="auto"/>
              <w:jc w:val="center"/>
              <w:textAlignment w:val="auto"/>
              <w:rPr>
                <w:rFonts w:ascii="宋体" w:hAnsi="宋体" w:cs="宋体"/>
                <w:bCs/>
                <w:sz w:val="24"/>
                <w:szCs w:val="24"/>
                <w:highlight w:val="none"/>
                <w:lang w:val="zh-CN"/>
              </w:rPr>
            </w:pPr>
            <w:r>
              <w:rPr>
                <w:rFonts w:hint="eastAsia" w:ascii="宋体" w:hAnsi="宋体" w:cs="宋体"/>
                <w:sz w:val="24"/>
                <w:szCs w:val="24"/>
                <w:highlight w:val="none"/>
                <w:lang w:val="zh-CN"/>
              </w:rPr>
              <w:t>保修期限</w:t>
            </w:r>
          </w:p>
        </w:tc>
        <w:tc>
          <w:tcPr>
            <w:tcW w:w="5621" w:type="dxa"/>
            <w:gridSpan w:val="2"/>
            <w:tcBorders>
              <w:top w:val="single" w:color="auto" w:sz="4" w:space="0"/>
              <w:left w:val="single" w:color="auto" w:sz="4" w:space="0"/>
              <w:bottom w:val="single" w:color="auto" w:sz="4" w:space="0"/>
              <w:right w:val="single" w:color="auto" w:sz="4" w:space="0"/>
            </w:tcBorders>
            <w:vAlign w:val="center"/>
          </w:tcPr>
          <w:p w14:paraId="4FD6BC61">
            <w:pPr>
              <w:widowControl w:val="0"/>
              <w:autoSpaceDE w:val="0"/>
              <w:autoSpaceDN w:val="0"/>
              <w:adjustRightInd w:val="0"/>
              <w:spacing w:line="360" w:lineRule="auto"/>
              <w:jc w:val="center"/>
              <w:textAlignment w:val="auto"/>
              <w:rPr>
                <w:rFonts w:ascii="宋体" w:hAnsi="宋体" w:cs="宋体"/>
                <w:bCs/>
                <w:sz w:val="24"/>
                <w:szCs w:val="24"/>
                <w:highlight w:val="none"/>
                <w:lang w:val="zh-CN"/>
              </w:rPr>
            </w:pPr>
          </w:p>
        </w:tc>
      </w:tr>
      <w:tr w14:paraId="55F21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3099" w:type="dxa"/>
            <w:tcBorders>
              <w:top w:val="single" w:color="auto" w:sz="4" w:space="0"/>
              <w:left w:val="single" w:color="auto" w:sz="4" w:space="0"/>
              <w:right w:val="single" w:color="auto" w:sz="4" w:space="0"/>
            </w:tcBorders>
            <w:vAlign w:val="center"/>
          </w:tcPr>
          <w:p w14:paraId="556DF2C0">
            <w:pPr>
              <w:widowControl w:val="0"/>
              <w:autoSpaceDE w:val="0"/>
              <w:autoSpaceDN w:val="0"/>
              <w:adjustRightInd w:val="0"/>
              <w:spacing w:line="360" w:lineRule="auto"/>
              <w:jc w:val="center"/>
              <w:textAlignment w:val="auto"/>
              <w:rPr>
                <w:rFonts w:ascii="宋体" w:hAnsi="宋体" w:cs="宋体"/>
                <w:bCs/>
                <w:sz w:val="24"/>
                <w:szCs w:val="24"/>
                <w:highlight w:val="none"/>
                <w:lang w:val="zh-CN"/>
              </w:rPr>
            </w:pPr>
            <w:r>
              <w:rPr>
                <w:rFonts w:hint="eastAsia" w:ascii="宋体" w:hAnsi="宋体" w:cs="宋体"/>
                <w:sz w:val="24"/>
                <w:szCs w:val="24"/>
                <w:highlight w:val="none"/>
                <w:lang w:val="zh-CN"/>
              </w:rPr>
              <w:t>委派的项目负责人</w:t>
            </w:r>
          </w:p>
        </w:tc>
        <w:tc>
          <w:tcPr>
            <w:tcW w:w="2056" w:type="dxa"/>
            <w:tcBorders>
              <w:top w:val="single" w:color="auto" w:sz="4" w:space="0"/>
              <w:left w:val="single" w:color="auto" w:sz="4" w:space="0"/>
              <w:bottom w:val="single" w:color="auto" w:sz="4" w:space="0"/>
              <w:right w:val="single" w:color="auto" w:sz="4" w:space="0"/>
            </w:tcBorders>
            <w:vAlign w:val="center"/>
          </w:tcPr>
          <w:p w14:paraId="6A29AE67">
            <w:pPr>
              <w:widowControl w:val="0"/>
              <w:spacing w:line="360" w:lineRule="auto"/>
              <w:jc w:val="center"/>
              <w:textAlignment w:val="auto"/>
              <w:rPr>
                <w:rFonts w:ascii="宋体" w:hAnsi="宋体"/>
                <w:sz w:val="24"/>
                <w:szCs w:val="24"/>
                <w:highlight w:val="none"/>
              </w:rPr>
            </w:pPr>
            <w:r>
              <w:rPr>
                <w:rFonts w:hint="eastAsia" w:ascii="宋体" w:hAnsi="宋体"/>
                <w:sz w:val="24"/>
                <w:szCs w:val="24"/>
                <w:highlight w:val="none"/>
              </w:rPr>
              <w:t>姓   名</w:t>
            </w:r>
          </w:p>
        </w:tc>
        <w:tc>
          <w:tcPr>
            <w:tcW w:w="3565" w:type="dxa"/>
            <w:tcBorders>
              <w:top w:val="single" w:color="auto" w:sz="4" w:space="0"/>
              <w:left w:val="single" w:color="auto" w:sz="4" w:space="0"/>
              <w:bottom w:val="single" w:color="auto" w:sz="4" w:space="0"/>
              <w:right w:val="single" w:color="auto" w:sz="4" w:space="0"/>
            </w:tcBorders>
            <w:vAlign w:val="center"/>
          </w:tcPr>
          <w:p w14:paraId="7E3DCC2F">
            <w:pPr>
              <w:widowControl w:val="0"/>
              <w:autoSpaceDE w:val="0"/>
              <w:autoSpaceDN w:val="0"/>
              <w:adjustRightInd w:val="0"/>
              <w:spacing w:line="360" w:lineRule="auto"/>
              <w:jc w:val="center"/>
              <w:textAlignment w:val="auto"/>
              <w:rPr>
                <w:rFonts w:ascii="宋体" w:hAnsi="宋体" w:cs="宋体"/>
                <w:bCs/>
                <w:sz w:val="24"/>
                <w:szCs w:val="24"/>
                <w:highlight w:val="none"/>
                <w:lang w:val="zh-CN"/>
              </w:rPr>
            </w:pPr>
          </w:p>
        </w:tc>
      </w:tr>
      <w:tr w14:paraId="2AC12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3099" w:type="dxa"/>
            <w:tcBorders>
              <w:top w:val="single" w:color="auto" w:sz="4" w:space="0"/>
              <w:left w:val="single" w:color="auto" w:sz="4" w:space="0"/>
              <w:right w:val="single" w:color="auto" w:sz="4" w:space="0"/>
            </w:tcBorders>
            <w:vAlign w:val="center"/>
          </w:tcPr>
          <w:p w14:paraId="58C405B5">
            <w:pPr>
              <w:widowControl w:val="0"/>
              <w:autoSpaceDE w:val="0"/>
              <w:autoSpaceDN w:val="0"/>
              <w:adjustRightInd w:val="0"/>
              <w:spacing w:line="360" w:lineRule="auto"/>
              <w:jc w:val="center"/>
              <w:textAlignment w:val="auto"/>
              <w:rPr>
                <w:rFonts w:ascii="宋体" w:hAnsi="宋体" w:cs="宋体"/>
                <w:bCs/>
                <w:sz w:val="24"/>
                <w:szCs w:val="24"/>
                <w:highlight w:val="none"/>
                <w:lang w:val="zh-CN"/>
              </w:rPr>
            </w:pPr>
            <w:r>
              <w:rPr>
                <w:rFonts w:hint="eastAsia" w:ascii="宋体" w:hAnsi="宋体" w:cs="宋体"/>
                <w:bCs/>
                <w:sz w:val="24"/>
                <w:szCs w:val="24"/>
                <w:highlight w:val="none"/>
                <w:lang w:val="zh-CN"/>
              </w:rPr>
              <w:t>委派的专职安全员</w:t>
            </w:r>
          </w:p>
        </w:tc>
        <w:tc>
          <w:tcPr>
            <w:tcW w:w="2056" w:type="dxa"/>
            <w:tcBorders>
              <w:top w:val="single" w:color="auto" w:sz="4" w:space="0"/>
              <w:left w:val="single" w:color="auto" w:sz="4" w:space="0"/>
              <w:bottom w:val="single" w:color="auto" w:sz="4" w:space="0"/>
              <w:right w:val="single" w:color="auto" w:sz="4" w:space="0"/>
            </w:tcBorders>
            <w:vAlign w:val="center"/>
          </w:tcPr>
          <w:p w14:paraId="64B81EC7">
            <w:pPr>
              <w:widowControl w:val="0"/>
              <w:autoSpaceDE w:val="0"/>
              <w:autoSpaceDN w:val="0"/>
              <w:adjustRightInd w:val="0"/>
              <w:spacing w:line="360" w:lineRule="auto"/>
              <w:jc w:val="center"/>
              <w:textAlignment w:val="auto"/>
              <w:rPr>
                <w:rFonts w:ascii="宋体" w:hAnsi="宋体" w:cs="宋体"/>
                <w:bCs/>
                <w:sz w:val="24"/>
                <w:szCs w:val="24"/>
                <w:highlight w:val="none"/>
                <w:lang w:val="zh-CN"/>
              </w:rPr>
            </w:pPr>
            <w:r>
              <w:rPr>
                <w:rFonts w:hint="eastAsia" w:ascii="宋体" w:hAnsi="宋体" w:cs="宋体"/>
                <w:bCs/>
                <w:sz w:val="24"/>
                <w:szCs w:val="24"/>
                <w:highlight w:val="none"/>
                <w:lang w:val="zh-CN"/>
              </w:rPr>
              <w:t>姓   名</w:t>
            </w:r>
          </w:p>
        </w:tc>
        <w:tc>
          <w:tcPr>
            <w:tcW w:w="3565" w:type="dxa"/>
            <w:tcBorders>
              <w:top w:val="single" w:color="auto" w:sz="4" w:space="0"/>
              <w:left w:val="single" w:color="auto" w:sz="4" w:space="0"/>
              <w:bottom w:val="single" w:color="auto" w:sz="4" w:space="0"/>
              <w:right w:val="single" w:color="auto" w:sz="4" w:space="0"/>
            </w:tcBorders>
            <w:vAlign w:val="center"/>
          </w:tcPr>
          <w:p w14:paraId="206D28A4">
            <w:pPr>
              <w:widowControl w:val="0"/>
              <w:autoSpaceDE w:val="0"/>
              <w:autoSpaceDN w:val="0"/>
              <w:adjustRightInd w:val="0"/>
              <w:spacing w:line="360" w:lineRule="auto"/>
              <w:jc w:val="center"/>
              <w:textAlignment w:val="auto"/>
              <w:rPr>
                <w:rFonts w:ascii="宋体" w:hAnsi="宋体" w:cs="宋体"/>
                <w:bCs/>
                <w:sz w:val="24"/>
                <w:szCs w:val="24"/>
                <w:highlight w:val="none"/>
                <w:lang w:val="zh-CN"/>
              </w:rPr>
            </w:pPr>
          </w:p>
        </w:tc>
      </w:tr>
    </w:tbl>
    <w:p w14:paraId="3EB1F26E">
      <w:pPr>
        <w:tabs>
          <w:tab w:val="left" w:pos="720"/>
        </w:tabs>
        <w:snapToGrid w:val="0"/>
        <w:spacing w:line="360" w:lineRule="auto"/>
        <w:rPr>
          <w:rStyle w:val="66"/>
          <w:rFonts w:ascii="宋体" w:hAnsi="宋体"/>
          <w:sz w:val="24"/>
          <w:szCs w:val="24"/>
          <w:highlight w:val="none"/>
        </w:rPr>
      </w:pPr>
    </w:p>
    <w:p w14:paraId="055C3C2A">
      <w:pPr>
        <w:spacing w:line="360" w:lineRule="auto"/>
        <w:rPr>
          <w:rStyle w:val="66"/>
          <w:rFonts w:ascii="宋体" w:hAnsi="宋体"/>
          <w:b/>
          <w:highlight w:val="none"/>
        </w:rPr>
      </w:pPr>
      <w:r>
        <w:rPr>
          <w:rStyle w:val="66"/>
          <w:rFonts w:ascii="宋体" w:hAnsi="宋体"/>
          <w:sz w:val="24"/>
          <w:szCs w:val="24"/>
          <w:highlight w:val="none"/>
        </w:rPr>
        <w:br w:type="page"/>
      </w:r>
      <w:r>
        <w:rPr>
          <w:rStyle w:val="66"/>
          <w:rFonts w:ascii="宋体" w:hAnsi="宋体"/>
          <w:b/>
          <w:sz w:val="24"/>
          <w:szCs w:val="24"/>
          <w:highlight w:val="none"/>
        </w:rPr>
        <w:t>格式</w:t>
      </w:r>
      <w:r>
        <w:rPr>
          <w:rStyle w:val="66"/>
          <w:rFonts w:hint="eastAsia" w:ascii="宋体" w:hAnsi="宋体"/>
          <w:b/>
          <w:sz w:val="24"/>
          <w:szCs w:val="24"/>
          <w:highlight w:val="none"/>
        </w:rPr>
        <w:t>二</w:t>
      </w:r>
    </w:p>
    <w:p w14:paraId="6F2473D5">
      <w:pPr>
        <w:pStyle w:val="128"/>
        <w:rPr>
          <w:rStyle w:val="66"/>
          <w:rFonts w:ascii="宋体" w:hAnsi="宋体"/>
          <w:highlight w:val="none"/>
        </w:rPr>
      </w:pPr>
    </w:p>
    <w:p w14:paraId="59FB00CE">
      <w:pPr>
        <w:spacing w:after="156" w:afterLines="50" w:line="360" w:lineRule="auto"/>
        <w:jc w:val="center"/>
        <w:rPr>
          <w:rStyle w:val="66"/>
          <w:rFonts w:ascii="宋体" w:hAnsi="宋体" w:cs="宋体"/>
          <w:b/>
          <w:bCs/>
          <w:sz w:val="30"/>
          <w:szCs w:val="30"/>
          <w:highlight w:val="none"/>
          <w:lang w:val="zh-CN"/>
        </w:rPr>
      </w:pPr>
      <w:r>
        <w:rPr>
          <w:rStyle w:val="66"/>
          <w:rFonts w:ascii="宋体" w:hAnsi="宋体"/>
          <w:b/>
          <w:sz w:val="30"/>
          <w:szCs w:val="30"/>
          <w:highlight w:val="none"/>
        </w:rPr>
        <w:t>项目管理机构人员配备表</w:t>
      </w:r>
    </w:p>
    <w:tbl>
      <w:tblPr>
        <w:tblStyle w:val="2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7"/>
        <w:gridCol w:w="1945"/>
        <w:gridCol w:w="1315"/>
        <w:gridCol w:w="4427"/>
      </w:tblGrid>
      <w:tr w14:paraId="4C41AB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atLeast"/>
          <w:jc w:val="center"/>
        </w:trPr>
        <w:tc>
          <w:tcPr>
            <w:tcW w:w="827" w:type="dxa"/>
            <w:tcBorders>
              <w:top w:val="single" w:color="000000" w:sz="4" w:space="0"/>
              <w:left w:val="single" w:color="000000" w:sz="4" w:space="0"/>
              <w:bottom w:val="single" w:color="000000" w:sz="4" w:space="0"/>
              <w:right w:val="single" w:color="000000" w:sz="4" w:space="0"/>
            </w:tcBorders>
            <w:vAlign w:val="center"/>
          </w:tcPr>
          <w:p w14:paraId="2E579EF6">
            <w:pPr>
              <w:tabs>
                <w:tab w:val="left" w:pos="720"/>
              </w:tabs>
              <w:snapToGrid w:val="0"/>
              <w:spacing w:line="360" w:lineRule="auto"/>
              <w:jc w:val="center"/>
              <w:rPr>
                <w:rStyle w:val="66"/>
                <w:rFonts w:ascii="宋体" w:hAnsi="宋体"/>
                <w:sz w:val="24"/>
                <w:szCs w:val="24"/>
                <w:highlight w:val="none"/>
              </w:rPr>
            </w:pPr>
            <w:r>
              <w:rPr>
                <w:rStyle w:val="66"/>
                <w:rFonts w:ascii="宋体" w:hAnsi="宋体"/>
                <w:sz w:val="24"/>
                <w:szCs w:val="24"/>
                <w:highlight w:val="none"/>
              </w:rPr>
              <w:t>序号</w:t>
            </w:r>
          </w:p>
        </w:tc>
        <w:tc>
          <w:tcPr>
            <w:tcW w:w="1945" w:type="dxa"/>
            <w:tcBorders>
              <w:top w:val="single" w:color="000000" w:sz="4" w:space="0"/>
              <w:left w:val="single" w:color="000000" w:sz="4" w:space="0"/>
              <w:bottom w:val="single" w:color="000000" w:sz="4" w:space="0"/>
              <w:right w:val="single" w:color="000000" w:sz="4" w:space="0"/>
            </w:tcBorders>
            <w:vAlign w:val="center"/>
          </w:tcPr>
          <w:p w14:paraId="177E7248">
            <w:pPr>
              <w:tabs>
                <w:tab w:val="left" w:pos="720"/>
              </w:tabs>
              <w:snapToGrid w:val="0"/>
              <w:spacing w:line="360" w:lineRule="auto"/>
              <w:jc w:val="center"/>
              <w:rPr>
                <w:rStyle w:val="66"/>
                <w:rFonts w:ascii="宋体" w:hAnsi="宋体"/>
                <w:sz w:val="24"/>
                <w:szCs w:val="24"/>
                <w:highlight w:val="none"/>
              </w:rPr>
            </w:pPr>
            <w:r>
              <w:rPr>
                <w:rStyle w:val="66"/>
                <w:rFonts w:ascii="宋体" w:hAnsi="宋体"/>
                <w:sz w:val="24"/>
                <w:szCs w:val="24"/>
                <w:highlight w:val="none"/>
              </w:rPr>
              <w:t>拟在本项目任职</w:t>
            </w:r>
          </w:p>
        </w:tc>
        <w:tc>
          <w:tcPr>
            <w:tcW w:w="1315" w:type="dxa"/>
            <w:tcBorders>
              <w:top w:val="single" w:color="000000" w:sz="4" w:space="0"/>
              <w:left w:val="single" w:color="000000" w:sz="4" w:space="0"/>
              <w:bottom w:val="single" w:color="000000" w:sz="4" w:space="0"/>
              <w:right w:val="single" w:color="000000" w:sz="4" w:space="0"/>
            </w:tcBorders>
            <w:vAlign w:val="center"/>
          </w:tcPr>
          <w:p w14:paraId="45F3DC65">
            <w:pPr>
              <w:tabs>
                <w:tab w:val="left" w:pos="720"/>
              </w:tabs>
              <w:snapToGrid w:val="0"/>
              <w:spacing w:line="360" w:lineRule="auto"/>
              <w:jc w:val="center"/>
              <w:rPr>
                <w:rStyle w:val="66"/>
                <w:rFonts w:ascii="宋体" w:hAnsi="宋体"/>
                <w:sz w:val="24"/>
                <w:szCs w:val="24"/>
                <w:highlight w:val="none"/>
              </w:rPr>
            </w:pPr>
            <w:r>
              <w:rPr>
                <w:rStyle w:val="66"/>
                <w:rFonts w:ascii="宋体" w:hAnsi="宋体"/>
                <w:sz w:val="24"/>
                <w:szCs w:val="24"/>
                <w:highlight w:val="none"/>
              </w:rPr>
              <w:t>姓名</w:t>
            </w:r>
          </w:p>
        </w:tc>
        <w:tc>
          <w:tcPr>
            <w:tcW w:w="4427" w:type="dxa"/>
            <w:tcBorders>
              <w:top w:val="single" w:color="000000" w:sz="4" w:space="0"/>
              <w:left w:val="single" w:color="000000" w:sz="4" w:space="0"/>
              <w:bottom w:val="single" w:color="000000" w:sz="4" w:space="0"/>
              <w:right w:val="single" w:color="000000" w:sz="4" w:space="0"/>
            </w:tcBorders>
            <w:vAlign w:val="center"/>
          </w:tcPr>
          <w:p w14:paraId="4F4A61C8">
            <w:pPr>
              <w:tabs>
                <w:tab w:val="left" w:pos="720"/>
              </w:tabs>
              <w:snapToGrid w:val="0"/>
              <w:spacing w:line="360" w:lineRule="auto"/>
              <w:jc w:val="center"/>
              <w:rPr>
                <w:rStyle w:val="66"/>
                <w:rFonts w:ascii="宋体" w:hAnsi="宋体"/>
                <w:sz w:val="24"/>
                <w:szCs w:val="24"/>
                <w:highlight w:val="none"/>
              </w:rPr>
            </w:pPr>
            <w:r>
              <w:rPr>
                <w:rStyle w:val="66"/>
                <w:rFonts w:ascii="宋体" w:hAnsi="宋体"/>
                <w:sz w:val="24"/>
                <w:szCs w:val="24"/>
                <w:highlight w:val="none"/>
              </w:rPr>
              <w:t>注册证或岗位证或培训证或职称证</w:t>
            </w:r>
          </w:p>
        </w:tc>
      </w:tr>
      <w:tr w14:paraId="50F009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jc w:val="center"/>
        </w:trPr>
        <w:tc>
          <w:tcPr>
            <w:tcW w:w="827" w:type="dxa"/>
            <w:tcBorders>
              <w:top w:val="single" w:color="000000" w:sz="4" w:space="0"/>
              <w:left w:val="single" w:color="000000" w:sz="4" w:space="0"/>
              <w:bottom w:val="single" w:color="000000" w:sz="4" w:space="0"/>
              <w:right w:val="single" w:color="000000" w:sz="4" w:space="0"/>
            </w:tcBorders>
            <w:vAlign w:val="center"/>
          </w:tcPr>
          <w:p w14:paraId="62230C89">
            <w:pPr>
              <w:tabs>
                <w:tab w:val="left" w:pos="720"/>
              </w:tabs>
              <w:snapToGrid w:val="0"/>
              <w:spacing w:line="360" w:lineRule="auto"/>
              <w:jc w:val="center"/>
              <w:rPr>
                <w:rStyle w:val="66"/>
                <w:rFonts w:ascii="宋体" w:hAnsi="宋体"/>
                <w:sz w:val="24"/>
                <w:szCs w:val="24"/>
                <w:highlight w:val="none"/>
              </w:rPr>
            </w:pPr>
            <w:r>
              <w:rPr>
                <w:rStyle w:val="66"/>
                <w:rFonts w:ascii="宋体" w:hAnsi="宋体"/>
                <w:sz w:val="24"/>
                <w:szCs w:val="24"/>
                <w:highlight w:val="none"/>
              </w:rPr>
              <w:t>1</w:t>
            </w:r>
          </w:p>
        </w:tc>
        <w:tc>
          <w:tcPr>
            <w:tcW w:w="1945" w:type="dxa"/>
            <w:tcBorders>
              <w:top w:val="single" w:color="000000" w:sz="4" w:space="0"/>
              <w:left w:val="single" w:color="000000" w:sz="4" w:space="0"/>
              <w:bottom w:val="single" w:color="000000" w:sz="4" w:space="0"/>
              <w:right w:val="single" w:color="000000" w:sz="4" w:space="0"/>
            </w:tcBorders>
            <w:vAlign w:val="center"/>
          </w:tcPr>
          <w:p w14:paraId="5ECD1EF3">
            <w:pPr>
              <w:keepNext/>
              <w:keepLines/>
              <w:tabs>
                <w:tab w:val="left" w:pos="720"/>
              </w:tabs>
              <w:snapToGrid w:val="0"/>
              <w:spacing w:before="120" w:after="120" w:line="360" w:lineRule="auto"/>
              <w:ind w:left="-63" w:leftChars="-30" w:right="-63" w:rightChars="-30"/>
              <w:jc w:val="center"/>
              <w:rPr>
                <w:rStyle w:val="66"/>
                <w:rFonts w:ascii="宋体" w:hAnsi="宋体"/>
                <w:sz w:val="24"/>
                <w:szCs w:val="24"/>
                <w:highlight w:val="none"/>
              </w:rPr>
            </w:pPr>
            <w:r>
              <w:rPr>
                <w:rStyle w:val="66"/>
                <w:rFonts w:ascii="宋体" w:hAnsi="宋体"/>
                <w:sz w:val="24"/>
                <w:szCs w:val="24"/>
                <w:highlight w:val="none"/>
              </w:rPr>
              <w:t>项目负责人</w:t>
            </w:r>
          </w:p>
        </w:tc>
        <w:tc>
          <w:tcPr>
            <w:tcW w:w="1315" w:type="dxa"/>
            <w:tcBorders>
              <w:top w:val="single" w:color="000000" w:sz="4" w:space="0"/>
              <w:left w:val="single" w:color="000000" w:sz="4" w:space="0"/>
              <w:bottom w:val="single" w:color="000000" w:sz="4" w:space="0"/>
              <w:right w:val="single" w:color="000000" w:sz="4" w:space="0"/>
            </w:tcBorders>
            <w:vAlign w:val="center"/>
          </w:tcPr>
          <w:p w14:paraId="5273441C">
            <w:pPr>
              <w:keepNext/>
              <w:keepLines/>
              <w:tabs>
                <w:tab w:val="left" w:pos="720"/>
              </w:tabs>
              <w:snapToGrid w:val="0"/>
              <w:spacing w:before="120" w:after="120" w:line="360" w:lineRule="auto"/>
              <w:ind w:left="-63" w:leftChars="-30" w:right="-63" w:rightChars="-30"/>
              <w:jc w:val="center"/>
              <w:rPr>
                <w:rStyle w:val="66"/>
                <w:rFonts w:ascii="宋体" w:hAnsi="宋体"/>
                <w:sz w:val="24"/>
                <w:szCs w:val="24"/>
                <w:highlight w:val="none"/>
              </w:rPr>
            </w:pPr>
          </w:p>
        </w:tc>
        <w:tc>
          <w:tcPr>
            <w:tcW w:w="4427" w:type="dxa"/>
            <w:tcBorders>
              <w:top w:val="single" w:color="000000" w:sz="4" w:space="0"/>
              <w:left w:val="single" w:color="000000" w:sz="4" w:space="0"/>
              <w:bottom w:val="single" w:color="000000" w:sz="4" w:space="0"/>
              <w:right w:val="single" w:color="000000" w:sz="4" w:space="0"/>
            </w:tcBorders>
            <w:vAlign w:val="center"/>
          </w:tcPr>
          <w:p w14:paraId="6CE11F2A">
            <w:pPr>
              <w:keepNext/>
              <w:keepLines/>
              <w:tabs>
                <w:tab w:val="left" w:pos="720"/>
              </w:tabs>
              <w:snapToGrid w:val="0"/>
              <w:spacing w:before="120" w:after="120" w:line="360" w:lineRule="auto"/>
              <w:ind w:left="-63" w:leftChars="-30" w:right="-63" w:rightChars="-30"/>
              <w:jc w:val="center"/>
              <w:rPr>
                <w:rStyle w:val="66"/>
                <w:rFonts w:ascii="宋体" w:hAnsi="宋体"/>
                <w:sz w:val="24"/>
                <w:szCs w:val="24"/>
                <w:highlight w:val="none"/>
              </w:rPr>
            </w:pPr>
          </w:p>
        </w:tc>
      </w:tr>
      <w:tr w14:paraId="54176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jc w:val="center"/>
        </w:trPr>
        <w:tc>
          <w:tcPr>
            <w:tcW w:w="827" w:type="dxa"/>
            <w:tcBorders>
              <w:top w:val="single" w:color="000000" w:sz="4" w:space="0"/>
              <w:left w:val="single" w:color="000000" w:sz="4" w:space="0"/>
              <w:bottom w:val="single" w:color="000000" w:sz="4" w:space="0"/>
              <w:right w:val="single" w:color="000000" w:sz="4" w:space="0"/>
            </w:tcBorders>
            <w:vAlign w:val="center"/>
          </w:tcPr>
          <w:p w14:paraId="15AED87D">
            <w:pPr>
              <w:tabs>
                <w:tab w:val="left" w:pos="720"/>
              </w:tabs>
              <w:snapToGrid w:val="0"/>
              <w:spacing w:line="360" w:lineRule="auto"/>
              <w:jc w:val="center"/>
              <w:rPr>
                <w:rStyle w:val="66"/>
                <w:rFonts w:ascii="宋体" w:hAnsi="宋体"/>
                <w:sz w:val="24"/>
                <w:szCs w:val="24"/>
                <w:highlight w:val="none"/>
              </w:rPr>
            </w:pPr>
            <w:r>
              <w:rPr>
                <w:rStyle w:val="66"/>
                <w:rFonts w:ascii="宋体" w:hAnsi="宋体"/>
                <w:sz w:val="24"/>
                <w:szCs w:val="24"/>
                <w:highlight w:val="none"/>
              </w:rPr>
              <w:t>2</w:t>
            </w:r>
          </w:p>
        </w:tc>
        <w:tc>
          <w:tcPr>
            <w:tcW w:w="1945" w:type="dxa"/>
            <w:tcBorders>
              <w:top w:val="single" w:color="000000" w:sz="4" w:space="0"/>
              <w:left w:val="single" w:color="000000" w:sz="4" w:space="0"/>
              <w:bottom w:val="single" w:color="000000" w:sz="4" w:space="0"/>
              <w:right w:val="single" w:color="000000" w:sz="4" w:space="0"/>
            </w:tcBorders>
            <w:vAlign w:val="center"/>
          </w:tcPr>
          <w:p w14:paraId="5720DEB1">
            <w:pPr>
              <w:keepNext/>
              <w:keepLines/>
              <w:tabs>
                <w:tab w:val="left" w:pos="720"/>
              </w:tabs>
              <w:snapToGrid w:val="0"/>
              <w:spacing w:before="120" w:after="120" w:line="360" w:lineRule="auto"/>
              <w:ind w:left="-63" w:leftChars="-30" w:right="-63" w:rightChars="-30"/>
              <w:jc w:val="center"/>
              <w:rPr>
                <w:rStyle w:val="66"/>
                <w:rFonts w:ascii="宋体" w:hAnsi="宋体"/>
                <w:sz w:val="24"/>
                <w:szCs w:val="24"/>
                <w:highlight w:val="none"/>
              </w:rPr>
            </w:pPr>
            <w:r>
              <w:rPr>
                <w:rStyle w:val="66"/>
                <w:rFonts w:ascii="宋体" w:hAnsi="宋体"/>
                <w:sz w:val="24"/>
                <w:szCs w:val="24"/>
                <w:highlight w:val="none"/>
              </w:rPr>
              <w:t>…</w:t>
            </w:r>
          </w:p>
        </w:tc>
        <w:tc>
          <w:tcPr>
            <w:tcW w:w="1315" w:type="dxa"/>
            <w:tcBorders>
              <w:top w:val="single" w:color="000000" w:sz="4" w:space="0"/>
              <w:left w:val="single" w:color="000000" w:sz="4" w:space="0"/>
              <w:bottom w:val="single" w:color="000000" w:sz="4" w:space="0"/>
              <w:right w:val="single" w:color="000000" w:sz="4" w:space="0"/>
            </w:tcBorders>
            <w:vAlign w:val="center"/>
          </w:tcPr>
          <w:p w14:paraId="789442F3">
            <w:pPr>
              <w:keepNext/>
              <w:keepLines/>
              <w:tabs>
                <w:tab w:val="left" w:pos="720"/>
              </w:tabs>
              <w:snapToGrid w:val="0"/>
              <w:spacing w:before="120" w:after="120" w:line="360" w:lineRule="auto"/>
              <w:ind w:left="-63" w:leftChars="-30" w:right="-63" w:rightChars="-30"/>
              <w:jc w:val="center"/>
              <w:rPr>
                <w:rStyle w:val="66"/>
                <w:rFonts w:ascii="宋体" w:hAnsi="宋体"/>
                <w:sz w:val="24"/>
                <w:szCs w:val="24"/>
                <w:highlight w:val="none"/>
              </w:rPr>
            </w:pPr>
          </w:p>
        </w:tc>
        <w:tc>
          <w:tcPr>
            <w:tcW w:w="4427" w:type="dxa"/>
            <w:tcBorders>
              <w:top w:val="single" w:color="000000" w:sz="4" w:space="0"/>
              <w:left w:val="single" w:color="000000" w:sz="4" w:space="0"/>
              <w:bottom w:val="single" w:color="000000" w:sz="4" w:space="0"/>
              <w:right w:val="single" w:color="000000" w:sz="4" w:space="0"/>
            </w:tcBorders>
            <w:vAlign w:val="center"/>
          </w:tcPr>
          <w:p w14:paraId="6BFCA49F">
            <w:pPr>
              <w:keepNext/>
              <w:keepLines/>
              <w:tabs>
                <w:tab w:val="left" w:pos="720"/>
              </w:tabs>
              <w:snapToGrid w:val="0"/>
              <w:spacing w:before="120" w:after="120" w:line="360" w:lineRule="auto"/>
              <w:ind w:left="-63" w:leftChars="-30" w:right="-63" w:rightChars="-30"/>
              <w:jc w:val="center"/>
              <w:rPr>
                <w:rStyle w:val="66"/>
                <w:rFonts w:ascii="宋体" w:hAnsi="宋体"/>
                <w:sz w:val="24"/>
                <w:szCs w:val="24"/>
                <w:highlight w:val="none"/>
              </w:rPr>
            </w:pPr>
          </w:p>
        </w:tc>
      </w:tr>
      <w:tr w14:paraId="2EB5EF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jc w:val="center"/>
        </w:trPr>
        <w:tc>
          <w:tcPr>
            <w:tcW w:w="827" w:type="dxa"/>
            <w:tcBorders>
              <w:top w:val="single" w:color="000000" w:sz="4" w:space="0"/>
              <w:left w:val="single" w:color="000000" w:sz="4" w:space="0"/>
              <w:bottom w:val="single" w:color="000000" w:sz="4" w:space="0"/>
              <w:right w:val="single" w:color="000000" w:sz="4" w:space="0"/>
            </w:tcBorders>
            <w:vAlign w:val="center"/>
          </w:tcPr>
          <w:p w14:paraId="408BBFCA">
            <w:pPr>
              <w:tabs>
                <w:tab w:val="left" w:pos="720"/>
              </w:tabs>
              <w:snapToGrid w:val="0"/>
              <w:spacing w:line="360" w:lineRule="auto"/>
              <w:jc w:val="center"/>
              <w:rPr>
                <w:rStyle w:val="66"/>
                <w:rFonts w:ascii="宋体" w:hAnsi="宋体"/>
                <w:sz w:val="24"/>
                <w:szCs w:val="24"/>
                <w:highlight w:val="none"/>
              </w:rPr>
            </w:pPr>
            <w:r>
              <w:rPr>
                <w:rStyle w:val="66"/>
                <w:rFonts w:ascii="宋体" w:hAnsi="宋体"/>
                <w:sz w:val="24"/>
                <w:szCs w:val="24"/>
                <w:highlight w:val="none"/>
              </w:rPr>
              <w:t>3</w:t>
            </w:r>
          </w:p>
        </w:tc>
        <w:tc>
          <w:tcPr>
            <w:tcW w:w="1945" w:type="dxa"/>
            <w:tcBorders>
              <w:top w:val="single" w:color="000000" w:sz="4" w:space="0"/>
              <w:left w:val="single" w:color="000000" w:sz="4" w:space="0"/>
              <w:bottom w:val="single" w:color="000000" w:sz="4" w:space="0"/>
              <w:right w:val="single" w:color="000000" w:sz="4" w:space="0"/>
            </w:tcBorders>
            <w:vAlign w:val="center"/>
          </w:tcPr>
          <w:p w14:paraId="02D2BBF2">
            <w:pPr>
              <w:keepNext/>
              <w:keepLines/>
              <w:tabs>
                <w:tab w:val="left" w:pos="720"/>
              </w:tabs>
              <w:snapToGrid w:val="0"/>
              <w:spacing w:before="120" w:after="120" w:line="360" w:lineRule="auto"/>
              <w:ind w:left="-63" w:leftChars="-30" w:right="-63" w:rightChars="-30"/>
              <w:jc w:val="center"/>
              <w:rPr>
                <w:rStyle w:val="66"/>
                <w:rFonts w:ascii="宋体" w:hAnsi="宋体"/>
                <w:sz w:val="24"/>
                <w:szCs w:val="24"/>
                <w:highlight w:val="none"/>
              </w:rPr>
            </w:pPr>
            <w:r>
              <w:rPr>
                <w:rStyle w:val="66"/>
                <w:rFonts w:ascii="宋体" w:hAnsi="宋体"/>
                <w:sz w:val="24"/>
                <w:szCs w:val="24"/>
                <w:highlight w:val="none"/>
              </w:rPr>
              <w:t>…</w:t>
            </w:r>
          </w:p>
        </w:tc>
        <w:tc>
          <w:tcPr>
            <w:tcW w:w="1315" w:type="dxa"/>
            <w:tcBorders>
              <w:top w:val="single" w:color="000000" w:sz="4" w:space="0"/>
              <w:left w:val="single" w:color="000000" w:sz="4" w:space="0"/>
              <w:bottom w:val="single" w:color="000000" w:sz="4" w:space="0"/>
              <w:right w:val="single" w:color="000000" w:sz="4" w:space="0"/>
            </w:tcBorders>
            <w:vAlign w:val="center"/>
          </w:tcPr>
          <w:p w14:paraId="50DB9375">
            <w:pPr>
              <w:keepNext/>
              <w:keepLines/>
              <w:tabs>
                <w:tab w:val="left" w:pos="720"/>
              </w:tabs>
              <w:snapToGrid w:val="0"/>
              <w:spacing w:before="120" w:after="120" w:line="360" w:lineRule="auto"/>
              <w:ind w:left="-63" w:leftChars="-30" w:right="-63" w:rightChars="-30"/>
              <w:jc w:val="center"/>
              <w:rPr>
                <w:rStyle w:val="66"/>
                <w:rFonts w:ascii="宋体" w:hAnsi="宋体"/>
                <w:sz w:val="24"/>
                <w:szCs w:val="24"/>
                <w:highlight w:val="none"/>
              </w:rPr>
            </w:pPr>
          </w:p>
        </w:tc>
        <w:tc>
          <w:tcPr>
            <w:tcW w:w="4427" w:type="dxa"/>
            <w:tcBorders>
              <w:top w:val="single" w:color="000000" w:sz="4" w:space="0"/>
              <w:left w:val="single" w:color="000000" w:sz="4" w:space="0"/>
              <w:bottom w:val="single" w:color="000000" w:sz="4" w:space="0"/>
              <w:right w:val="single" w:color="000000" w:sz="4" w:space="0"/>
            </w:tcBorders>
            <w:vAlign w:val="center"/>
          </w:tcPr>
          <w:p w14:paraId="442C4846">
            <w:pPr>
              <w:keepNext/>
              <w:keepLines/>
              <w:tabs>
                <w:tab w:val="left" w:pos="720"/>
              </w:tabs>
              <w:snapToGrid w:val="0"/>
              <w:spacing w:before="120" w:after="120" w:line="360" w:lineRule="auto"/>
              <w:ind w:left="-63" w:leftChars="-30" w:right="-63" w:rightChars="-30"/>
              <w:jc w:val="center"/>
              <w:rPr>
                <w:rStyle w:val="66"/>
                <w:rFonts w:ascii="宋体" w:hAnsi="宋体"/>
                <w:sz w:val="24"/>
                <w:szCs w:val="24"/>
                <w:highlight w:val="none"/>
              </w:rPr>
            </w:pPr>
          </w:p>
        </w:tc>
      </w:tr>
      <w:tr w14:paraId="12B3E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jc w:val="center"/>
        </w:trPr>
        <w:tc>
          <w:tcPr>
            <w:tcW w:w="827" w:type="dxa"/>
            <w:tcBorders>
              <w:top w:val="single" w:color="000000" w:sz="4" w:space="0"/>
              <w:left w:val="single" w:color="000000" w:sz="4" w:space="0"/>
              <w:bottom w:val="single" w:color="000000" w:sz="4" w:space="0"/>
              <w:right w:val="single" w:color="000000" w:sz="4" w:space="0"/>
            </w:tcBorders>
            <w:vAlign w:val="center"/>
          </w:tcPr>
          <w:p w14:paraId="6039DFF1">
            <w:pPr>
              <w:tabs>
                <w:tab w:val="left" w:pos="720"/>
              </w:tabs>
              <w:snapToGrid w:val="0"/>
              <w:spacing w:line="360" w:lineRule="auto"/>
              <w:jc w:val="center"/>
              <w:rPr>
                <w:rStyle w:val="66"/>
                <w:rFonts w:ascii="宋体" w:hAnsi="宋体"/>
                <w:sz w:val="24"/>
                <w:szCs w:val="24"/>
                <w:highlight w:val="none"/>
              </w:rPr>
            </w:pPr>
            <w:r>
              <w:rPr>
                <w:rStyle w:val="66"/>
                <w:rFonts w:ascii="宋体" w:hAnsi="宋体"/>
                <w:sz w:val="24"/>
                <w:szCs w:val="24"/>
                <w:highlight w:val="none"/>
              </w:rPr>
              <w:t>4</w:t>
            </w:r>
          </w:p>
        </w:tc>
        <w:tc>
          <w:tcPr>
            <w:tcW w:w="1945" w:type="dxa"/>
            <w:tcBorders>
              <w:top w:val="single" w:color="000000" w:sz="4" w:space="0"/>
              <w:left w:val="single" w:color="000000" w:sz="4" w:space="0"/>
              <w:bottom w:val="single" w:color="000000" w:sz="4" w:space="0"/>
              <w:right w:val="single" w:color="000000" w:sz="4" w:space="0"/>
            </w:tcBorders>
            <w:vAlign w:val="center"/>
          </w:tcPr>
          <w:p w14:paraId="72E771AF">
            <w:pPr>
              <w:keepNext/>
              <w:keepLines/>
              <w:tabs>
                <w:tab w:val="left" w:pos="720"/>
              </w:tabs>
              <w:snapToGrid w:val="0"/>
              <w:spacing w:before="120" w:after="120" w:line="360" w:lineRule="auto"/>
              <w:ind w:left="-63" w:leftChars="-30" w:right="-63" w:rightChars="-30"/>
              <w:jc w:val="center"/>
              <w:rPr>
                <w:rStyle w:val="66"/>
                <w:rFonts w:ascii="宋体" w:hAnsi="宋体"/>
                <w:sz w:val="24"/>
                <w:szCs w:val="24"/>
                <w:highlight w:val="none"/>
              </w:rPr>
            </w:pPr>
            <w:r>
              <w:rPr>
                <w:rStyle w:val="66"/>
                <w:rFonts w:ascii="宋体" w:hAnsi="宋体"/>
                <w:sz w:val="24"/>
                <w:szCs w:val="24"/>
                <w:highlight w:val="none"/>
              </w:rPr>
              <w:t>…</w:t>
            </w:r>
          </w:p>
        </w:tc>
        <w:tc>
          <w:tcPr>
            <w:tcW w:w="1315" w:type="dxa"/>
            <w:tcBorders>
              <w:top w:val="single" w:color="000000" w:sz="4" w:space="0"/>
              <w:left w:val="single" w:color="000000" w:sz="4" w:space="0"/>
              <w:bottom w:val="single" w:color="000000" w:sz="4" w:space="0"/>
              <w:right w:val="single" w:color="000000" w:sz="4" w:space="0"/>
            </w:tcBorders>
            <w:vAlign w:val="center"/>
          </w:tcPr>
          <w:p w14:paraId="430F1DBC">
            <w:pPr>
              <w:keepNext/>
              <w:keepLines/>
              <w:tabs>
                <w:tab w:val="left" w:pos="720"/>
              </w:tabs>
              <w:snapToGrid w:val="0"/>
              <w:spacing w:before="120" w:after="120" w:line="360" w:lineRule="auto"/>
              <w:ind w:left="-63" w:leftChars="-30" w:right="-63" w:rightChars="-30"/>
              <w:jc w:val="center"/>
              <w:rPr>
                <w:rStyle w:val="66"/>
                <w:rFonts w:ascii="宋体" w:hAnsi="宋体"/>
                <w:sz w:val="24"/>
                <w:szCs w:val="24"/>
                <w:highlight w:val="none"/>
              </w:rPr>
            </w:pPr>
          </w:p>
        </w:tc>
        <w:tc>
          <w:tcPr>
            <w:tcW w:w="4427" w:type="dxa"/>
            <w:tcBorders>
              <w:top w:val="single" w:color="000000" w:sz="4" w:space="0"/>
              <w:left w:val="single" w:color="000000" w:sz="4" w:space="0"/>
              <w:bottom w:val="single" w:color="000000" w:sz="4" w:space="0"/>
              <w:right w:val="single" w:color="000000" w:sz="4" w:space="0"/>
            </w:tcBorders>
            <w:vAlign w:val="center"/>
          </w:tcPr>
          <w:p w14:paraId="0BA9D9F5">
            <w:pPr>
              <w:keepNext/>
              <w:keepLines/>
              <w:tabs>
                <w:tab w:val="left" w:pos="720"/>
              </w:tabs>
              <w:snapToGrid w:val="0"/>
              <w:spacing w:before="120" w:after="120" w:line="360" w:lineRule="auto"/>
              <w:ind w:left="-63" w:leftChars="-30" w:right="-63" w:rightChars="-30"/>
              <w:jc w:val="center"/>
              <w:rPr>
                <w:rStyle w:val="66"/>
                <w:rFonts w:ascii="宋体" w:hAnsi="宋体"/>
                <w:sz w:val="24"/>
                <w:szCs w:val="24"/>
                <w:highlight w:val="none"/>
              </w:rPr>
            </w:pPr>
          </w:p>
        </w:tc>
      </w:tr>
      <w:tr w14:paraId="08B4F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jc w:val="center"/>
        </w:trPr>
        <w:tc>
          <w:tcPr>
            <w:tcW w:w="827" w:type="dxa"/>
            <w:tcBorders>
              <w:top w:val="single" w:color="000000" w:sz="4" w:space="0"/>
              <w:left w:val="single" w:color="000000" w:sz="4" w:space="0"/>
              <w:bottom w:val="single" w:color="000000" w:sz="4" w:space="0"/>
              <w:right w:val="single" w:color="000000" w:sz="4" w:space="0"/>
            </w:tcBorders>
            <w:vAlign w:val="center"/>
          </w:tcPr>
          <w:p w14:paraId="6DC0DDD6">
            <w:pPr>
              <w:tabs>
                <w:tab w:val="left" w:pos="720"/>
              </w:tabs>
              <w:snapToGrid w:val="0"/>
              <w:spacing w:line="360" w:lineRule="auto"/>
              <w:jc w:val="center"/>
              <w:rPr>
                <w:rStyle w:val="66"/>
                <w:rFonts w:ascii="宋体" w:hAnsi="宋体"/>
                <w:sz w:val="24"/>
                <w:szCs w:val="24"/>
                <w:highlight w:val="none"/>
              </w:rPr>
            </w:pPr>
            <w:r>
              <w:rPr>
                <w:rStyle w:val="66"/>
                <w:rFonts w:ascii="宋体" w:hAnsi="宋体"/>
                <w:sz w:val="24"/>
                <w:szCs w:val="24"/>
                <w:highlight w:val="none"/>
              </w:rPr>
              <w:t>5</w:t>
            </w:r>
          </w:p>
        </w:tc>
        <w:tc>
          <w:tcPr>
            <w:tcW w:w="1945" w:type="dxa"/>
            <w:tcBorders>
              <w:top w:val="single" w:color="000000" w:sz="4" w:space="0"/>
              <w:left w:val="single" w:color="000000" w:sz="4" w:space="0"/>
              <w:bottom w:val="single" w:color="000000" w:sz="4" w:space="0"/>
              <w:right w:val="single" w:color="000000" w:sz="4" w:space="0"/>
            </w:tcBorders>
            <w:vAlign w:val="center"/>
          </w:tcPr>
          <w:p w14:paraId="1DBE4C86">
            <w:pPr>
              <w:keepNext/>
              <w:keepLines/>
              <w:tabs>
                <w:tab w:val="left" w:pos="720"/>
              </w:tabs>
              <w:snapToGrid w:val="0"/>
              <w:spacing w:before="120" w:after="120" w:line="360" w:lineRule="auto"/>
              <w:ind w:left="-63" w:leftChars="-30" w:right="-63" w:rightChars="-30"/>
              <w:jc w:val="center"/>
              <w:rPr>
                <w:rStyle w:val="66"/>
                <w:rFonts w:ascii="宋体" w:hAnsi="宋体"/>
                <w:sz w:val="24"/>
                <w:szCs w:val="24"/>
                <w:highlight w:val="none"/>
              </w:rPr>
            </w:pPr>
            <w:r>
              <w:rPr>
                <w:rStyle w:val="66"/>
                <w:rFonts w:ascii="宋体" w:hAnsi="宋体"/>
                <w:sz w:val="24"/>
                <w:szCs w:val="24"/>
                <w:highlight w:val="none"/>
              </w:rPr>
              <w:t>…</w:t>
            </w:r>
          </w:p>
        </w:tc>
        <w:tc>
          <w:tcPr>
            <w:tcW w:w="1315" w:type="dxa"/>
            <w:tcBorders>
              <w:top w:val="single" w:color="000000" w:sz="4" w:space="0"/>
              <w:left w:val="single" w:color="000000" w:sz="4" w:space="0"/>
              <w:bottom w:val="single" w:color="000000" w:sz="4" w:space="0"/>
              <w:right w:val="single" w:color="000000" w:sz="4" w:space="0"/>
            </w:tcBorders>
            <w:vAlign w:val="center"/>
          </w:tcPr>
          <w:p w14:paraId="00E2C8A0">
            <w:pPr>
              <w:keepNext/>
              <w:keepLines/>
              <w:tabs>
                <w:tab w:val="left" w:pos="720"/>
              </w:tabs>
              <w:snapToGrid w:val="0"/>
              <w:spacing w:before="120" w:after="120" w:line="360" w:lineRule="auto"/>
              <w:ind w:left="-63" w:leftChars="-30" w:right="-63" w:rightChars="-30"/>
              <w:jc w:val="center"/>
              <w:rPr>
                <w:rStyle w:val="66"/>
                <w:rFonts w:ascii="宋体" w:hAnsi="宋体"/>
                <w:sz w:val="24"/>
                <w:szCs w:val="24"/>
                <w:highlight w:val="none"/>
              </w:rPr>
            </w:pPr>
          </w:p>
        </w:tc>
        <w:tc>
          <w:tcPr>
            <w:tcW w:w="4427" w:type="dxa"/>
            <w:tcBorders>
              <w:top w:val="single" w:color="000000" w:sz="4" w:space="0"/>
              <w:left w:val="single" w:color="000000" w:sz="4" w:space="0"/>
              <w:bottom w:val="single" w:color="000000" w:sz="4" w:space="0"/>
              <w:right w:val="single" w:color="000000" w:sz="4" w:space="0"/>
            </w:tcBorders>
            <w:vAlign w:val="center"/>
          </w:tcPr>
          <w:p w14:paraId="3CCD129F">
            <w:pPr>
              <w:keepNext/>
              <w:keepLines/>
              <w:tabs>
                <w:tab w:val="left" w:pos="720"/>
              </w:tabs>
              <w:snapToGrid w:val="0"/>
              <w:spacing w:before="120" w:after="120" w:line="360" w:lineRule="auto"/>
              <w:ind w:left="-63" w:leftChars="-30" w:right="-63" w:rightChars="-30"/>
              <w:jc w:val="center"/>
              <w:rPr>
                <w:rStyle w:val="66"/>
                <w:rFonts w:ascii="宋体" w:hAnsi="宋体"/>
                <w:sz w:val="24"/>
                <w:szCs w:val="24"/>
                <w:highlight w:val="none"/>
              </w:rPr>
            </w:pPr>
          </w:p>
        </w:tc>
      </w:tr>
      <w:tr w14:paraId="5BB510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jc w:val="center"/>
        </w:trPr>
        <w:tc>
          <w:tcPr>
            <w:tcW w:w="827" w:type="dxa"/>
            <w:tcBorders>
              <w:top w:val="single" w:color="000000" w:sz="4" w:space="0"/>
              <w:left w:val="single" w:color="000000" w:sz="4" w:space="0"/>
              <w:bottom w:val="single" w:color="000000" w:sz="4" w:space="0"/>
              <w:right w:val="single" w:color="000000" w:sz="4" w:space="0"/>
            </w:tcBorders>
            <w:vAlign w:val="center"/>
          </w:tcPr>
          <w:p w14:paraId="6758CEED">
            <w:pPr>
              <w:tabs>
                <w:tab w:val="left" w:pos="720"/>
              </w:tabs>
              <w:snapToGrid w:val="0"/>
              <w:spacing w:line="360" w:lineRule="auto"/>
              <w:jc w:val="center"/>
              <w:rPr>
                <w:rStyle w:val="66"/>
                <w:rFonts w:ascii="宋体" w:hAnsi="宋体"/>
                <w:sz w:val="24"/>
                <w:szCs w:val="24"/>
                <w:highlight w:val="none"/>
              </w:rPr>
            </w:pPr>
            <w:r>
              <w:rPr>
                <w:rStyle w:val="66"/>
                <w:rFonts w:ascii="宋体" w:hAnsi="宋体"/>
                <w:sz w:val="24"/>
                <w:szCs w:val="24"/>
                <w:highlight w:val="none"/>
              </w:rPr>
              <w:t>6</w:t>
            </w:r>
          </w:p>
        </w:tc>
        <w:tc>
          <w:tcPr>
            <w:tcW w:w="1945" w:type="dxa"/>
            <w:tcBorders>
              <w:top w:val="single" w:color="000000" w:sz="4" w:space="0"/>
              <w:left w:val="single" w:color="000000" w:sz="4" w:space="0"/>
              <w:bottom w:val="single" w:color="000000" w:sz="4" w:space="0"/>
              <w:right w:val="single" w:color="000000" w:sz="4" w:space="0"/>
            </w:tcBorders>
            <w:vAlign w:val="center"/>
          </w:tcPr>
          <w:p w14:paraId="16A43051">
            <w:pPr>
              <w:keepNext/>
              <w:keepLines/>
              <w:tabs>
                <w:tab w:val="left" w:pos="720"/>
              </w:tabs>
              <w:snapToGrid w:val="0"/>
              <w:spacing w:before="120" w:after="120" w:line="360" w:lineRule="auto"/>
              <w:ind w:left="-63" w:leftChars="-30" w:right="-63" w:rightChars="-30"/>
              <w:jc w:val="center"/>
              <w:rPr>
                <w:rStyle w:val="66"/>
                <w:rFonts w:ascii="宋体" w:hAnsi="宋体"/>
                <w:sz w:val="24"/>
                <w:szCs w:val="24"/>
                <w:highlight w:val="none"/>
              </w:rPr>
            </w:pPr>
            <w:r>
              <w:rPr>
                <w:rStyle w:val="66"/>
                <w:rFonts w:ascii="宋体" w:hAnsi="宋体"/>
                <w:sz w:val="24"/>
                <w:szCs w:val="24"/>
                <w:highlight w:val="none"/>
              </w:rPr>
              <w:t>…</w:t>
            </w:r>
          </w:p>
        </w:tc>
        <w:tc>
          <w:tcPr>
            <w:tcW w:w="1315" w:type="dxa"/>
            <w:tcBorders>
              <w:top w:val="single" w:color="000000" w:sz="4" w:space="0"/>
              <w:left w:val="single" w:color="000000" w:sz="4" w:space="0"/>
              <w:bottom w:val="single" w:color="000000" w:sz="4" w:space="0"/>
              <w:right w:val="single" w:color="000000" w:sz="4" w:space="0"/>
            </w:tcBorders>
            <w:vAlign w:val="center"/>
          </w:tcPr>
          <w:p w14:paraId="71C52B0C">
            <w:pPr>
              <w:keepNext/>
              <w:keepLines/>
              <w:tabs>
                <w:tab w:val="left" w:pos="720"/>
              </w:tabs>
              <w:snapToGrid w:val="0"/>
              <w:spacing w:before="120" w:after="120" w:line="360" w:lineRule="auto"/>
              <w:ind w:left="-63" w:leftChars="-30" w:right="-63" w:rightChars="-30"/>
              <w:jc w:val="center"/>
              <w:rPr>
                <w:rStyle w:val="66"/>
                <w:rFonts w:ascii="宋体" w:hAnsi="宋体"/>
                <w:sz w:val="24"/>
                <w:szCs w:val="24"/>
                <w:highlight w:val="none"/>
              </w:rPr>
            </w:pPr>
          </w:p>
        </w:tc>
        <w:tc>
          <w:tcPr>
            <w:tcW w:w="4427" w:type="dxa"/>
            <w:tcBorders>
              <w:top w:val="single" w:color="000000" w:sz="4" w:space="0"/>
              <w:left w:val="single" w:color="000000" w:sz="4" w:space="0"/>
              <w:bottom w:val="single" w:color="000000" w:sz="4" w:space="0"/>
              <w:right w:val="single" w:color="000000" w:sz="4" w:space="0"/>
            </w:tcBorders>
            <w:vAlign w:val="center"/>
          </w:tcPr>
          <w:p w14:paraId="3D58013C">
            <w:pPr>
              <w:keepNext/>
              <w:keepLines/>
              <w:tabs>
                <w:tab w:val="left" w:pos="720"/>
              </w:tabs>
              <w:snapToGrid w:val="0"/>
              <w:spacing w:before="120" w:after="120" w:line="360" w:lineRule="auto"/>
              <w:ind w:left="-63" w:leftChars="-30" w:right="-63" w:rightChars="-30"/>
              <w:jc w:val="center"/>
              <w:rPr>
                <w:rStyle w:val="66"/>
                <w:rFonts w:ascii="宋体" w:hAnsi="宋体"/>
                <w:sz w:val="24"/>
                <w:szCs w:val="24"/>
                <w:highlight w:val="none"/>
              </w:rPr>
            </w:pPr>
          </w:p>
        </w:tc>
      </w:tr>
      <w:tr w14:paraId="3A8B0F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jc w:val="center"/>
        </w:trPr>
        <w:tc>
          <w:tcPr>
            <w:tcW w:w="827" w:type="dxa"/>
            <w:tcBorders>
              <w:top w:val="single" w:color="000000" w:sz="4" w:space="0"/>
              <w:left w:val="single" w:color="000000" w:sz="4" w:space="0"/>
              <w:bottom w:val="single" w:color="000000" w:sz="4" w:space="0"/>
              <w:right w:val="single" w:color="000000" w:sz="4" w:space="0"/>
            </w:tcBorders>
            <w:vAlign w:val="center"/>
          </w:tcPr>
          <w:p w14:paraId="4ABFAA2F">
            <w:pPr>
              <w:tabs>
                <w:tab w:val="left" w:pos="720"/>
              </w:tabs>
              <w:snapToGrid w:val="0"/>
              <w:spacing w:line="360" w:lineRule="auto"/>
              <w:jc w:val="center"/>
              <w:rPr>
                <w:rStyle w:val="66"/>
                <w:rFonts w:ascii="宋体" w:hAnsi="宋体"/>
                <w:sz w:val="24"/>
                <w:szCs w:val="24"/>
                <w:highlight w:val="none"/>
              </w:rPr>
            </w:pPr>
            <w:r>
              <w:rPr>
                <w:rStyle w:val="66"/>
                <w:rFonts w:ascii="宋体" w:hAnsi="宋体"/>
                <w:sz w:val="24"/>
                <w:szCs w:val="24"/>
                <w:highlight w:val="none"/>
              </w:rPr>
              <w:t>7</w:t>
            </w:r>
          </w:p>
        </w:tc>
        <w:tc>
          <w:tcPr>
            <w:tcW w:w="1945" w:type="dxa"/>
            <w:tcBorders>
              <w:top w:val="single" w:color="000000" w:sz="4" w:space="0"/>
              <w:left w:val="single" w:color="000000" w:sz="4" w:space="0"/>
              <w:bottom w:val="single" w:color="000000" w:sz="4" w:space="0"/>
              <w:right w:val="single" w:color="000000" w:sz="4" w:space="0"/>
            </w:tcBorders>
            <w:vAlign w:val="center"/>
          </w:tcPr>
          <w:p w14:paraId="61C27986">
            <w:pPr>
              <w:keepNext/>
              <w:keepLines/>
              <w:tabs>
                <w:tab w:val="left" w:pos="720"/>
              </w:tabs>
              <w:snapToGrid w:val="0"/>
              <w:spacing w:before="120" w:after="120" w:line="360" w:lineRule="auto"/>
              <w:ind w:left="-63" w:leftChars="-30" w:right="-63" w:rightChars="-30"/>
              <w:jc w:val="center"/>
              <w:rPr>
                <w:rStyle w:val="66"/>
                <w:rFonts w:ascii="宋体" w:hAnsi="宋体"/>
                <w:sz w:val="24"/>
                <w:szCs w:val="24"/>
                <w:highlight w:val="none"/>
              </w:rPr>
            </w:pPr>
            <w:r>
              <w:rPr>
                <w:rStyle w:val="66"/>
                <w:rFonts w:ascii="宋体" w:hAnsi="宋体"/>
                <w:sz w:val="24"/>
                <w:szCs w:val="24"/>
                <w:highlight w:val="none"/>
              </w:rPr>
              <w:t>…</w:t>
            </w:r>
          </w:p>
        </w:tc>
        <w:tc>
          <w:tcPr>
            <w:tcW w:w="1315" w:type="dxa"/>
            <w:tcBorders>
              <w:top w:val="single" w:color="000000" w:sz="4" w:space="0"/>
              <w:left w:val="single" w:color="000000" w:sz="4" w:space="0"/>
              <w:bottom w:val="single" w:color="000000" w:sz="4" w:space="0"/>
              <w:right w:val="single" w:color="000000" w:sz="4" w:space="0"/>
            </w:tcBorders>
            <w:vAlign w:val="center"/>
          </w:tcPr>
          <w:p w14:paraId="633C2498">
            <w:pPr>
              <w:keepNext/>
              <w:keepLines/>
              <w:tabs>
                <w:tab w:val="left" w:pos="720"/>
              </w:tabs>
              <w:snapToGrid w:val="0"/>
              <w:spacing w:before="120" w:after="120" w:line="360" w:lineRule="auto"/>
              <w:ind w:left="-63" w:leftChars="-30" w:right="-63" w:rightChars="-30"/>
              <w:jc w:val="center"/>
              <w:rPr>
                <w:rStyle w:val="66"/>
                <w:rFonts w:ascii="宋体" w:hAnsi="宋体"/>
                <w:sz w:val="24"/>
                <w:szCs w:val="24"/>
                <w:highlight w:val="none"/>
              </w:rPr>
            </w:pPr>
          </w:p>
        </w:tc>
        <w:tc>
          <w:tcPr>
            <w:tcW w:w="4427" w:type="dxa"/>
            <w:tcBorders>
              <w:top w:val="single" w:color="000000" w:sz="4" w:space="0"/>
              <w:left w:val="single" w:color="000000" w:sz="4" w:space="0"/>
              <w:bottom w:val="single" w:color="000000" w:sz="4" w:space="0"/>
              <w:right w:val="single" w:color="000000" w:sz="4" w:space="0"/>
            </w:tcBorders>
            <w:vAlign w:val="center"/>
          </w:tcPr>
          <w:p w14:paraId="52262A87">
            <w:pPr>
              <w:keepNext/>
              <w:keepLines/>
              <w:tabs>
                <w:tab w:val="left" w:pos="720"/>
              </w:tabs>
              <w:snapToGrid w:val="0"/>
              <w:spacing w:before="120" w:after="120" w:line="360" w:lineRule="auto"/>
              <w:ind w:left="-63" w:leftChars="-30" w:right="-63" w:rightChars="-30"/>
              <w:jc w:val="center"/>
              <w:rPr>
                <w:rStyle w:val="66"/>
                <w:rFonts w:ascii="宋体" w:hAnsi="宋体"/>
                <w:sz w:val="24"/>
                <w:szCs w:val="24"/>
                <w:highlight w:val="none"/>
              </w:rPr>
            </w:pPr>
          </w:p>
        </w:tc>
      </w:tr>
    </w:tbl>
    <w:p w14:paraId="3040362A">
      <w:pPr>
        <w:pStyle w:val="84"/>
        <w:spacing w:line="360" w:lineRule="auto"/>
        <w:rPr>
          <w:rStyle w:val="66"/>
          <w:rFonts w:ascii="宋体" w:hAnsi="宋体"/>
          <w:highlight w:val="none"/>
        </w:rPr>
      </w:pPr>
    </w:p>
    <w:p w14:paraId="006A2852">
      <w:pPr>
        <w:spacing w:line="360" w:lineRule="auto"/>
        <w:rPr>
          <w:rStyle w:val="66"/>
          <w:rFonts w:ascii="宋体" w:hAnsi="宋体"/>
          <w:highlight w:val="none"/>
        </w:rPr>
      </w:pPr>
      <w:r>
        <w:rPr>
          <w:rStyle w:val="66"/>
          <w:rFonts w:ascii="宋体" w:hAnsi="宋体"/>
          <w:highlight w:val="none"/>
        </w:rPr>
        <w:t>备注：1.本表投标单位根据实际情况可进行扩展；</w:t>
      </w:r>
    </w:p>
    <w:p w14:paraId="32C026AB">
      <w:pPr>
        <w:pStyle w:val="84"/>
        <w:spacing w:line="360" w:lineRule="auto"/>
        <w:rPr>
          <w:rStyle w:val="66"/>
          <w:rFonts w:ascii="宋体" w:hAnsi="宋体"/>
          <w:kern w:val="2"/>
          <w:sz w:val="21"/>
          <w:szCs w:val="22"/>
          <w:highlight w:val="none"/>
        </w:rPr>
      </w:pPr>
      <w:r>
        <w:rPr>
          <w:rStyle w:val="66"/>
          <w:rFonts w:ascii="宋体" w:hAnsi="宋体"/>
          <w:kern w:val="2"/>
          <w:sz w:val="21"/>
          <w:szCs w:val="22"/>
          <w:highlight w:val="none"/>
        </w:rPr>
        <w:t xml:space="preserve">      2.后附</w:t>
      </w:r>
      <w:r>
        <w:rPr>
          <w:rStyle w:val="66"/>
          <w:rFonts w:hint="eastAsia" w:ascii="宋体" w:hAnsi="宋体"/>
          <w:kern w:val="2"/>
          <w:sz w:val="21"/>
          <w:szCs w:val="22"/>
          <w:highlight w:val="none"/>
        </w:rPr>
        <w:t>《技术标详细审查评分表》要求的</w:t>
      </w:r>
      <w:r>
        <w:rPr>
          <w:rStyle w:val="66"/>
          <w:rFonts w:ascii="宋体" w:hAnsi="宋体"/>
          <w:kern w:val="2"/>
          <w:sz w:val="21"/>
          <w:szCs w:val="22"/>
          <w:highlight w:val="none"/>
        </w:rPr>
        <w:t>人员相关证明资料。</w:t>
      </w:r>
    </w:p>
    <w:p w14:paraId="48551EE4">
      <w:pPr>
        <w:spacing w:line="360" w:lineRule="auto"/>
        <w:rPr>
          <w:rFonts w:ascii="宋体" w:hAnsi="宋体"/>
          <w:highlight w:val="none"/>
        </w:rPr>
      </w:pPr>
    </w:p>
    <w:p w14:paraId="3382BB90">
      <w:pPr>
        <w:pStyle w:val="113"/>
        <w:rPr>
          <w:rFonts w:ascii="宋体" w:hAnsi="宋体"/>
          <w:highlight w:val="none"/>
        </w:rPr>
      </w:pPr>
    </w:p>
    <w:p w14:paraId="7F5AA333">
      <w:pPr>
        <w:rPr>
          <w:rStyle w:val="66"/>
          <w:rFonts w:ascii="宋体" w:hAnsi="宋体"/>
          <w:highlight w:val="none"/>
        </w:rPr>
      </w:pPr>
    </w:p>
    <w:p w14:paraId="1C0A6C16">
      <w:pPr>
        <w:jc w:val="left"/>
        <w:textAlignment w:val="auto"/>
        <w:rPr>
          <w:rStyle w:val="66"/>
          <w:rFonts w:ascii="宋体" w:hAnsi="宋体"/>
          <w:highlight w:val="none"/>
        </w:rPr>
      </w:pPr>
      <w:r>
        <w:rPr>
          <w:rStyle w:val="66"/>
          <w:rFonts w:ascii="宋体" w:hAnsi="宋体"/>
          <w:highlight w:val="none"/>
        </w:rPr>
        <w:br w:type="page"/>
      </w:r>
    </w:p>
    <w:p w14:paraId="2077F9F7">
      <w:pPr>
        <w:spacing w:line="360" w:lineRule="auto"/>
        <w:rPr>
          <w:rStyle w:val="66"/>
          <w:rFonts w:ascii="宋体" w:hAnsi="宋体"/>
          <w:b/>
          <w:sz w:val="24"/>
          <w:szCs w:val="24"/>
          <w:highlight w:val="none"/>
        </w:rPr>
      </w:pPr>
      <w:r>
        <w:rPr>
          <w:rStyle w:val="66"/>
          <w:rFonts w:ascii="宋体" w:hAnsi="宋体"/>
          <w:b/>
          <w:sz w:val="24"/>
          <w:szCs w:val="24"/>
          <w:highlight w:val="none"/>
        </w:rPr>
        <w:t>格式</w:t>
      </w:r>
      <w:r>
        <w:rPr>
          <w:rStyle w:val="66"/>
          <w:rFonts w:hint="eastAsia" w:ascii="宋体" w:hAnsi="宋体"/>
          <w:b/>
          <w:sz w:val="24"/>
          <w:szCs w:val="24"/>
          <w:highlight w:val="none"/>
        </w:rPr>
        <w:t>三</w:t>
      </w:r>
    </w:p>
    <w:p w14:paraId="5CD3302B">
      <w:pPr>
        <w:rPr>
          <w:rStyle w:val="66"/>
          <w:rFonts w:ascii="宋体" w:hAnsi="宋体"/>
          <w:b/>
          <w:highlight w:val="none"/>
        </w:rPr>
      </w:pPr>
    </w:p>
    <w:p w14:paraId="5996192B">
      <w:pPr>
        <w:topLinePunct/>
        <w:snapToGrid w:val="0"/>
        <w:spacing w:after="200" w:line="360" w:lineRule="auto"/>
        <w:ind w:firstLine="420"/>
        <w:jc w:val="center"/>
        <w:rPr>
          <w:rStyle w:val="66"/>
          <w:rFonts w:ascii="宋体" w:hAnsi="宋体"/>
          <w:b/>
          <w:bCs/>
          <w:spacing w:val="4"/>
          <w:kern w:val="0"/>
          <w:sz w:val="30"/>
          <w:szCs w:val="30"/>
          <w:highlight w:val="none"/>
        </w:rPr>
      </w:pPr>
      <w:r>
        <w:rPr>
          <w:rStyle w:val="66"/>
          <w:rFonts w:ascii="宋体" w:hAnsi="宋体"/>
          <w:b/>
          <w:bCs/>
          <w:spacing w:val="4"/>
          <w:kern w:val="0"/>
          <w:sz w:val="30"/>
          <w:szCs w:val="30"/>
          <w:highlight w:val="none"/>
        </w:rPr>
        <w:t>参与编制技术标投标文件人员名单</w:t>
      </w:r>
    </w:p>
    <w:tbl>
      <w:tblPr>
        <w:tblStyle w:val="2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3"/>
        <w:gridCol w:w="1372"/>
        <w:gridCol w:w="2353"/>
        <w:gridCol w:w="2256"/>
        <w:gridCol w:w="1350"/>
      </w:tblGrid>
      <w:tr w14:paraId="21B01A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8514" w:type="dxa"/>
            <w:gridSpan w:val="5"/>
            <w:tcBorders>
              <w:top w:val="single" w:color="000000" w:sz="4" w:space="0"/>
              <w:left w:val="single" w:color="000000" w:sz="4" w:space="0"/>
              <w:bottom w:val="single" w:color="000000" w:sz="4" w:space="0"/>
              <w:right w:val="single" w:color="000000" w:sz="4" w:space="0"/>
            </w:tcBorders>
            <w:vAlign w:val="center"/>
          </w:tcPr>
          <w:p w14:paraId="60425907">
            <w:pPr>
              <w:tabs>
                <w:tab w:val="left" w:pos="720"/>
              </w:tabs>
              <w:snapToGrid w:val="0"/>
              <w:spacing w:line="360" w:lineRule="auto"/>
              <w:jc w:val="center"/>
              <w:rPr>
                <w:rStyle w:val="66"/>
                <w:rFonts w:ascii="宋体" w:hAnsi="宋体"/>
                <w:sz w:val="24"/>
                <w:szCs w:val="24"/>
                <w:highlight w:val="none"/>
              </w:rPr>
            </w:pPr>
            <w:r>
              <w:rPr>
                <w:rStyle w:val="66"/>
                <w:rFonts w:ascii="宋体" w:hAnsi="宋体"/>
                <w:sz w:val="24"/>
                <w:szCs w:val="24"/>
                <w:highlight w:val="none"/>
              </w:rPr>
              <w:t>投标单位名称</w:t>
            </w:r>
          </w:p>
        </w:tc>
      </w:tr>
      <w:tr w14:paraId="657C4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1183" w:type="dxa"/>
            <w:tcBorders>
              <w:top w:val="single" w:color="000000" w:sz="4" w:space="0"/>
              <w:left w:val="single" w:color="000000" w:sz="4" w:space="0"/>
              <w:bottom w:val="single" w:color="000000" w:sz="4" w:space="0"/>
              <w:right w:val="single" w:color="000000" w:sz="4" w:space="0"/>
            </w:tcBorders>
            <w:vAlign w:val="center"/>
          </w:tcPr>
          <w:p w14:paraId="7AAA9CF1">
            <w:pPr>
              <w:tabs>
                <w:tab w:val="left" w:pos="720"/>
              </w:tabs>
              <w:snapToGrid w:val="0"/>
              <w:spacing w:line="360" w:lineRule="auto"/>
              <w:jc w:val="center"/>
              <w:rPr>
                <w:rStyle w:val="66"/>
                <w:rFonts w:ascii="宋体" w:hAnsi="宋体"/>
                <w:sz w:val="24"/>
                <w:szCs w:val="24"/>
                <w:highlight w:val="none"/>
              </w:rPr>
            </w:pPr>
            <w:r>
              <w:rPr>
                <w:rStyle w:val="66"/>
                <w:rFonts w:ascii="宋体" w:hAnsi="宋体"/>
                <w:sz w:val="24"/>
                <w:szCs w:val="24"/>
                <w:highlight w:val="none"/>
              </w:rPr>
              <w:t>姓名</w:t>
            </w:r>
          </w:p>
        </w:tc>
        <w:tc>
          <w:tcPr>
            <w:tcW w:w="1372" w:type="dxa"/>
            <w:tcBorders>
              <w:top w:val="single" w:color="000000" w:sz="4" w:space="0"/>
              <w:left w:val="single" w:color="000000" w:sz="4" w:space="0"/>
              <w:bottom w:val="single" w:color="000000" w:sz="4" w:space="0"/>
              <w:right w:val="single" w:color="000000" w:sz="4" w:space="0"/>
            </w:tcBorders>
            <w:vAlign w:val="center"/>
          </w:tcPr>
          <w:p w14:paraId="36B92C2B">
            <w:pPr>
              <w:tabs>
                <w:tab w:val="left" w:pos="720"/>
              </w:tabs>
              <w:snapToGrid w:val="0"/>
              <w:spacing w:line="360" w:lineRule="auto"/>
              <w:jc w:val="center"/>
              <w:rPr>
                <w:rStyle w:val="66"/>
                <w:rFonts w:ascii="宋体" w:hAnsi="宋体"/>
                <w:sz w:val="24"/>
                <w:szCs w:val="24"/>
                <w:highlight w:val="none"/>
              </w:rPr>
            </w:pPr>
            <w:r>
              <w:rPr>
                <w:rStyle w:val="66"/>
                <w:rFonts w:ascii="宋体" w:hAnsi="宋体"/>
                <w:sz w:val="24"/>
                <w:szCs w:val="24"/>
                <w:highlight w:val="none"/>
              </w:rPr>
              <w:t>职务</w:t>
            </w:r>
          </w:p>
        </w:tc>
        <w:tc>
          <w:tcPr>
            <w:tcW w:w="2353" w:type="dxa"/>
            <w:tcBorders>
              <w:top w:val="single" w:color="000000" w:sz="4" w:space="0"/>
              <w:left w:val="single" w:color="000000" w:sz="4" w:space="0"/>
              <w:bottom w:val="single" w:color="000000" w:sz="4" w:space="0"/>
              <w:right w:val="single" w:color="000000" w:sz="4" w:space="0"/>
            </w:tcBorders>
            <w:vAlign w:val="center"/>
          </w:tcPr>
          <w:p w14:paraId="059E0E73">
            <w:pPr>
              <w:tabs>
                <w:tab w:val="left" w:pos="720"/>
              </w:tabs>
              <w:snapToGrid w:val="0"/>
              <w:spacing w:line="360" w:lineRule="auto"/>
              <w:jc w:val="center"/>
              <w:rPr>
                <w:rStyle w:val="66"/>
                <w:rFonts w:ascii="宋体" w:hAnsi="宋体"/>
                <w:sz w:val="24"/>
                <w:szCs w:val="24"/>
                <w:highlight w:val="none"/>
              </w:rPr>
            </w:pPr>
            <w:r>
              <w:rPr>
                <w:rStyle w:val="66"/>
                <w:rFonts w:ascii="宋体" w:hAnsi="宋体"/>
                <w:sz w:val="24"/>
                <w:szCs w:val="24"/>
                <w:highlight w:val="none"/>
              </w:rPr>
              <w:t>所承担工作</w:t>
            </w:r>
          </w:p>
        </w:tc>
        <w:tc>
          <w:tcPr>
            <w:tcW w:w="2256" w:type="dxa"/>
            <w:tcBorders>
              <w:top w:val="single" w:color="000000" w:sz="4" w:space="0"/>
              <w:left w:val="single" w:color="000000" w:sz="4" w:space="0"/>
              <w:bottom w:val="single" w:color="000000" w:sz="4" w:space="0"/>
              <w:right w:val="single" w:color="000000" w:sz="4" w:space="0"/>
            </w:tcBorders>
            <w:vAlign w:val="center"/>
          </w:tcPr>
          <w:p w14:paraId="4884B0DA">
            <w:pPr>
              <w:tabs>
                <w:tab w:val="left" w:pos="720"/>
              </w:tabs>
              <w:snapToGrid w:val="0"/>
              <w:spacing w:line="360" w:lineRule="auto"/>
              <w:jc w:val="center"/>
              <w:rPr>
                <w:rStyle w:val="66"/>
                <w:rFonts w:ascii="宋体" w:hAnsi="宋体"/>
                <w:sz w:val="24"/>
                <w:szCs w:val="24"/>
                <w:highlight w:val="none"/>
              </w:rPr>
            </w:pPr>
            <w:r>
              <w:rPr>
                <w:rStyle w:val="66"/>
                <w:rFonts w:ascii="宋体" w:hAnsi="宋体"/>
                <w:sz w:val="24"/>
                <w:szCs w:val="24"/>
                <w:highlight w:val="none"/>
              </w:rPr>
              <w:t>身份证号码</w:t>
            </w:r>
          </w:p>
        </w:tc>
        <w:tc>
          <w:tcPr>
            <w:tcW w:w="1350" w:type="dxa"/>
            <w:tcBorders>
              <w:top w:val="single" w:color="000000" w:sz="4" w:space="0"/>
              <w:left w:val="single" w:color="000000" w:sz="4" w:space="0"/>
              <w:bottom w:val="single" w:color="000000" w:sz="4" w:space="0"/>
              <w:right w:val="single" w:color="000000" w:sz="4" w:space="0"/>
            </w:tcBorders>
            <w:vAlign w:val="center"/>
          </w:tcPr>
          <w:p w14:paraId="19446E49">
            <w:pPr>
              <w:tabs>
                <w:tab w:val="left" w:pos="720"/>
              </w:tabs>
              <w:snapToGrid w:val="0"/>
              <w:spacing w:line="360" w:lineRule="auto"/>
              <w:jc w:val="center"/>
              <w:rPr>
                <w:rStyle w:val="66"/>
                <w:rFonts w:ascii="宋体" w:hAnsi="宋体"/>
                <w:sz w:val="24"/>
                <w:szCs w:val="24"/>
                <w:highlight w:val="none"/>
              </w:rPr>
            </w:pPr>
            <w:r>
              <w:rPr>
                <w:rStyle w:val="66"/>
                <w:rFonts w:ascii="宋体" w:hAnsi="宋体"/>
                <w:sz w:val="24"/>
                <w:szCs w:val="24"/>
                <w:highlight w:val="none"/>
              </w:rPr>
              <w:t>本人签名栏</w:t>
            </w:r>
          </w:p>
        </w:tc>
      </w:tr>
      <w:tr w14:paraId="12281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183" w:type="dxa"/>
            <w:tcBorders>
              <w:top w:val="single" w:color="000000" w:sz="4" w:space="0"/>
              <w:left w:val="single" w:color="000000" w:sz="4" w:space="0"/>
              <w:bottom w:val="single" w:color="000000" w:sz="4" w:space="0"/>
              <w:right w:val="single" w:color="000000" w:sz="4" w:space="0"/>
            </w:tcBorders>
            <w:vAlign w:val="center"/>
          </w:tcPr>
          <w:p w14:paraId="2205B9A5">
            <w:pPr>
              <w:tabs>
                <w:tab w:val="left" w:pos="720"/>
              </w:tabs>
              <w:snapToGrid w:val="0"/>
              <w:spacing w:line="360" w:lineRule="auto"/>
              <w:jc w:val="center"/>
              <w:rPr>
                <w:rStyle w:val="66"/>
                <w:rFonts w:ascii="宋体" w:hAnsi="宋体"/>
                <w:sz w:val="24"/>
                <w:szCs w:val="24"/>
                <w:highlight w:val="none"/>
              </w:rPr>
            </w:pPr>
          </w:p>
        </w:tc>
        <w:tc>
          <w:tcPr>
            <w:tcW w:w="1372" w:type="dxa"/>
            <w:tcBorders>
              <w:top w:val="single" w:color="000000" w:sz="4" w:space="0"/>
              <w:left w:val="single" w:color="000000" w:sz="4" w:space="0"/>
              <w:bottom w:val="single" w:color="000000" w:sz="4" w:space="0"/>
              <w:right w:val="single" w:color="000000" w:sz="4" w:space="0"/>
            </w:tcBorders>
            <w:vAlign w:val="center"/>
          </w:tcPr>
          <w:p w14:paraId="0BC33D24">
            <w:pPr>
              <w:tabs>
                <w:tab w:val="left" w:pos="720"/>
              </w:tabs>
              <w:snapToGrid w:val="0"/>
              <w:spacing w:line="360" w:lineRule="auto"/>
              <w:jc w:val="center"/>
              <w:rPr>
                <w:rStyle w:val="66"/>
                <w:rFonts w:ascii="宋体" w:hAnsi="宋体"/>
                <w:sz w:val="24"/>
                <w:szCs w:val="24"/>
                <w:highlight w:val="none"/>
              </w:rPr>
            </w:pPr>
          </w:p>
        </w:tc>
        <w:tc>
          <w:tcPr>
            <w:tcW w:w="2353" w:type="dxa"/>
            <w:tcBorders>
              <w:top w:val="single" w:color="000000" w:sz="4" w:space="0"/>
              <w:left w:val="single" w:color="000000" w:sz="4" w:space="0"/>
              <w:bottom w:val="single" w:color="000000" w:sz="4" w:space="0"/>
              <w:right w:val="single" w:color="000000" w:sz="4" w:space="0"/>
            </w:tcBorders>
            <w:vAlign w:val="center"/>
          </w:tcPr>
          <w:p w14:paraId="08D290BD">
            <w:pPr>
              <w:tabs>
                <w:tab w:val="left" w:pos="720"/>
              </w:tabs>
              <w:snapToGrid w:val="0"/>
              <w:spacing w:line="360" w:lineRule="auto"/>
              <w:jc w:val="center"/>
              <w:rPr>
                <w:rStyle w:val="66"/>
                <w:rFonts w:ascii="宋体" w:hAnsi="宋体"/>
                <w:sz w:val="24"/>
                <w:szCs w:val="24"/>
                <w:highlight w:val="none"/>
              </w:rPr>
            </w:pPr>
          </w:p>
        </w:tc>
        <w:tc>
          <w:tcPr>
            <w:tcW w:w="2256" w:type="dxa"/>
            <w:tcBorders>
              <w:top w:val="single" w:color="000000" w:sz="4" w:space="0"/>
              <w:left w:val="single" w:color="000000" w:sz="4" w:space="0"/>
              <w:bottom w:val="single" w:color="000000" w:sz="4" w:space="0"/>
              <w:right w:val="single" w:color="000000" w:sz="4" w:space="0"/>
            </w:tcBorders>
            <w:vAlign w:val="center"/>
          </w:tcPr>
          <w:p w14:paraId="79B7F2F4">
            <w:pPr>
              <w:tabs>
                <w:tab w:val="left" w:pos="720"/>
              </w:tabs>
              <w:snapToGrid w:val="0"/>
              <w:spacing w:line="360" w:lineRule="auto"/>
              <w:jc w:val="center"/>
              <w:rPr>
                <w:rStyle w:val="66"/>
                <w:rFonts w:ascii="宋体" w:hAnsi="宋体"/>
                <w:sz w:val="24"/>
                <w:szCs w:val="24"/>
                <w:highlight w:val="none"/>
              </w:rPr>
            </w:pPr>
          </w:p>
        </w:tc>
        <w:tc>
          <w:tcPr>
            <w:tcW w:w="1350" w:type="dxa"/>
            <w:tcBorders>
              <w:top w:val="single" w:color="000000" w:sz="4" w:space="0"/>
              <w:left w:val="single" w:color="000000" w:sz="4" w:space="0"/>
              <w:bottom w:val="single" w:color="000000" w:sz="4" w:space="0"/>
              <w:right w:val="single" w:color="000000" w:sz="4" w:space="0"/>
            </w:tcBorders>
            <w:vAlign w:val="center"/>
          </w:tcPr>
          <w:p w14:paraId="6A667577">
            <w:pPr>
              <w:tabs>
                <w:tab w:val="left" w:pos="720"/>
              </w:tabs>
              <w:snapToGrid w:val="0"/>
              <w:spacing w:line="360" w:lineRule="auto"/>
              <w:jc w:val="center"/>
              <w:rPr>
                <w:rStyle w:val="66"/>
                <w:rFonts w:ascii="宋体" w:hAnsi="宋体"/>
                <w:sz w:val="24"/>
                <w:szCs w:val="24"/>
                <w:highlight w:val="none"/>
              </w:rPr>
            </w:pPr>
          </w:p>
        </w:tc>
      </w:tr>
      <w:tr w14:paraId="7CD1F6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183" w:type="dxa"/>
            <w:tcBorders>
              <w:top w:val="single" w:color="000000" w:sz="4" w:space="0"/>
              <w:left w:val="single" w:color="000000" w:sz="4" w:space="0"/>
              <w:bottom w:val="single" w:color="000000" w:sz="4" w:space="0"/>
              <w:right w:val="single" w:color="000000" w:sz="4" w:space="0"/>
            </w:tcBorders>
            <w:vAlign w:val="center"/>
          </w:tcPr>
          <w:p w14:paraId="5C53CEDF">
            <w:pPr>
              <w:tabs>
                <w:tab w:val="left" w:pos="720"/>
              </w:tabs>
              <w:snapToGrid w:val="0"/>
              <w:spacing w:line="360" w:lineRule="auto"/>
              <w:jc w:val="center"/>
              <w:rPr>
                <w:rStyle w:val="66"/>
                <w:rFonts w:ascii="宋体" w:hAnsi="宋体"/>
                <w:sz w:val="24"/>
                <w:szCs w:val="24"/>
                <w:highlight w:val="none"/>
              </w:rPr>
            </w:pPr>
          </w:p>
        </w:tc>
        <w:tc>
          <w:tcPr>
            <w:tcW w:w="1372" w:type="dxa"/>
            <w:tcBorders>
              <w:top w:val="single" w:color="000000" w:sz="4" w:space="0"/>
              <w:left w:val="single" w:color="000000" w:sz="4" w:space="0"/>
              <w:bottom w:val="single" w:color="000000" w:sz="4" w:space="0"/>
              <w:right w:val="single" w:color="000000" w:sz="4" w:space="0"/>
            </w:tcBorders>
            <w:vAlign w:val="center"/>
          </w:tcPr>
          <w:p w14:paraId="115752FA">
            <w:pPr>
              <w:tabs>
                <w:tab w:val="left" w:pos="720"/>
              </w:tabs>
              <w:snapToGrid w:val="0"/>
              <w:spacing w:line="360" w:lineRule="auto"/>
              <w:jc w:val="center"/>
              <w:rPr>
                <w:rStyle w:val="66"/>
                <w:rFonts w:ascii="宋体" w:hAnsi="宋体"/>
                <w:sz w:val="24"/>
                <w:szCs w:val="24"/>
                <w:highlight w:val="none"/>
              </w:rPr>
            </w:pPr>
          </w:p>
        </w:tc>
        <w:tc>
          <w:tcPr>
            <w:tcW w:w="2353" w:type="dxa"/>
            <w:tcBorders>
              <w:top w:val="single" w:color="000000" w:sz="4" w:space="0"/>
              <w:left w:val="single" w:color="000000" w:sz="4" w:space="0"/>
              <w:bottom w:val="single" w:color="000000" w:sz="4" w:space="0"/>
              <w:right w:val="single" w:color="000000" w:sz="4" w:space="0"/>
            </w:tcBorders>
            <w:vAlign w:val="center"/>
          </w:tcPr>
          <w:p w14:paraId="6664F4E0">
            <w:pPr>
              <w:tabs>
                <w:tab w:val="left" w:pos="720"/>
              </w:tabs>
              <w:snapToGrid w:val="0"/>
              <w:spacing w:line="360" w:lineRule="auto"/>
              <w:jc w:val="center"/>
              <w:rPr>
                <w:rStyle w:val="66"/>
                <w:rFonts w:ascii="宋体" w:hAnsi="宋体"/>
                <w:sz w:val="24"/>
                <w:szCs w:val="24"/>
                <w:highlight w:val="none"/>
              </w:rPr>
            </w:pPr>
          </w:p>
        </w:tc>
        <w:tc>
          <w:tcPr>
            <w:tcW w:w="2256" w:type="dxa"/>
            <w:tcBorders>
              <w:top w:val="single" w:color="000000" w:sz="4" w:space="0"/>
              <w:left w:val="single" w:color="000000" w:sz="4" w:space="0"/>
              <w:bottom w:val="single" w:color="000000" w:sz="4" w:space="0"/>
              <w:right w:val="single" w:color="000000" w:sz="4" w:space="0"/>
            </w:tcBorders>
            <w:vAlign w:val="center"/>
          </w:tcPr>
          <w:p w14:paraId="7CE1BBA9">
            <w:pPr>
              <w:tabs>
                <w:tab w:val="left" w:pos="720"/>
              </w:tabs>
              <w:snapToGrid w:val="0"/>
              <w:spacing w:line="360" w:lineRule="auto"/>
              <w:jc w:val="center"/>
              <w:rPr>
                <w:rStyle w:val="66"/>
                <w:rFonts w:ascii="宋体" w:hAnsi="宋体"/>
                <w:sz w:val="24"/>
                <w:szCs w:val="24"/>
                <w:highlight w:val="none"/>
              </w:rPr>
            </w:pPr>
          </w:p>
        </w:tc>
        <w:tc>
          <w:tcPr>
            <w:tcW w:w="1350" w:type="dxa"/>
            <w:tcBorders>
              <w:top w:val="single" w:color="000000" w:sz="4" w:space="0"/>
              <w:left w:val="single" w:color="000000" w:sz="4" w:space="0"/>
              <w:bottom w:val="single" w:color="000000" w:sz="4" w:space="0"/>
              <w:right w:val="single" w:color="000000" w:sz="4" w:space="0"/>
            </w:tcBorders>
            <w:vAlign w:val="center"/>
          </w:tcPr>
          <w:p w14:paraId="14AEB6BE">
            <w:pPr>
              <w:tabs>
                <w:tab w:val="left" w:pos="720"/>
              </w:tabs>
              <w:snapToGrid w:val="0"/>
              <w:spacing w:line="360" w:lineRule="auto"/>
              <w:jc w:val="center"/>
              <w:rPr>
                <w:rStyle w:val="66"/>
                <w:rFonts w:ascii="宋体" w:hAnsi="宋体"/>
                <w:sz w:val="24"/>
                <w:szCs w:val="24"/>
                <w:highlight w:val="none"/>
              </w:rPr>
            </w:pPr>
          </w:p>
        </w:tc>
      </w:tr>
      <w:tr w14:paraId="217EA0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183" w:type="dxa"/>
            <w:tcBorders>
              <w:top w:val="single" w:color="000000" w:sz="4" w:space="0"/>
              <w:left w:val="single" w:color="000000" w:sz="4" w:space="0"/>
              <w:bottom w:val="single" w:color="000000" w:sz="4" w:space="0"/>
              <w:right w:val="single" w:color="000000" w:sz="4" w:space="0"/>
            </w:tcBorders>
            <w:vAlign w:val="center"/>
          </w:tcPr>
          <w:p w14:paraId="67031F54">
            <w:pPr>
              <w:tabs>
                <w:tab w:val="left" w:pos="720"/>
              </w:tabs>
              <w:snapToGrid w:val="0"/>
              <w:spacing w:line="360" w:lineRule="auto"/>
              <w:jc w:val="center"/>
              <w:rPr>
                <w:rStyle w:val="66"/>
                <w:rFonts w:ascii="宋体" w:hAnsi="宋体"/>
                <w:sz w:val="24"/>
                <w:szCs w:val="24"/>
                <w:highlight w:val="none"/>
              </w:rPr>
            </w:pPr>
          </w:p>
        </w:tc>
        <w:tc>
          <w:tcPr>
            <w:tcW w:w="1372" w:type="dxa"/>
            <w:tcBorders>
              <w:top w:val="single" w:color="000000" w:sz="4" w:space="0"/>
              <w:left w:val="single" w:color="000000" w:sz="4" w:space="0"/>
              <w:bottom w:val="single" w:color="000000" w:sz="4" w:space="0"/>
              <w:right w:val="single" w:color="000000" w:sz="4" w:space="0"/>
            </w:tcBorders>
            <w:vAlign w:val="center"/>
          </w:tcPr>
          <w:p w14:paraId="2F764FD2">
            <w:pPr>
              <w:tabs>
                <w:tab w:val="left" w:pos="720"/>
              </w:tabs>
              <w:snapToGrid w:val="0"/>
              <w:spacing w:line="360" w:lineRule="auto"/>
              <w:jc w:val="center"/>
              <w:rPr>
                <w:rStyle w:val="66"/>
                <w:rFonts w:ascii="宋体" w:hAnsi="宋体"/>
                <w:sz w:val="24"/>
                <w:szCs w:val="24"/>
                <w:highlight w:val="none"/>
              </w:rPr>
            </w:pPr>
          </w:p>
        </w:tc>
        <w:tc>
          <w:tcPr>
            <w:tcW w:w="2353" w:type="dxa"/>
            <w:tcBorders>
              <w:top w:val="single" w:color="000000" w:sz="4" w:space="0"/>
              <w:left w:val="single" w:color="000000" w:sz="4" w:space="0"/>
              <w:bottom w:val="single" w:color="000000" w:sz="4" w:space="0"/>
              <w:right w:val="single" w:color="000000" w:sz="4" w:space="0"/>
            </w:tcBorders>
            <w:vAlign w:val="center"/>
          </w:tcPr>
          <w:p w14:paraId="23230B28">
            <w:pPr>
              <w:tabs>
                <w:tab w:val="left" w:pos="720"/>
              </w:tabs>
              <w:snapToGrid w:val="0"/>
              <w:spacing w:line="360" w:lineRule="auto"/>
              <w:jc w:val="center"/>
              <w:rPr>
                <w:rStyle w:val="66"/>
                <w:rFonts w:ascii="宋体" w:hAnsi="宋体"/>
                <w:sz w:val="24"/>
                <w:szCs w:val="24"/>
                <w:highlight w:val="none"/>
              </w:rPr>
            </w:pPr>
          </w:p>
        </w:tc>
        <w:tc>
          <w:tcPr>
            <w:tcW w:w="2256" w:type="dxa"/>
            <w:tcBorders>
              <w:top w:val="single" w:color="000000" w:sz="4" w:space="0"/>
              <w:left w:val="single" w:color="000000" w:sz="4" w:space="0"/>
              <w:bottom w:val="single" w:color="000000" w:sz="4" w:space="0"/>
              <w:right w:val="single" w:color="000000" w:sz="4" w:space="0"/>
            </w:tcBorders>
            <w:vAlign w:val="center"/>
          </w:tcPr>
          <w:p w14:paraId="40D9D289">
            <w:pPr>
              <w:tabs>
                <w:tab w:val="left" w:pos="720"/>
              </w:tabs>
              <w:snapToGrid w:val="0"/>
              <w:spacing w:line="360" w:lineRule="auto"/>
              <w:jc w:val="center"/>
              <w:rPr>
                <w:rStyle w:val="66"/>
                <w:rFonts w:ascii="宋体" w:hAnsi="宋体"/>
                <w:sz w:val="24"/>
                <w:szCs w:val="24"/>
                <w:highlight w:val="none"/>
              </w:rPr>
            </w:pPr>
          </w:p>
        </w:tc>
        <w:tc>
          <w:tcPr>
            <w:tcW w:w="1350" w:type="dxa"/>
            <w:tcBorders>
              <w:top w:val="single" w:color="000000" w:sz="4" w:space="0"/>
              <w:left w:val="single" w:color="000000" w:sz="4" w:space="0"/>
              <w:bottom w:val="single" w:color="000000" w:sz="4" w:space="0"/>
              <w:right w:val="single" w:color="000000" w:sz="4" w:space="0"/>
            </w:tcBorders>
            <w:vAlign w:val="center"/>
          </w:tcPr>
          <w:p w14:paraId="44DE3202">
            <w:pPr>
              <w:tabs>
                <w:tab w:val="left" w:pos="720"/>
              </w:tabs>
              <w:snapToGrid w:val="0"/>
              <w:spacing w:line="360" w:lineRule="auto"/>
              <w:jc w:val="center"/>
              <w:rPr>
                <w:rStyle w:val="66"/>
                <w:rFonts w:ascii="宋体" w:hAnsi="宋体"/>
                <w:sz w:val="24"/>
                <w:szCs w:val="24"/>
                <w:highlight w:val="none"/>
              </w:rPr>
            </w:pPr>
          </w:p>
        </w:tc>
      </w:tr>
      <w:tr w14:paraId="7AD7D5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183" w:type="dxa"/>
            <w:tcBorders>
              <w:top w:val="single" w:color="000000" w:sz="4" w:space="0"/>
              <w:left w:val="single" w:color="000000" w:sz="4" w:space="0"/>
              <w:bottom w:val="single" w:color="000000" w:sz="4" w:space="0"/>
              <w:right w:val="single" w:color="000000" w:sz="4" w:space="0"/>
            </w:tcBorders>
            <w:vAlign w:val="center"/>
          </w:tcPr>
          <w:p w14:paraId="10F0A625">
            <w:pPr>
              <w:tabs>
                <w:tab w:val="left" w:pos="720"/>
              </w:tabs>
              <w:snapToGrid w:val="0"/>
              <w:spacing w:line="360" w:lineRule="auto"/>
              <w:jc w:val="center"/>
              <w:rPr>
                <w:rStyle w:val="66"/>
                <w:rFonts w:ascii="宋体" w:hAnsi="宋体"/>
                <w:sz w:val="24"/>
                <w:szCs w:val="24"/>
                <w:highlight w:val="none"/>
              </w:rPr>
            </w:pPr>
          </w:p>
        </w:tc>
        <w:tc>
          <w:tcPr>
            <w:tcW w:w="1372" w:type="dxa"/>
            <w:tcBorders>
              <w:top w:val="single" w:color="000000" w:sz="4" w:space="0"/>
              <w:left w:val="single" w:color="000000" w:sz="4" w:space="0"/>
              <w:bottom w:val="single" w:color="000000" w:sz="4" w:space="0"/>
              <w:right w:val="single" w:color="000000" w:sz="4" w:space="0"/>
            </w:tcBorders>
            <w:vAlign w:val="center"/>
          </w:tcPr>
          <w:p w14:paraId="4066B8AD">
            <w:pPr>
              <w:tabs>
                <w:tab w:val="left" w:pos="720"/>
              </w:tabs>
              <w:snapToGrid w:val="0"/>
              <w:spacing w:line="360" w:lineRule="auto"/>
              <w:jc w:val="center"/>
              <w:rPr>
                <w:rStyle w:val="66"/>
                <w:rFonts w:ascii="宋体" w:hAnsi="宋体"/>
                <w:sz w:val="24"/>
                <w:szCs w:val="24"/>
                <w:highlight w:val="none"/>
              </w:rPr>
            </w:pPr>
          </w:p>
        </w:tc>
        <w:tc>
          <w:tcPr>
            <w:tcW w:w="2353" w:type="dxa"/>
            <w:tcBorders>
              <w:top w:val="single" w:color="000000" w:sz="4" w:space="0"/>
              <w:left w:val="single" w:color="000000" w:sz="4" w:space="0"/>
              <w:bottom w:val="single" w:color="000000" w:sz="4" w:space="0"/>
              <w:right w:val="single" w:color="000000" w:sz="4" w:space="0"/>
            </w:tcBorders>
            <w:vAlign w:val="center"/>
          </w:tcPr>
          <w:p w14:paraId="79D9E7EF">
            <w:pPr>
              <w:tabs>
                <w:tab w:val="left" w:pos="720"/>
              </w:tabs>
              <w:snapToGrid w:val="0"/>
              <w:spacing w:line="360" w:lineRule="auto"/>
              <w:jc w:val="center"/>
              <w:rPr>
                <w:rStyle w:val="66"/>
                <w:rFonts w:ascii="宋体" w:hAnsi="宋体"/>
                <w:sz w:val="24"/>
                <w:szCs w:val="24"/>
                <w:highlight w:val="none"/>
              </w:rPr>
            </w:pPr>
          </w:p>
        </w:tc>
        <w:tc>
          <w:tcPr>
            <w:tcW w:w="2256" w:type="dxa"/>
            <w:tcBorders>
              <w:top w:val="single" w:color="000000" w:sz="4" w:space="0"/>
              <w:left w:val="single" w:color="000000" w:sz="4" w:space="0"/>
              <w:bottom w:val="single" w:color="000000" w:sz="4" w:space="0"/>
              <w:right w:val="single" w:color="000000" w:sz="4" w:space="0"/>
            </w:tcBorders>
            <w:vAlign w:val="center"/>
          </w:tcPr>
          <w:p w14:paraId="7E4B5F0B">
            <w:pPr>
              <w:tabs>
                <w:tab w:val="left" w:pos="720"/>
              </w:tabs>
              <w:snapToGrid w:val="0"/>
              <w:spacing w:line="360" w:lineRule="auto"/>
              <w:jc w:val="center"/>
              <w:rPr>
                <w:rStyle w:val="66"/>
                <w:rFonts w:ascii="宋体" w:hAnsi="宋体"/>
                <w:sz w:val="24"/>
                <w:szCs w:val="24"/>
                <w:highlight w:val="none"/>
              </w:rPr>
            </w:pPr>
          </w:p>
        </w:tc>
        <w:tc>
          <w:tcPr>
            <w:tcW w:w="1350" w:type="dxa"/>
            <w:tcBorders>
              <w:top w:val="single" w:color="000000" w:sz="4" w:space="0"/>
              <w:left w:val="single" w:color="000000" w:sz="4" w:space="0"/>
              <w:bottom w:val="single" w:color="000000" w:sz="4" w:space="0"/>
              <w:right w:val="single" w:color="000000" w:sz="4" w:space="0"/>
            </w:tcBorders>
            <w:vAlign w:val="center"/>
          </w:tcPr>
          <w:p w14:paraId="2E8B95FD">
            <w:pPr>
              <w:tabs>
                <w:tab w:val="left" w:pos="720"/>
              </w:tabs>
              <w:snapToGrid w:val="0"/>
              <w:spacing w:line="360" w:lineRule="auto"/>
              <w:jc w:val="center"/>
              <w:rPr>
                <w:rStyle w:val="66"/>
                <w:rFonts w:ascii="宋体" w:hAnsi="宋体"/>
                <w:sz w:val="24"/>
                <w:szCs w:val="24"/>
                <w:highlight w:val="none"/>
              </w:rPr>
            </w:pPr>
          </w:p>
        </w:tc>
      </w:tr>
      <w:tr w14:paraId="53CA42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183" w:type="dxa"/>
            <w:tcBorders>
              <w:top w:val="single" w:color="000000" w:sz="4" w:space="0"/>
              <w:left w:val="single" w:color="000000" w:sz="4" w:space="0"/>
              <w:bottom w:val="single" w:color="000000" w:sz="4" w:space="0"/>
              <w:right w:val="single" w:color="000000" w:sz="4" w:space="0"/>
            </w:tcBorders>
            <w:vAlign w:val="center"/>
          </w:tcPr>
          <w:p w14:paraId="447CB8D1">
            <w:pPr>
              <w:tabs>
                <w:tab w:val="left" w:pos="720"/>
              </w:tabs>
              <w:snapToGrid w:val="0"/>
              <w:spacing w:line="360" w:lineRule="auto"/>
              <w:jc w:val="center"/>
              <w:rPr>
                <w:rStyle w:val="66"/>
                <w:rFonts w:ascii="宋体" w:hAnsi="宋体"/>
                <w:sz w:val="24"/>
                <w:szCs w:val="24"/>
                <w:highlight w:val="none"/>
              </w:rPr>
            </w:pPr>
          </w:p>
        </w:tc>
        <w:tc>
          <w:tcPr>
            <w:tcW w:w="1372" w:type="dxa"/>
            <w:tcBorders>
              <w:top w:val="single" w:color="000000" w:sz="4" w:space="0"/>
              <w:left w:val="single" w:color="000000" w:sz="4" w:space="0"/>
              <w:bottom w:val="single" w:color="000000" w:sz="4" w:space="0"/>
              <w:right w:val="single" w:color="000000" w:sz="4" w:space="0"/>
            </w:tcBorders>
            <w:vAlign w:val="center"/>
          </w:tcPr>
          <w:p w14:paraId="5A8B47FE">
            <w:pPr>
              <w:tabs>
                <w:tab w:val="left" w:pos="720"/>
              </w:tabs>
              <w:snapToGrid w:val="0"/>
              <w:spacing w:line="360" w:lineRule="auto"/>
              <w:jc w:val="center"/>
              <w:rPr>
                <w:rStyle w:val="66"/>
                <w:rFonts w:ascii="宋体" w:hAnsi="宋体"/>
                <w:sz w:val="24"/>
                <w:szCs w:val="24"/>
                <w:highlight w:val="none"/>
              </w:rPr>
            </w:pPr>
          </w:p>
        </w:tc>
        <w:tc>
          <w:tcPr>
            <w:tcW w:w="2353" w:type="dxa"/>
            <w:tcBorders>
              <w:top w:val="single" w:color="000000" w:sz="4" w:space="0"/>
              <w:left w:val="single" w:color="000000" w:sz="4" w:space="0"/>
              <w:bottom w:val="single" w:color="000000" w:sz="4" w:space="0"/>
              <w:right w:val="single" w:color="000000" w:sz="4" w:space="0"/>
            </w:tcBorders>
            <w:vAlign w:val="center"/>
          </w:tcPr>
          <w:p w14:paraId="7A98BB83">
            <w:pPr>
              <w:tabs>
                <w:tab w:val="left" w:pos="720"/>
              </w:tabs>
              <w:snapToGrid w:val="0"/>
              <w:spacing w:line="360" w:lineRule="auto"/>
              <w:jc w:val="center"/>
              <w:rPr>
                <w:rStyle w:val="66"/>
                <w:rFonts w:ascii="宋体" w:hAnsi="宋体"/>
                <w:sz w:val="24"/>
                <w:szCs w:val="24"/>
                <w:highlight w:val="none"/>
              </w:rPr>
            </w:pPr>
          </w:p>
        </w:tc>
        <w:tc>
          <w:tcPr>
            <w:tcW w:w="2256" w:type="dxa"/>
            <w:tcBorders>
              <w:top w:val="single" w:color="000000" w:sz="4" w:space="0"/>
              <w:left w:val="single" w:color="000000" w:sz="4" w:space="0"/>
              <w:bottom w:val="single" w:color="000000" w:sz="4" w:space="0"/>
              <w:right w:val="single" w:color="000000" w:sz="4" w:space="0"/>
            </w:tcBorders>
            <w:vAlign w:val="center"/>
          </w:tcPr>
          <w:p w14:paraId="4F977B0A">
            <w:pPr>
              <w:tabs>
                <w:tab w:val="left" w:pos="720"/>
              </w:tabs>
              <w:snapToGrid w:val="0"/>
              <w:spacing w:line="360" w:lineRule="auto"/>
              <w:jc w:val="center"/>
              <w:rPr>
                <w:rStyle w:val="66"/>
                <w:rFonts w:ascii="宋体" w:hAnsi="宋体"/>
                <w:sz w:val="24"/>
                <w:szCs w:val="24"/>
                <w:highlight w:val="none"/>
              </w:rPr>
            </w:pPr>
          </w:p>
        </w:tc>
        <w:tc>
          <w:tcPr>
            <w:tcW w:w="1350" w:type="dxa"/>
            <w:tcBorders>
              <w:top w:val="single" w:color="000000" w:sz="4" w:space="0"/>
              <w:left w:val="single" w:color="000000" w:sz="4" w:space="0"/>
              <w:bottom w:val="single" w:color="000000" w:sz="4" w:space="0"/>
              <w:right w:val="single" w:color="000000" w:sz="4" w:space="0"/>
            </w:tcBorders>
            <w:vAlign w:val="center"/>
          </w:tcPr>
          <w:p w14:paraId="02327AA4">
            <w:pPr>
              <w:tabs>
                <w:tab w:val="left" w:pos="720"/>
              </w:tabs>
              <w:snapToGrid w:val="0"/>
              <w:spacing w:line="360" w:lineRule="auto"/>
              <w:jc w:val="center"/>
              <w:rPr>
                <w:rStyle w:val="66"/>
                <w:rFonts w:ascii="宋体" w:hAnsi="宋体"/>
                <w:sz w:val="24"/>
                <w:szCs w:val="24"/>
                <w:highlight w:val="none"/>
              </w:rPr>
            </w:pPr>
          </w:p>
        </w:tc>
      </w:tr>
      <w:tr w14:paraId="5D0865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183" w:type="dxa"/>
            <w:tcBorders>
              <w:top w:val="single" w:color="000000" w:sz="4" w:space="0"/>
              <w:left w:val="single" w:color="000000" w:sz="4" w:space="0"/>
              <w:bottom w:val="single" w:color="000000" w:sz="4" w:space="0"/>
              <w:right w:val="single" w:color="000000" w:sz="4" w:space="0"/>
            </w:tcBorders>
            <w:vAlign w:val="center"/>
          </w:tcPr>
          <w:p w14:paraId="309C6496">
            <w:pPr>
              <w:tabs>
                <w:tab w:val="left" w:pos="720"/>
              </w:tabs>
              <w:snapToGrid w:val="0"/>
              <w:spacing w:line="360" w:lineRule="auto"/>
              <w:jc w:val="center"/>
              <w:rPr>
                <w:rStyle w:val="66"/>
                <w:rFonts w:ascii="宋体" w:hAnsi="宋体"/>
                <w:sz w:val="24"/>
                <w:szCs w:val="24"/>
                <w:highlight w:val="none"/>
              </w:rPr>
            </w:pPr>
          </w:p>
        </w:tc>
        <w:tc>
          <w:tcPr>
            <w:tcW w:w="1372" w:type="dxa"/>
            <w:tcBorders>
              <w:top w:val="single" w:color="000000" w:sz="4" w:space="0"/>
              <w:left w:val="single" w:color="000000" w:sz="4" w:space="0"/>
              <w:bottom w:val="single" w:color="000000" w:sz="4" w:space="0"/>
              <w:right w:val="single" w:color="000000" w:sz="4" w:space="0"/>
            </w:tcBorders>
            <w:vAlign w:val="center"/>
          </w:tcPr>
          <w:p w14:paraId="0C096977">
            <w:pPr>
              <w:tabs>
                <w:tab w:val="left" w:pos="720"/>
              </w:tabs>
              <w:snapToGrid w:val="0"/>
              <w:spacing w:line="360" w:lineRule="auto"/>
              <w:jc w:val="center"/>
              <w:rPr>
                <w:rStyle w:val="66"/>
                <w:rFonts w:ascii="宋体" w:hAnsi="宋体"/>
                <w:sz w:val="24"/>
                <w:szCs w:val="24"/>
                <w:highlight w:val="none"/>
              </w:rPr>
            </w:pPr>
          </w:p>
        </w:tc>
        <w:tc>
          <w:tcPr>
            <w:tcW w:w="2353" w:type="dxa"/>
            <w:tcBorders>
              <w:top w:val="single" w:color="000000" w:sz="4" w:space="0"/>
              <w:left w:val="single" w:color="000000" w:sz="4" w:space="0"/>
              <w:bottom w:val="single" w:color="000000" w:sz="4" w:space="0"/>
              <w:right w:val="single" w:color="000000" w:sz="4" w:space="0"/>
            </w:tcBorders>
            <w:vAlign w:val="center"/>
          </w:tcPr>
          <w:p w14:paraId="03213C9F">
            <w:pPr>
              <w:tabs>
                <w:tab w:val="left" w:pos="720"/>
              </w:tabs>
              <w:snapToGrid w:val="0"/>
              <w:spacing w:line="360" w:lineRule="auto"/>
              <w:jc w:val="center"/>
              <w:rPr>
                <w:rStyle w:val="66"/>
                <w:rFonts w:ascii="宋体" w:hAnsi="宋体"/>
                <w:sz w:val="24"/>
                <w:szCs w:val="24"/>
                <w:highlight w:val="none"/>
              </w:rPr>
            </w:pPr>
          </w:p>
        </w:tc>
        <w:tc>
          <w:tcPr>
            <w:tcW w:w="2256" w:type="dxa"/>
            <w:tcBorders>
              <w:top w:val="single" w:color="000000" w:sz="4" w:space="0"/>
              <w:left w:val="single" w:color="000000" w:sz="4" w:space="0"/>
              <w:bottom w:val="single" w:color="000000" w:sz="4" w:space="0"/>
              <w:right w:val="single" w:color="000000" w:sz="4" w:space="0"/>
            </w:tcBorders>
            <w:vAlign w:val="center"/>
          </w:tcPr>
          <w:p w14:paraId="029FA3A5">
            <w:pPr>
              <w:tabs>
                <w:tab w:val="left" w:pos="720"/>
              </w:tabs>
              <w:snapToGrid w:val="0"/>
              <w:spacing w:line="360" w:lineRule="auto"/>
              <w:jc w:val="center"/>
              <w:rPr>
                <w:rStyle w:val="66"/>
                <w:rFonts w:ascii="宋体" w:hAnsi="宋体"/>
                <w:sz w:val="24"/>
                <w:szCs w:val="24"/>
                <w:highlight w:val="none"/>
              </w:rPr>
            </w:pPr>
          </w:p>
        </w:tc>
        <w:tc>
          <w:tcPr>
            <w:tcW w:w="1350" w:type="dxa"/>
            <w:tcBorders>
              <w:top w:val="single" w:color="000000" w:sz="4" w:space="0"/>
              <w:left w:val="single" w:color="000000" w:sz="4" w:space="0"/>
              <w:bottom w:val="single" w:color="000000" w:sz="4" w:space="0"/>
              <w:right w:val="single" w:color="000000" w:sz="4" w:space="0"/>
            </w:tcBorders>
            <w:vAlign w:val="center"/>
          </w:tcPr>
          <w:p w14:paraId="16D5A15B">
            <w:pPr>
              <w:tabs>
                <w:tab w:val="left" w:pos="720"/>
              </w:tabs>
              <w:snapToGrid w:val="0"/>
              <w:spacing w:line="360" w:lineRule="auto"/>
              <w:jc w:val="center"/>
              <w:rPr>
                <w:rStyle w:val="66"/>
                <w:rFonts w:ascii="宋体" w:hAnsi="宋体"/>
                <w:sz w:val="24"/>
                <w:szCs w:val="24"/>
                <w:highlight w:val="none"/>
              </w:rPr>
            </w:pPr>
          </w:p>
        </w:tc>
      </w:tr>
      <w:tr w14:paraId="4F1F1C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1183" w:type="dxa"/>
            <w:tcBorders>
              <w:top w:val="single" w:color="000000" w:sz="4" w:space="0"/>
              <w:left w:val="single" w:color="000000" w:sz="4" w:space="0"/>
              <w:bottom w:val="single" w:color="000000" w:sz="4" w:space="0"/>
              <w:right w:val="single" w:color="000000" w:sz="4" w:space="0"/>
            </w:tcBorders>
            <w:vAlign w:val="center"/>
          </w:tcPr>
          <w:p w14:paraId="17C74700">
            <w:pPr>
              <w:tabs>
                <w:tab w:val="left" w:pos="720"/>
              </w:tabs>
              <w:snapToGrid w:val="0"/>
              <w:spacing w:line="360" w:lineRule="auto"/>
              <w:jc w:val="center"/>
              <w:rPr>
                <w:rStyle w:val="66"/>
                <w:rFonts w:ascii="宋体" w:hAnsi="宋体"/>
                <w:sz w:val="24"/>
                <w:szCs w:val="24"/>
                <w:highlight w:val="none"/>
              </w:rPr>
            </w:pPr>
          </w:p>
        </w:tc>
        <w:tc>
          <w:tcPr>
            <w:tcW w:w="1372" w:type="dxa"/>
            <w:tcBorders>
              <w:top w:val="single" w:color="000000" w:sz="4" w:space="0"/>
              <w:left w:val="single" w:color="000000" w:sz="4" w:space="0"/>
              <w:bottom w:val="single" w:color="000000" w:sz="4" w:space="0"/>
              <w:right w:val="single" w:color="000000" w:sz="4" w:space="0"/>
            </w:tcBorders>
            <w:vAlign w:val="center"/>
          </w:tcPr>
          <w:p w14:paraId="5A00A598">
            <w:pPr>
              <w:tabs>
                <w:tab w:val="left" w:pos="720"/>
              </w:tabs>
              <w:snapToGrid w:val="0"/>
              <w:spacing w:line="360" w:lineRule="auto"/>
              <w:jc w:val="center"/>
              <w:rPr>
                <w:rStyle w:val="66"/>
                <w:rFonts w:ascii="宋体" w:hAnsi="宋体"/>
                <w:sz w:val="24"/>
                <w:szCs w:val="24"/>
                <w:highlight w:val="none"/>
              </w:rPr>
            </w:pPr>
          </w:p>
        </w:tc>
        <w:tc>
          <w:tcPr>
            <w:tcW w:w="2353" w:type="dxa"/>
            <w:tcBorders>
              <w:top w:val="single" w:color="000000" w:sz="4" w:space="0"/>
              <w:left w:val="single" w:color="000000" w:sz="4" w:space="0"/>
              <w:bottom w:val="single" w:color="000000" w:sz="4" w:space="0"/>
              <w:right w:val="single" w:color="000000" w:sz="4" w:space="0"/>
            </w:tcBorders>
            <w:vAlign w:val="center"/>
          </w:tcPr>
          <w:p w14:paraId="1794F8A9">
            <w:pPr>
              <w:tabs>
                <w:tab w:val="left" w:pos="720"/>
              </w:tabs>
              <w:snapToGrid w:val="0"/>
              <w:spacing w:line="360" w:lineRule="auto"/>
              <w:jc w:val="center"/>
              <w:rPr>
                <w:rStyle w:val="66"/>
                <w:rFonts w:ascii="宋体" w:hAnsi="宋体"/>
                <w:sz w:val="24"/>
                <w:szCs w:val="24"/>
                <w:highlight w:val="none"/>
              </w:rPr>
            </w:pPr>
          </w:p>
        </w:tc>
        <w:tc>
          <w:tcPr>
            <w:tcW w:w="2256" w:type="dxa"/>
            <w:tcBorders>
              <w:top w:val="single" w:color="000000" w:sz="4" w:space="0"/>
              <w:left w:val="single" w:color="000000" w:sz="4" w:space="0"/>
              <w:bottom w:val="single" w:color="000000" w:sz="4" w:space="0"/>
              <w:right w:val="single" w:color="000000" w:sz="4" w:space="0"/>
            </w:tcBorders>
            <w:vAlign w:val="center"/>
          </w:tcPr>
          <w:p w14:paraId="1291853D">
            <w:pPr>
              <w:tabs>
                <w:tab w:val="left" w:pos="720"/>
              </w:tabs>
              <w:snapToGrid w:val="0"/>
              <w:spacing w:line="360" w:lineRule="auto"/>
              <w:jc w:val="center"/>
              <w:rPr>
                <w:rStyle w:val="66"/>
                <w:rFonts w:ascii="宋体" w:hAnsi="宋体"/>
                <w:sz w:val="24"/>
                <w:szCs w:val="24"/>
                <w:highlight w:val="none"/>
              </w:rPr>
            </w:pPr>
          </w:p>
        </w:tc>
        <w:tc>
          <w:tcPr>
            <w:tcW w:w="1350" w:type="dxa"/>
            <w:tcBorders>
              <w:top w:val="single" w:color="000000" w:sz="4" w:space="0"/>
              <w:left w:val="single" w:color="000000" w:sz="4" w:space="0"/>
              <w:bottom w:val="single" w:color="000000" w:sz="4" w:space="0"/>
              <w:right w:val="single" w:color="000000" w:sz="4" w:space="0"/>
            </w:tcBorders>
            <w:vAlign w:val="center"/>
          </w:tcPr>
          <w:p w14:paraId="549023C9">
            <w:pPr>
              <w:tabs>
                <w:tab w:val="left" w:pos="720"/>
              </w:tabs>
              <w:snapToGrid w:val="0"/>
              <w:spacing w:line="360" w:lineRule="auto"/>
              <w:jc w:val="center"/>
              <w:rPr>
                <w:rStyle w:val="66"/>
                <w:rFonts w:ascii="宋体" w:hAnsi="宋体"/>
                <w:sz w:val="24"/>
                <w:szCs w:val="24"/>
                <w:highlight w:val="none"/>
              </w:rPr>
            </w:pPr>
          </w:p>
        </w:tc>
      </w:tr>
      <w:tr w14:paraId="45597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183" w:type="dxa"/>
            <w:tcBorders>
              <w:top w:val="single" w:color="000000" w:sz="4" w:space="0"/>
              <w:left w:val="single" w:color="000000" w:sz="4" w:space="0"/>
              <w:bottom w:val="single" w:color="000000" w:sz="4" w:space="0"/>
              <w:right w:val="single" w:color="000000" w:sz="4" w:space="0"/>
            </w:tcBorders>
            <w:vAlign w:val="center"/>
          </w:tcPr>
          <w:p w14:paraId="2CF1854D">
            <w:pPr>
              <w:tabs>
                <w:tab w:val="left" w:pos="720"/>
              </w:tabs>
              <w:snapToGrid w:val="0"/>
              <w:spacing w:line="360" w:lineRule="auto"/>
              <w:jc w:val="center"/>
              <w:rPr>
                <w:rStyle w:val="66"/>
                <w:rFonts w:ascii="宋体" w:hAnsi="宋体"/>
                <w:sz w:val="24"/>
                <w:szCs w:val="24"/>
                <w:highlight w:val="none"/>
              </w:rPr>
            </w:pPr>
          </w:p>
        </w:tc>
        <w:tc>
          <w:tcPr>
            <w:tcW w:w="1372" w:type="dxa"/>
            <w:tcBorders>
              <w:top w:val="single" w:color="000000" w:sz="4" w:space="0"/>
              <w:left w:val="single" w:color="000000" w:sz="4" w:space="0"/>
              <w:bottom w:val="single" w:color="000000" w:sz="4" w:space="0"/>
              <w:right w:val="single" w:color="000000" w:sz="4" w:space="0"/>
            </w:tcBorders>
            <w:vAlign w:val="center"/>
          </w:tcPr>
          <w:p w14:paraId="264FD2F8">
            <w:pPr>
              <w:tabs>
                <w:tab w:val="left" w:pos="720"/>
              </w:tabs>
              <w:snapToGrid w:val="0"/>
              <w:spacing w:line="360" w:lineRule="auto"/>
              <w:jc w:val="center"/>
              <w:rPr>
                <w:rStyle w:val="66"/>
                <w:rFonts w:ascii="宋体" w:hAnsi="宋体"/>
                <w:sz w:val="24"/>
                <w:szCs w:val="24"/>
                <w:highlight w:val="none"/>
              </w:rPr>
            </w:pPr>
          </w:p>
        </w:tc>
        <w:tc>
          <w:tcPr>
            <w:tcW w:w="2353" w:type="dxa"/>
            <w:tcBorders>
              <w:top w:val="single" w:color="000000" w:sz="4" w:space="0"/>
              <w:left w:val="single" w:color="000000" w:sz="4" w:space="0"/>
              <w:bottom w:val="single" w:color="000000" w:sz="4" w:space="0"/>
              <w:right w:val="single" w:color="000000" w:sz="4" w:space="0"/>
            </w:tcBorders>
            <w:vAlign w:val="center"/>
          </w:tcPr>
          <w:p w14:paraId="40F4BB4D">
            <w:pPr>
              <w:tabs>
                <w:tab w:val="left" w:pos="720"/>
              </w:tabs>
              <w:snapToGrid w:val="0"/>
              <w:spacing w:line="360" w:lineRule="auto"/>
              <w:jc w:val="center"/>
              <w:rPr>
                <w:rStyle w:val="66"/>
                <w:rFonts w:ascii="宋体" w:hAnsi="宋体"/>
                <w:sz w:val="24"/>
                <w:szCs w:val="24"/>
                <w:highlight w:val="none"/>
              </w:rPr>
            </w:pPr>
          </w:p>
        </w:tc>
        <w:tc>
          <w:tcPr>
            <w:tcW w:w="2256" w:type="dxa"/>
            <w:tcBorders>
              <w:top w:val="single" w:color="000000" w:sz="4" w:space="0"/>
              <w:left w:val="single" w:color="000000" w:sz="4" w:space="0"/>
              <w:bottom w:val="single" w:color="000000" w:sz="4" w:space="0"/>
              <w:right w:val="single" w:color="000000" w:sz="4" w:space="0"/>
            </w:tcBorders>
            <w:vAlign w:val="center"/>
          </w:tcPr>
          <w:p w14:paraId="74EC53B3">
            <w:pPr>
              <w:tabs>
                <w:tab w:val="left" w:pos="720"/>
              </w:tabs>
              <w:snapToGrid w:val="0"/>
              <w:spacing w:line="360" w:lineRule="auto"/>
              <w:jc w:val="center"/>
              <w:rPr>
                <w:rStyle w:val="66"/>
                <w:rFonts w:ascii="宋体" w:hAnsi="宋体"/>
                <w:sz w:val="24"/>
                <w:szCs w:val="24"/>
                <w:highlight w:val="none"/>
              </w:rPr>
            </w:pPr>
          </w:p>
        </w:tc>
        <w:tc>
          <w:tcPr>
            <w:tcW w:w="1350" w:type="dxa"/>
            <w:tcBorders>
              <w:top w:val="single" w:color="000000" w:sz="4" w:space="0"/>
              <w:left w:val="single" w:color="000000" w:sz="4" w:space="0"/>
              <w:bottom w:val="single" w:color="000000" w:sz="4" w:space="0"/>
              <w:right w:val="single" w:color="000000" w:sz="4" w:space="0"/>
            </w:tcBorders>
            <w:vAlign w:val="center"/>
          </w:tcPr>
          <w:p w14:paraId="5BBB816D">
            <w:pPr>
              <w:tabs>
                <w:tab w:val="left" w:pos="720"/>
              </w:tabs>
              <w:snapToGrid w:val="0"/>
              <w:spacing w:line="360" w:lineRule="auto"/>
              <w:jc w:val="center"/>
              <w:rPr>
                <w:rStyle w:val="66"/>
                <w:rFonts w:ascii="宋体" w:hAnsi="宋体"/>
                <w:sz w:val="24"/>
                <w:szCs w:val="24"/>
                <w:highlight w:val="none"/>
              </w:rPr>
            </w:pPr>
          </w:p>
        </w:tc>
      </w:tr>
    </w:tbl>
    <w:p w14:paraId="28779D1D">
      <w:pPr>
        <w:spacing w:line="360" w:lineRule="auto"/>
        <w:ind w:firstLine="496"/>
        <w:jc w:val="left"/>
        <w:rPr>
          <w:rStyle w:val="66"/>
          <w:rFonts w:ascii="宋体" w:hAnsi="宋体"/>
          <w:spacing w:val="4"/>
          <w:kern w:val="0"/>
          <w:sz w:val="24"/>
          <w:szCs w:val="24"/>
          <w:highlight w:val="none"/>
        </w:rPr>
      </w:pPr>
      <w:r>
        <w:rPr>
          <w:rStyle w:val="66"/>
          <w:rFonts w:ascii="宋体" w:hAnsi="宋体"/>
          <w:spacing w:val="4"/>
          <w:kern w:val="0"/>
          <w:sz w:val="24"/>
          <w:szCs w:val="24"/>
          <w:highlight w:val="none"/>
        </w:rPr>
        <w:t>注：参与编制技术标书所有人员名单应包括如编制技术投标方案、负责清样校对、负责打印及复印等所有人员在内的人员名单。</w:t>
      </w:r>
    </w:p>
    <w:p w14:paraId="488574D5">
      <w:pPr>
        <w:pStyle w:val="113"/>
        <w:rPr>
          <w:rFonts w:ascii="宋体" w:hAnsi="宋体"/>
          <w:highlight w:val="none"/>
        </w:rPr>
      </w:pPr>
    </w:p>
    <w:p w14:paraId="6DD68AF6">
      <w:pPr>
        <w:jc w:val="left"/>
        <w:textAlignment w:val="auto"/>
        <w:rPr>
          <w:rFonts w:ascii="宋体" w:hAnsi="宋体"/>
          <w:highlight w:val="none"/>
        </w:rPr>
      </w:pPr>
      <w:r>
        <w:rPr>
          <w:rFonts w:ascii="宋体" w:hAnsi="宋体"/>
          <w:highlight w:val="none"/>
        </w:rPr>
        <w:br w:type="page"/>
      </w:r>
    </w:p>
    <w:p w14:paraId="260461DB">
      <w:pPr>
        <w:autoSpaceDE w:val="0"/>
        <w:autoSpaceDN w:val="0"/>
        <w:adjustRightInd w:val="0"/>
        <w:spacing w:line="276" w:lineRule="auto"/>
        <w:jc w:val="center"/>
        <w:rPr>
          <w:rStyle w:val="66"/>
          <w:rFonts w:ascii="宋体" w:hAnsi="宋体"/>
          <w:b/>
          <w:spacing w:val="4"/>
          <w:kern w:val="0"/>
          <w:sz w:val="30"/>
          <w:szCs w:val="30"/>
          <w:highlight w:val="none"/>
        </w:rPr>
      </w:pPr>
      <w:r>
        <w:rPr>
          <w:rStyle w:val="66"/>
          <w:rFonts w:ascii="宋体" w:hAnsi="宋体"/>
          <w:b/>
          <w:spacing w:val="4"/>
          <w:kern w:val="0"/>
          <w:sz w:val="30"/>
          <w:szCs w:val="30"/>
          <w:highlight w:val="none"/>
        </w:rPr>
        <w:t>二、经济标投标文件格式</w:t>
      </w:r>
    </w:p>
    <w:p w14:paraId="2705B5DC">
      <w:pPr>
        <w:topLinePunct/>
        <w:snapToGrid w:val="0"/>
        <w:spacing w:before="156" w:after="156" w:line="360" w:lineRule="auto"/>
        <w:jc w:val="left"/>
        <w:rPr>
          <w:rStyle w:val="66"/>
          <w:rFonts w:ascii="宋体" w:hAnsi="宋体"/>
          <w:b/>
          <w:spacing w:val="4"/>
          <w:kern w:val="0"/>
          <w:sz w:val="24"/>
          <w:szCs w:val="24"/>
          <w:highlight w:val="none"/>
        </w:rPr>
      </w:pPr>
    </w:p>
    <w:p w14:paraId="3B4DAB39">
      <w:pPr>
        <w:topLinePunct/>
        <w:snapToGrid w:val="0"/>
        <w:spacing w:before="156" w:after="156" w:line="360" w:lineRule="auto"/>
        <w:jc w:val="left"/>
        <w:rPr>
          <w:rStyle w:val="66"/>
          <w:rFonts w:ascii="宋体" w:hAnsi="宋体" w:cs="宋体"/>
          <w:b/>
          <w:bCs/>
          <w:highlight w:val="none"/>
        </w:rPr>
      </w:pPr>
      <w:r>
        <w:rPr>
          <w:rStyle w:val="66"/>
          <w:rFonts w:ascii="宋体" w:hAnsi="宋体" w:cs="宋体"/>
          <w:b/>
          <w:bCs/>
          <w:highlight w:val="none"/>
        </w:rPr>
        <w:t>格式</w:t>
      </w:r>
      <w:r>
        <w:rPr>
          <w:rStyle w:val="66"/>
          <w:rFonts w:hint="eastAsia" w:ascii="宋体" w:hAnsi="宋体" w:cs="宋体"/>
          <w:b/>
          <w:bCs/>
          <w:highlight w:val="none"/>
        </w:rPr>
        <w:t>一</w:t>
      </w:r>
    </w:p>
    <w:p w14:paraId="4619C981">
      <w:pPr>
        <w:topLinePunct/>
        <w:snapToGrid w:val="0"/>
        <w:spacing w:line="360" w:lineRule="auto"/>
        <w:ind w:firstLine="498" w:firstLineChars="200"/>
        <w:rPr>
          <w:rStyle w:val="66"/>
          <w:rFonts w:ascii="宋体" w:hAnsi="宋体"/>
          <w:b/>
          <w:spacing w:val="4"/>
          <w:kern w:val="0"/>
          <w:sz w:val="24"/>
          <w:szCs w:val="24"/>
          <w:highlight w:val="none"/>
        </w:rPr>
      </w:pPr>
    </w:p>
    <w:p w14:paraId="51432BCB">
      <w:pPr>
        <w:topLinePunct/>
        <w:snapToGrid w:val="0"/>
        <w:spacing w:line="360" w:lineRule="auto"/>
        <w:ind w:firstLine="617"/>
        <w:jc w:val="center"/>
        <w:rPr>
          <w:rStyle w:val="66"/>
          <w:rFonts w:ascii="宋体" w:hAnsi="宋体"/>
          <w:b/>
          <w:spacing w:val="4"/>
          <w:kern w:val="0"/>
          <w:sz w:val="30"/>
          <w:szCs w:val="30"/>
          <w:highlight w:val="none"/>
        </w:rPr>
      </w:pPr>
      <w:r>
        <w:rPr>
          <w:rStyle w:val="66"/>
          <w:rFonts w:hint="eastAsia" w:ascii="宋体" w:hAnsi="宋体"/>
          <w:b/>
          <w:spacing w:val="4"/>
          <w:kern w:val="0"/>
          <w:sz w:val="30"/>
          <w:szCs w:val="30"/>
          <w:highlight w:val="none"/>
        </w:rPr>
        <w:t>广州建设工程施工招标投标书（经济标）</w:t>
      </w:r>
    </w:p>
    <w:tbl>
      <w:tblPr>
        <w:tblStyle w:val="26"/>
        <w:tblpPr w:leftFromText="180" w:rightFromText="180" w:vertAnchor="text" w:horzAnchor="margin" w:tblpXSpec="center" w:tblpY="27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9"/>
        <w:gridCol w:w="5621"/>
      </w:tblGrid>
      <w:tr w14:paraId="1350F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3099" w:type="dxa"/>
            <w:tcBorders>
              <w:top w:val="single" w:color="auto" w:sz="4" w:space="0"/>
              <w:left w:val="single" w:color="auto" w:sz="4" w:space="0"/>
              <w:bottom w:val="single" w:color="auto" w:sz="4" w:space="0"/>
              <w:right w:val="single" w:color="auto" w:sz="4" w:space="0"/>
            </w:tcBorders>
            <w:vAlign w:val="center"/>
          </w:tcPr>
          <w:p w14:paraId="187E8C22">
            <w:pPr>
              <w:widowControl w:val="0"/>
              <w:autoSpaceDE w:val="0"/>
              <w:autoSpaceDN w:val="0"/>
              <w:adjustRightInd w:val="0"/>
              <w:spacing w:line="360" w:lineRule="auto"/>
              <w:jc w:val="center"/>
              <w:textAlignment w:val="auto"/>
              <w:rPr>
                <w:rFonts w:ascii="宋体" w:hAnsi="宋体" w:cs="宋体"/>
                <w:bCs/>
                <w:sz w:val="24"/>
                <w:szCs w:val="24"/>
                <w:highlight w:val="none"/>
                <w:lang w:val="zh-CN"/>
              </w:rPr>
            </w:pPr>
            <w:r>
              <w:rPr>
                <w:rFonts w:hint="eastAsia" w:ascii="宋体" w:hAnsi="宋体" w:cs="宋体"/>
                <w:sz w:val="24"/>
                <w:szCs w:val="24"/>
                <w:highlight w:val="none"/>
                <w:lang w:val="zh-CN"/>
              </w:rPr>
              <w:t>工程名称</w:t>
            </w:r>
          </w:p>
        </w:tc>
        <w:tc>
          <w:tcPr>
            <w:tcW w:w="5621" w:type="dxa"/>
            <w:tcBorders>
              <w:top w:val="single" w:color="auto" w:sz="4" w:space="0"/>
              <w:left w:val="single" w:color="auto" w:sz="4" w:space="0"/>
              <w:bottom w:val="single" w:color="auto" w:sz="4" w:space="0"/>
              <w:right w:val="single" w:color="auto" w:sz="4" w:space="0"/>
            </w:tcBorders>
          </w:tcPr>
          <w:p w14:paraId="1DE01EB0">
            <w:pPr>
              <w:widowControl w:val="0"/>
              <w:autoSpaceDE w:val="0"/>
              <w:autoSpaceDN w:val="0"/>
              <w:adjustRightInd w:val="0"/>
              <w:spacing w:line="360" w:lineRule="auto"/>
              <w:textAlignment w:val="auto"/>
              <w:rPr>
                <w:rFonts w:ascii="宋体" w:hAnsi="宋体" w:cs="宋体"/>
                <w:bCs/>
                <w:sz w:val="24"/>
                <w:szCs w:val="24"/>
                <w:highlight w:val="none"/>
                <w:lang w:val="zh-CN"/>
              </w:rPr>
            </w:pPr>
          </w:p>
        </w:tc>
      </w:tr>
      <w:tr w14:paraId="3A1B5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099" w:type="dxa"/>
            <w:vMerge w:val="restart"/>
            <w:tcBorders>
              <w:top w:val="single" w:color="auto" w:sz="4" w:space="0"/>
              <w:left w:val="single" w:color="auto" w:sz="4" w:space="0"/>
              <w:bottom w:val="single" w:color="auto" w:sz="4" w:space="0"/>
              <w:right w:val="single" w:color="auto" w:sz="4" w:space="0"/>
            </w:tcBorders>
            <w:vAlign w:val="center"/>
          </w:tcPr>
          <w:p w14:paraId="5DDAD9EC">
            <w:pPr>
              <w:widowControl w:val="0"/>
              <w:autoSpaceDE w:val="0"/>
              <w:autoSpaceDN w:val="0"/>
              <w:adjustRightInd w:val="0"/>
              <w:spacing w:line="360" w:lineRule="auto"/>
              <w:jc w:val="center"/>
              <w:textAlignment w:val="auto"/>
              <w:rPr>
                <w:rFonts w:ascii="宋体" w:hAnsi="宋体" w:cs="宋体"/>
                <w:bCs/>
                <w:sz w:val="24"/>
                <w:szCs w:val="24"/>
                <w:highlight w:val="none"/>
                <w:lang w:val="zh-CN"/>
              </w:rPr>
            </w:pPr>
            <w:r>
              <w:rPr>
                <w:rFonts w:hint="eastAsia" w:ascii="宋体" w:hAnsi="宋体" w:cs="宋体"/>
                <w:sz w:val="24"/>
                <w:szCs w:val="24"/>
                <w:highlight w:val="none"/>
                <w:lang w:val="zh-CN"/>
              </w:rPr>
              <w:t>投标总报价（元）</w:t>
            </w:r>
          </w:p>
        </w:tc>
        <w:tc>
          <w:tcPr>
            <w:tcW w:w="5621" w:type="dxa"/>
            <w:tcBorders>
              <w:top w:val="single" w:color="auto" w:sz="4" w:space="0"/>
              <w:left w:val="single" w:color="auto" w:sz="4" w:space="0"/>
              <w:bottom w:val="single" w:color="auto" w:sz="4" w:space="0"/>
              <w:right w:val="single" w:color="auto" w:sz="4" w:space="0"/>
            </w:tcBorders>
            <w:vAlign w:val="center"/>
          </w:tcPr>
          <w:p w14:paraId="32A4622D">
            <w:pPr>
              <w:widowControl w:val="0"/>
              <w:autoSpaceDE w:val="0"/>
              <w:autoSpaceDN w:val="0"/>
              <w:adjustRightInd w:val="0"/>
              <w:spacing w:line="360" w:lineRule="auto"/>
              <w:textAlignment w:val="auto"/>
              <w:rPr>
                <w:rFonts w:ascii="宋体" w:hAnsi="宋体" w:cs="宋体"/>
                <w:bCs/>
                <w:sz w:val="24"/>
                <w:szCs w:val="24"/>
                <w:highlight w:val="none"/>
                <w:lang w:val="zh-CN"/>
              </w:rPr>
            </w:pPr>
            <w:r>
              <w:rPr>
                <w:rFonts w:hint="eastAsia" w:ascii="宋体" w:hAnsi="宋体"/>
                <w:sz w:val="24"/>
                <w:szCs w:val="24"/>
                <w:highlight w:val="none"/>
              </w:rPr>
              <w:t>大写：</w:t>
            </w:r>
          </w:p>
        </w:tc>
      </w:tr>
      <w:tr w14:paraId="7A663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099" w:type="dxa"/>
            <w:vMerge w:val="continue"/>
            <w:tcBorders>
              <w:top w:val="single" w:color="auto" w:sz="4" w:space="0"/>
              <w:left w:val="single" w:color="auto" w:sz="4" w:space="0"/>
              <w:bottom w:val="single" w:color="auto" w:sz="4" w:space="0"/>
              <w:right w:val="single" w:color="auto" w:sz="4" w:space="0"/>
            </w:tcBorders>
            <w:vAlign w:val="center"/>
          </w:tcPr>
          <w:p w14:paraId="0FADFADE">
            <w:pPr>
              <w:rPr>
                <w:highlight w:val="none"/>
              </w:rPr>
            </w:pPr>
          </w:p>
        </w:tc>
        <w:tc>
          <w:tcPr>
            <w:tcW w:w="5621" w:type="dxa"/>
            <w:tcBorders>
              <w:top w:val="single" w:color="auto" w:sz="4" w:space="0"/>
              <w:left w:val="single" w:color="auto" w:sz="4" w:space="0"/>
              <w:bottom w:val="single" w:color="auto" w:sz="4" w:space="0"/>
              <w:right w:val="single" w:color="auto" w:sz="4" w:space="0"/>
            </w:tcBorders>
            <w:vAlign w:val="center"/>
          </w:tcPr>
          <w:p w14:paraId="47EE53D1">
            <w:pPr>
              <w:widowControl w:val="0"/>
              <w:autoSpaceDE w:val="0"/>
              <w:autoSpaceDN w:val="0"/>
              <w:adjustRightInd w:val="0"/>
              <w:spacing w:line="360" w:lineRule="auto"/>
              <w:textAlignment w:val="auto"/>
              <w:rPr>
                <w:rFonts w:ascii="宋体" w:hAnsi="宋体" w:cs="宋体"/>
                <w:bCs/>
                <w:sz w:val="24"/>
                <w:szCs w:val="24"/>
                <w:highlight w:val="none"/>
                <w:lang w:val="zh-CN"/>
              </w:rPr>
            </w:pPr>
            <w:r>
              <w:rPr>
                <w:rFonts w:hint="eastAsia" w:ascii="宋体" w:hAnsi="宋体"/>
                <w:sz w:val="24"/>
                <w:szCs w:val="24"/>
                <w:highlight w:val="none"/>
              </w:rPr>
              <w:t>小写：</w:t>
            </w:r>
          </w:p>
        </w:tc>
      </w:tr>
      <w:tr w14:paraId="0FC04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3099" w:type="dxa"/>
            <w:vMerge w:val="restart"/>
            <w:tcBorders>
              <w:top w:val="single" w:color="auto" w:sz="4" w:space="0"/>
              <w:left w:val="single" w:color="auto" w:sz="4" w:space="0"/>
              <w:bottom w:val="single" w:color="auto" w:sz="4" w:space="0"/>
              <w:right w:val="single" w:color="auto" w:sz="4" w:space="0"/>
            </w:tcBorders>
            <w:vAlign w:val="center"/>
          </w:tcPr>
          <w:p w14:paraId="5CBC1791">
            <w:pPr>
              <w:widowControl w:val="0"/>
              <w:autoSpaceDE w:val="0"/>
              <w:autoSpaceDN w:val="0"/>
              <w:adjustRightInd w:val="0"/>
              <w:spacing w:line="360" w:lineRule="auto"/>
              <w:jc w:val="center"/>
              <w:textAlignment w:val="auto"/>
              <w:rPr>
                <w:rFonts w:ascii="宋体" w:hAnsi="宋体" w:cs="宋体"/>
                <w:bCs/>
                <w:sz w:val="24"/>
                <w:szCs w:val="24"/>
                <w:highlight w:val="none"/>
                <w:lang w:val="zh-CN"/>
              </w:rPr>
            </w:pPr>
            <w:r>
              <w:rPr>
                <w:rFonts w:hint="eastAsia" w:ascii="宋体" w:hAnsi="宋体" w:cs="宋体"/>
                <w:sz w:val="24"/>
                <w:szCs w:val="24"/>
                <w:highlight w:val="none"/>
                <w:lang w:val="zh-CN"/>
              </w:rPr>
              <w:t>其中：</w:t>
            </w:r>
            <w:r>
              <w:rPr>
                <w:rFonts w:hint="eastAsia" w:ascii="宋体" w:hAnsi="宋体" w:cs="宋体"/>
                <w:bCs/>
                <w:sz w:val="24"/>
                <w:szCs w:val="24"/>
                <w:highlight w:val="none"/>
                <w:lang w:val="zh-CN"/>
              </w:rPr>
              <w:t>人工费</w:t>
            </w:r>
            <w:r>
              <w:rPr>
                <w:rFonts w:hint="eastAsia" w:ascii="宋体" w:hAnsi="宋体" w:cs="宋体"/>
                <w:sz w:val="24"/>
                <w:szCs w:val="24"/>
                <w:highlight w:val="none"/>
                <w:lang w:val="zh-CN"/>
              </w:rPr>
              <w:t>（元）</w:t>
            </w:r>
          </w:p>
        </w:tc>
        <w:tc>
          <w:tcPr>
            <w:tcW w:w="5621" w:type="dxa"/>
            <w:tcBorders>
              <w:top w:val="single" w:color="auto" w:sz="4" w:space="0"/>
              <w:left w:val="single" w:color="auto" w:sz="4" w:space="0"/>
              <w:bottom w:val="single" w:color="auto" w:sz="4" w:space="0"/>
              <w:right w:val="single" w:color="auto" w:sz="4" w:space="0"/>
            </w:tcBorders>
            <w:vAlign w:val="center"/>
          </w:tcPr>
          <w:p w14:paraId="23860D99">
            <w:pPr>
              <w:widowControl w:val="0"/>
              <w:autoSpaceDE w:val="0"/>
              <w:autoSpaceDN w:val="0"/>
              <w:adjustRightInd w:val="0"/>
              <w:spacing w:line="360" w:lineRule="auto"/>
              <w:textAlignment w:val="auto"/>
              <w:rPr>
                <w:rFonts w:ascii="宋体" w:hAnsi="宋体" w:cs="宋体"/>
                <w:bCs/>
                <w:sz w:val="24"/>
                <w:szCs w:val="24"/>
                <w:highlight w:val="none"/>
                <w:lang w:val="zh-CN"/>
              </w:rPr>
            </w:pPr>
            <w:r>
              <w:rPr>
                <w:rFonts w:hint="eastAsia" w:ascii="宋体" w:hAnsi="宋体"/>
                <w:sz w:val="24"/>
                <w:szCs w:val="24"/>
                <w:highlight w:val="none"/>
              </w:rPr>
              <w:t>大写：</w:t>
            </w:r>
          </w:p>
        </w:tc>
      </w:tr>
      <w:tr w14:paraId="278BC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099" w:type="dxa"/>
            <w:vMerge w:val="continue"/>
            <w:tcBorders>
              <w:top w:val="single" w:color="auto" w:sz="4" w:space="0"/>
              <w:left w:val="single" w:color="auto" w:sz="4" w:space="0"/>
              <w:bottom w:val="single" w:color="auto" w:sz="4" w:space="0"/>
              <w:right w:val="single" w:color="auto" w:sz="4" w:space="0"/>
            </w:tcBorders>
            <w:vAlign w:val="center"/>
          </w:tcPr>
          <w:p w14:paraId="1F0ECE03">
            <w:pPr>
              <w:rPr>
                <w:highlight w:val="none"/>
              </w:rPr>
            </w:pPr>
          </w:p>
        </w:tc>
        <w:tc>
          <w:tcPr>
            <w:tcW w:w="5621" w:type="dxa"/>
            <w:tcBorders>
              <w:top w:val="single" w:color="auto" w:sz="4" w:space="0"/>
              <w:left w:val="single" w:color="auto" w:sz="4" w:space="0"/>
              <w:bottom w:val="single" w:color="auto" w:sz="4" w:space="0"/>
              <w:right w:val="single" w:color="auto" w:sz="4" w:space="0"/>
            </w:tcBorders>
            <w:vAlign w:val="center"/>
          </w:tcPr>
          <w:p w14:paraId="6105CD28">
            <w:pPr>
              <w:widowControl w:val="0"/>
              <w:autoSpaceDE w:val="0"/>
              <w:autoSpaceDN w:val="0"/>
              <w:adjustRightInd w:val="0"/>
              <w:spacing w:line="360" w:lineRule="auto"/>
              <w:textAlignment w:val="auto"/>
              <w:rPr>
                <w:rFonts w:ascii="宋体" w:hAnsi="宋体" w:cs="宋体"/>
                <w:bCs/>
                <w:sz w:val="24"/>
                <w:szCs w:val="24"/>
                <w:highlight w:val="none"/>
                <w:lang w:val="zh-CN"/>
              </w:rPr>
            </w:pPr>
            <w:r>
              <w:rPr>
                <w:rFonts w:hint="eastAsia" w:ascii="宋体" w:hAnsi="宋体"/>
                <w:sz w:val="24"/>
                <w:szCs w:val="24"/>
                <w:highlight w:val="none"/>
              </w:rPr>
              <w:t>小写：</w:t>
            </w:r>
          </w:p>
        </w:tc>
      </w:tr>
      <w:tr w14:paraId="7155B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099" w:type="dxa"/>
            <w:vMerge w:val="restart"/>
            <w:tcBorders>
              <w:top w:val="single" w:color="auto" w:sz="4" w:space="0"/>
              <w:left w:val="single" w:color="auto" w:sz="4" w:space="0"/>
              <w:right w:val="single" w:color="auto" w:sz="4" w:space="0"/>
            </w:tcBorders>
            <w:vAlign w:val="center"/>
          </w:tcPr>
          <w:p w14:paraId="79DBBDBF">
            <w:pPr>
              <w:spacing w:line="360" w:lineRule="auto"/>
              <w:jc w:val="left"/>
              <w:textAlignment w:val="auto"/>
              <w:rPr>
                <w:rFonts w:ascii="宋体" w:hAnsi="宋体" w:cs="宋体"/>
                <w:b/>
                <w:sz w:val="24"/>
                <w:szCs w:val="24"/>
                <w:highlight w:val="none"/>
                <w:lang w:val="zh-CN"/>
              </w:rPr>
            </w:pPr>
            <w:r>
              <w:rPr>
                <w:rFonts w:hint="eastAsia" w:ascii="宋体" w:hAnsi="宋体" w:cs="宋体"/>
                <w:bCs/>
                <w:sz w:val="24"/>
                <w:szCs w:val="24"/>
                <w:highlight w:val="none"/>
                <w:lang w:val="zh-CN"/>
              </w:rPr>
              <w:t>其中：</w:t>
            </w:r>
            <w:r>
              <w:rPr>
                <w:rFonts w:hint="eastAsia" w:ascii="宋体" w:hAnsi="宋体" w:cs="宋体"/>
                <w:sz w:val="24"/>
                <w:szCs w:val="24"/>
                <w:highlight w:val="none"/>
                <w:lang w:val="zh-CN"/>
              </w:rPr>
              <w:t>绿色施工安全防护措施费（元）</w:t>
            </w:r>
          </w:p>
        </w:tc>
        <w:tc>
          <w:tcPr>
            <w:tcW w:w="5621" w:type="dxa"/>
            <w:tcBorders>
              <w:top w:val="single" w:color="auto" w:sz="4" w:space="0"/>
              <w:left w:val="single" w:color="auto" w:sz="4" w:space="0"/>
              <w:bottom w:val="single" w:color="auto" w:sz="4" w:space="0"/>
              <w:right w:val="single" w:color="auto" w:sz="4" w:space="0"/>
            </w:tcBorders>
            <w:vAlign w:val="center"/>
          </w:tcPr>
          <w:p w14:paraId="260A92E1">
            <w:pPr>
              <w:widowControl w:val="0"/>
              <w:autoSpaceDE w:val="0"/>
              <w:autoSpaceDN w:val="0"/>
              <w:adjustRightInd w:val="0"/>
              <w:spacing w:line="360" w:lineRule="auto"/>
              <w:textAlignment w:val="auto"/>
              <w:rPr>
                <w:rFonts w:ascii="宋体" w:hAnsi="宋体" w:cs="宋体"/>
                <w:bCs/>
                <w:sz w:val="24"/>
                <w:szCs w:val="24"/>
                <w:highlight w:val="none"/>
                <w:lang w:val="zh-CN"/>
              </w:rPr>
            </w:pPr>
            <w:r>
              <w:rPr>
                <w:rFonts w:hint="eastAsia" w:ascii="宋体" w:hAnsi="宋体"/>
                <w:sz w:val="24"/>
                <w:szCs w:val="24"/>
                <w:highlight w:val="none"/>
              </w:rPr>
              <w:t>大写：</w:t>
            </w:r>
          </w:p>
        </w:tc>
      </w:tr>
      <w:tr w14:paraId="7A74C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099" w:type="dxa"/>
            <w:vMerge w:val="continue"/>
            <w:tcBorders>
              <w:left w:val="single" w:color="auto" w:sz="4" w:space="0"/>
              <w:right w:val="single" w:color="auto" w:sz="4" w:space="0"/>
            </w:tcBorders>
            <w:vAlign w:val="center"/>
          </w:tcPr>
          <w:p w14:paraId="7E07909C">
            <w:pPr>
              <w:rPr>
                <w:highlight w:val="none"/>
              </w:rPr>
            </w:pPr>
          </w:p>
        </w:tc>
        <w:tc>
          <w:tcPr>
            <w:tcW w:w="5621" w:type="dxa"/>
            <w:tcBorders>
              <w:top w:val="single" w:color="auto" w:sz="4" w:space="0"/>
              <w:left w:val="single" w:color="auto" w:sz="4" w:space="0"/>
              <w:bottom w:val="single" w:color="auto" w:sz="4" w:space="0"/>
              <w:right w:val="single" w:color="auto" w:sz="4" w:space="0"/>
            </w:tcBorders>
            <w:vAlign w:val="center"/>
          </w:tcPr>
          <w:p w14:paraId="4C475CB8">
            <w:pPr>
              <w:widowControl w:val="0"/>
              <w:autoSpaceDE w:val="0"/>
              <w:autoSpaceDN w:val="0"/>
              <w:adjustRightInd w:val="0"/>
              <w:spacing w:line="360" w:lineRule="auto"/>
              <w:textAlignment w:val="auto"/>
              <w:rPr>
                <w:rFonts w:ascii="宋体" w:hAnsi="宋体" w:cs="宋体"/>
                <w:bCs/>
                <w:sz w:val="24"/>
                <w:szCs w:val="24"/>
                <w:highlight w:val="none"/>
                <w:lang w:val="zh-CN"/>
              </w:rPr>
            </w:pPr>
            <w:r>
              <w:rPr>
                <w:rFonts w:hint="eastAsia" w:ascii="宋体" w:hAnsi="宋体"/>
                <w:sz w:val="24"/>
                <w:szCs w:val="24"/>
                <w:highlight w:val="none"/>
              </w:rPr>
              <w:t>小写：</w:t>
            </w:r>
          </w:p>
        </w:tc>
      </w:tr>
    </w:tbl>
    <w:p w14:paraId="6C449D66">
      <w:pPr>
        <w:topLinePunct/>
        <w:snapToGrid w:val="0"/>
        <w:spacing w:line="360" w:lineRule="auto"/>
        <w:rPr>
          <w:rStyle w:val="66"/>
          <w:rFonts w:ascii="宋体" w:hAnsi="宋体"/>
          <w:spacing w:val="4"/>
          <w:kern w:val="0"/>
          <w:sz w:val="24"/>
          <w:szCs w:val="24"/>
          <w:highlight w:val="none"/>
        </w:rPr>
      </w:pPr>
    </w:p>
    <w:p w14:paraId="47BB1951">
      <w:pPr>
        <w:spacing w:line="360" w:lineRule="auto"/>
        <w:rPr>
          <w:rStyle w:val="66"/>
          <w:highlight w:val="none"/>
        </w:rPr>
      </w:pPr>
    </w:p>
    <w:p w14:paraId="23513022">
      <w:pPr>
        <w:pStyle w:val="143"/>
        <w:spacing w:line="360" w:lineRule="auto"/>
        <w:rPr>
          <w:rStyle w:val="66"/>
          <w:rFonts w:ascii="宋体" w:eastAsia="宋体"/>
          <w:highlight w:val="none"/>
        </w:rPr>
      </w:pPr>
      <w:r>
        <w:rPr>
          <w:rStyle w:val="66"/>
          <w:rFonts w:ascii="宋体" w:eastAsia="宋体"/>
          <w:b/>
          <w:highlight w:val="none"/>
        </w:rPr>
        <w:br w:type="page"/>
      </w:r>
      <w:r>
        <w:rPr>
          <w:rStyle w:val="66"/>
          <w:rFonts w:ascii="宋体" w:eastAsia="宋体" w:cs="宋体"/>
          <w:b/>
          <w:bCs/>
          <w:highlight w:val="none"/>
        </w:rPr>
        <w:t>格式</w:t>
      </w:r>
      <w:r>
        <w:rPr>
          <w:rStyle w:val="66"/>
          <w:rFonts w:hint="eastAsia" w:ascii="宋体" w:eastAsia="宋体" w:cs="宋体"/>
          <w:b/>
          <w:bCs/>
          <w:highlight w:val="none"/>
        </w:rPr>
        <w:t>二</w:t>
      </w:r>
    </w:p>
    <w:p w14:paraId="5B0232B7">
      <w:pPr>
        <w:topLinePunct/>
        <w:snapToGrid w:val="0"/>
        <w:spacing w:after="200" w:line="360" w:lineRule="auto"/>
        <w:jc w:val="center"/>
        <w:rPr>
          <w:rStyle w:val="66"/>
          <w:rFonts w:ascii="宋体" w:hAnsi="宋体"/>
          <w:b/>
          <w:bCs/>
          <w:spacing w:val="4"/>
          <w:kern w:val="0"/>
          <w:sz w:val="30"/>
          <w:szCs w:val="30"/>
          <w:highlight w:val="none"/>
        </w:rPr>
      </w:pPr>
      <w:r>
        <w:rPr>
          <w:rStyle w:val="66"/>
          <w:rFonts w:ascii="宋体" w:hAnsi="宋体"/>
          <w:b/>
          <w:bCs/>
          <w:spacing w:val="4"/>
          <w:kern w:val="0"/>
          <w:sz w:val="30"/>
          <w:szCs w:val="30"/>
          <w:highlight w:val="none"/>
        </w:rPr>
        <w:t>参与编制经济标投标文件人员名单</w:t>
      </w:r>
    </w:p>
    <w:tbl>
      <w:tblPr>
        <w:tblStyle w:val="2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3"/>
        <w:gridCol w:w="1376"/>
        <w:gridCol w:w="2350"/>
        <w:gridCol w:w="2251"/>
        <w:gridCol w:w="1354"/>
      </w:tblGrid>
      <w:tr w14:paraId="6309D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8514" w:type="dxa"/>
            <w:gridSpan w:val="5"/>
            <w:tcBorders>
              <w:top w:val="single" w:color="000000" w:sz="4" w:space="0"/>
              <w:left w:val="single" w:color="000000" w:sz="4" w:space="0"/>
              <w:bottom w:val="single" w:color="000000" w:sz="4" w:space="0"/>
              <w:right w:val="single" w:color="000000" w:sz="4" w:space="0"/>
            </w:tcBorders>
            <w:vAlign w:val="center"/>
          </w:tcPr>
          <w:p w14:paraId="0562B2F3">
            <w:pPr>
              <w:tabs>
                <w:tab w:val="left" w:pos="720"/>
              </w:tabs>
              <w:snapToGrid w:val="0"/>
              <w:spacing w:line="360" w:lineRule="auto"/>
              <w:jc w:val="center"/>
              <w:rPr>
                <w:rStyle w:val="66"/>
                <w:rFonts w:ascii="宋体" w:hAnsi="宋体"/>
                <w:sz w:val="24"/>
                <w:szCs w:val="24"/>
                <w:highlight w:val="none"/>
              </w:rPr>
            </w:pPr>
            <w:r>
              <w:rPr>
                <w:rStyle w:val="66"/>
                <w:rFonts w:ascii="宋体" w:hAnsi="宋体"/>
                <w:sz w:val="24"/>
                <w:szCs w:val="24"/>
                <w:highlight w:val="none"/>
              </w:rPr>
              <w:t>投标单位名称</w:t>
            </w:r>
          </w:p>
        </w:tc>
      </w:tr>
      <w:tr w14:paraId="17AAA6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1183" w:type="dxa"/>
            <w:tcBorders>
              <w:top w:val="single" w:color="000000" w:sz="4" w:space="0"/>
              <w:left w:val="single" w:color="000000" w:sz="4" w:space="0"/>
              <w:bottom w:val="single" w:color="000000" w:sz="4" w:space="0"/>
              <w:right w:val="single" w:color="000000" w:sz="4" w:space="0"/>
            </w:tcBorders>
            <w:vAlign w:val="center"/>
          </w:tcPr>
          <w:p w14:paraId="57DBDB52">
            <w:pPr>
              <w:tabs>
                <w:tab w:val="left" w:pos="720"/>
              </w:tabs>
              <w:snapToGrid w:val="0"/>
              <w:spacing w:line="360" w:lineRule="auto"/>
              <w:jc w:val="center"/>
              <w:rPr>
                <w:rStyle w:val="66"/>
                <w:rFonts w:ascii="宋体" w:hAnsi="宋体"/>
                <w:sz w:val="24"/>
                <w:szCs w:val="24"/>
                <w:highlight w:val="none"/>
              </w:rPr>
            </w:pPr>
            <w:r>
              <w:rPr>
                <w:rStyle w:val="66"/>
                <w:rFonts w:ascii="宋体" w:hAnsi="宋体"/>
                <w:sz w:val="24"/>
                <w:szCs w:val="24"/>
                <w:highlight w:val="none"/>
              </w:rPr>
              <w:t>姓名</w:t>
            </w:r>
          </w:p>
        </w:tc>
        <w:tc>
          <w:tcPr>
            <w:tcW w:w="1376" w:type="dxa"/>
            <w:tcBorders>
              <w:top w:val="single" w:color="000000" w:sz="4" w:space="0"/>
              <w:left w:val="single" w:color="000000" w:sz="4" w:space="0"/>
              <w:bottom w:val="single" w:color="000000" w:sz="4" w:space="0"/>
              <w:right w:val="single" w:color="000000" w:sz="4" w:space="0"/>
            </w:tcBorders>
            <w:vAlign w:val="center"/>
          </w:tcPr>
          <w:p w14:paraId="7BCB2994">
            <w:pPr>
              <w:tabs>
                <w:tab w:val="left" w:pos="720"/>
              </w:tabs>
              <w:snapToGrid w:val="0"/>
              <w:spacing w:line="360" w:lineRule="auto"/>
              <w:jc w:val="center"/>
              <w:rPr>
                <w:rStyle w:val="66"/>
                <w:rFonts w:ascii="宋体" w:hAnsi="宋体"/>
                <w:sz w:val="24"/>
                <w:szCs w:val="24"/>
                <w:highlight w:val="none"/>
              </w:rPr>
            </w:pPr>
            <w:r>
              <w:rPr>
                <w:rStyle w:val="66"/>
                <w:rFonts w:ascii="宋体" w:hAnsi="宋体"/>
                <w:sz w:val="24"/>
                <w:szCs w:val="24"/>
                <w:highlight w:val="none"/>
              </w:rPr>
              <w:t>职务</w:t>
            </w:r>
          </w:p>
        </w:tc>
        <w:tc>
          <w:tcPr>
            <w:tcW w:w="2350" w:type="dxa"/>
            <w:tcBorders>
              <w:top w:val="single" w:color="000000" w:sz="4" w:space="0"/>
              <w:left w:val="single" w:color="000000" w:sz="4" w:space="0"/>
              <w:bottom w:val="single" w:color="000000" w:sz="4" w:space="0"/>
              <w:right w:val="single" w:color="000000" w:sz="4" w:space="0"/>
            </w:tcBorders>
            <w:vAlign w:val="center"/>
          </w:tcPr>
          <w:p w14:paraId="5CB29DF6">
            <w:pPr>
              <w:tabs>
                <w:tab w:val="left" w:pos="720"/>
              </w:tabs>
              <w:snapToGrid w:val="0"/>
              <w:spacing w:line="360" w:lineRule="auto"/>
              <w:jc w:val="center"/>
              <w:rPr>
                <w:rStyle w:val="66"/>
                <w:rFonts w:ascii="宋体" w:hAnsi="宋体"/>
                <w:sz w:val="24"/>
                <w:szCs w:val="24"/>
                <w:highlight w:val="none"/>
              </w:rPr>
            </w:pPr>
            <w:r>
              <w:rPr>
                <w:rStyle w:val="66"/>
                <w:rFonts w:ascii="宋体" w:hAnsi="宋体"/>
                <w:sz w:val="24"/>
                <w:szCs w:val="24"/>
                <w:highlight w:val="none"/>
              </w:rPr>
              <w:t>所承担工作</w:t>
            </w:r>
          </w:p>
        </w:tc>
        <w:tc>
          <w:tcPr>
            <w:tcW w:w="2251" w:type="dxa"/>
            <w:tcBorders>
              <w:top w:val="single" w:color="000000" w:sz="4" w:space="0"/>
              <w:left w:val="single" w:color="000000" w:sz="4" w:space="0"/>
              <w:bottom w:val="single" w:color="000000" w:sz="4" w:space="0"/>
              <w:right w:val="single" w:color="000000" w:sz="4" w:space="0"/>
            </w:tcBorders>
            <w:vAlign w:val="center"/>
          </w:tcPr>
          <w:p w14:paraId="680237C0">
            <w:pPr>
              <w:tabs>
                <w:tab w:val="left" w:pos="720"/>
              </w:tabs>
              <w:snapToGrid w:val="0"/>
              <w:spacing w:line="360" w:lineRule="auto"/>
              <w:jc w:val="center"/>
              <w:rPr>
                <w:rStyle w:val="66"/>
                <w:rFonts w:ascii="宋体" w:hAnsi="宋体"/>
                <w:sz w:val="24"/>
                <w:szCs w:val="24"/>
                <w:highlight w:val="none"/>
              </w:rPr>
            </w:pPr>
            <w:r>
              <w:rPr>
                <w:rStyle w:val="66"/>
                <w:rFonts w:ascii="宋体" w:hAnsi="宋体"/>
                <w:sz w:val="24"/>
                <w:szCs w:val="24"/>
                <w:highlight w:val="none"/>
              </w:rPr>
              <w:t>身份证号码</w:t>
            </w:r>
          </w:p>
        </w:tc>
        <w:tc>
          <w:tcPr>
            <w:tcW w:w="1354" w:type="dxa"/>
            <w:tcBorders>
              <w:top w:val="single" w:color="000000" w:sz="4" w:space="0"/>
              <w:left w:val="single" w:color="000000" w:sz="4" w:space="0"/>
              <w:bottom w:val="single" w:color="000000" w:sz="4" w:space="0"/>
              <w:right w:val="single" w:color="000000" w:sz="4" w:space="0"/>
            </w:tcBorders>
            <w:vAlign w:val="center"/>
          </w:tcPr>
          <w:p w14:paraId="6002F529">
            <w:pPr>
              <w:tabs>
                <w:tab w:val="left" w:pos="720"/>
              </w:tabs>
              <w:snapToGrid w:val="0"/>
              <w:spacing w:line="360" w:lineRule="auto"/>
              <w:jc w:val="center"/>
              <w:rPr>
                <w:rStyle w:val="66"/>
                <w:rFonts w:ascii="宋体" w:hAnsi="宋体"/>
                <w:sz w:val="24"/>
                <w:szCs w:val="24"/>
                <w:highlight w:val="none"/>
              </w:rPr>
            </w:pPr>
            <w:r>
              <w:rPr>
                <w:rStyle w:val="66"/>
                <w:rFonts w:ascii="宋体" w:hAnsi="宋体"/>
                <w:sz w:val="24"/>
                <w:szCs w:val="24"/>
                <w:highlight w:val="none"/>
              </w:rPr>
              <w:t>本人签名栏</w:t>
            </w:r>
          </w:p>
        </w:tc>
      </w:tr>
      <w:tr w14:paraId="39C72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183" w:type="dxa"/>
            <w:tcBorders>
              <w:top w:val="single" w:color="000000" w:sz="4" w:space="0"/>
              <w:left w:val="single" w:color="000000" w:sz="4" w:space="0"/>
              <w:bottom w:val="single" w:color="000000" w:sz="4" w:space="0"/>
              <w:right w:val="single" w:color="000000" w:sz="4" w:space="0"/>
            </w:tcBorders>
            <w:vAlign w:val="center"/>
          </w:tcPr>
          <w:p w14:paraId="062E57DC">
            <w:pPr>
              <w:tabs>
                <w:tab w:val="left" w:pos="720"/>
              </w:tabs>
              <w:snapToGrid w:val="0"/>
              <w:spacing w:line="360" w:lineRule="auto"/>
              <w:jc w:val="center"/>
              <w:rPr>
                <w:rStyle w:val="66"/>
                <w:rFonts w:ascii="宋体" w:hAnsi="宋体"/>
                <w:sz w:val="24"/>
                <w:szCs w:val="24"/>
                <w:highlight w:val="none"/>
              </w:rPr>
            </w:pPr>
          </w:p>
        </w:tc>
        <w:tc>
          <w:tcPr>
            <w:tcW w:w="1376" w:type="dxa"/>
            <w:tcBorders>
              <w:top w:val="single" w:color="000000" w:sz="4" w:space="0"/>
              <w:left w:val="single" w:color="000000" w:sz="4" w:space="0"/>
              <w:bottom w:val="single" w:color="000000" w:sz="4" w:space="0"/>
              <w:right w:val="single" w:color="000000" w:sz="4" w:space="0"/>
            </w:tcBorders>
            <w:vAlign w:val="center"/>
          </w:tcPr>
          <w:p w14:paraId="4B344E93">
            <w:pPr>
              <w:tabs>
                <w:tab w:val="left" w:pos="720"/>
              </w:tabs>
              <w:snapToGrid w:val="0"/>
              <w:spacing w:line="360" w:lineRule="auto"/>
              <w:jc w:val="center"/>
              <w:rPr>
                <w:rStyle w:val="66"/>
                <w:rFonts w:ascii="宋体" w:hAnsi="宋体"/>
                <w:sz w:val="24"/>
                <w:szCs w:val="24"/>
                <w:highlight w:val="none"/>
              </w:rPr>
            </w:pPr>
          </w:p>
        </w:tc>
        <w:tc>
          <w:tcPr>
            <w:tcW w:w="2350" w:type="dxa"/>
            <w:tcBorders>
              <w:top w:val="single" w:color="000000" w:sz="4" w:space="0"/>
              <w:left w:val="single" w:color="000000" w:sz="4" w:space="0"/>
              <w:bottom w:val="single" w:color="000000" w:sz="4" w:space="0"/>
              <w:right w:val="single" w:color="000000" w:sz="4" w:space="0"/>
            </w:tcBorders>
            <w:vAlign w:val="center"/>
          </w:tcPr>
          <w:p w14:paraId="71CDCC52">
            <w:pPr>
              <w:tabs>
                <w:tab w:val="left" w:pos="720"/>
              </w:tabs>
              <w:snapToGrid w:val="0"/>
              <w:spacing w:line="360" w:lineRule="auto"/>
              <w:jc w:val="center"/>
              <w:rPr>
                <w:rStyle w:val="66"/>
                <w:rFonts w:ascii="宋体" w:hAnsi="宋体"/>
                <w:sz w:val="24"/>
                <w:szCs w:val="24"/>
                <w:highlight w:val="none"/>
              </w:rPr>
            </w:pPr>
          </w:p>
        </w:tc>
        <w:tc>
          <w:tcPr>
            <w:tcW w:w="2251" w:type="dxa"/>
            <w:tcBorders>
              <w:top w:val="single" w:color="000000" w:sz="4" w:space="0"/>
              <w:left w:val="single" w:color="000000" w:sz="4" w:space="0"/>
              <w:bottom w:val="single" w:color="000000" w:sz="4" w:space="0"/>
              <w:right w:val="single" w:color="000000" w:sz="4" w:space="0"/>
            </w:tcBorders>
            <w:vAlign w:val="center"/>
          </w:tcPr>
          <w:p w14:paraId="6BC7BDE2">
            <w:pPr>
              <w:tabs>
                <w:tab w:val="left" w:pos="720"/>
              </w:tabs>
              <w:snapToGrid w:val="0"/>
              <w:spacing w:line="360" w:lineRule="auto"/>
              <w:jc w:val="center"/>
              <w:rPr>
                <w:rStyle w:val="66"/>
                <w:rFonts w:ascii="宋体" w:hAnsi="宋体"/>
                <w:sz w:val="24"/>
                <w:szCs w:val="24"/>
                <w:highlight w:val="none"/>
              </w:rPr>
            </w:pPr>
          </w:p>
        </w:tc>
        <w:tc>
          <w:tcPr>
            <w:tcW w:w="1354" w:type="dxa"/>
            <w:tcBorders>
              <w:top w:val="single" w:color="000000" w:sz="4" w:space="0"/>
              <w:left w:val="single" w:color="000000" w:sz="4" w:space="0"/>
              <w:bottom w:val="single" w:color="000000" w:sz="4" w:space="0"/>
              <w:right w:val="single" w:color="000000" w:sz="4" w:space="0"/>
            </w:tcBorders>
            <w:vAlign w:val="center"/>
          </w:tcPr>
          <w:p w14:paraId="5AE52C47">
            <w:pPr>
              <w:tabs>
                <w:tab w:val="left" w:pos="720"/>
              </w:tabs>
              <w:snapToGrid w:val="0"/>
              <w:spacing w:line="360" w:lineRule="auto"/>
              <w:jc w:val="center"/>
              <w:rPr>
                <w:rStyle w:val="66"/>
                <w:rFonts w:ascii="宋体" w:hAnsi="宋体"/>
                <w:sz w:val="24"/>
                <w:szCs w:val="24"/>
                <w:highlight w:val="none"/>
              </w:rPr>
            </w:pPr>
          </w:p>
        </w:tc>
      </w:tr>
      <w:tr w14:paraId="0F0730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183" w:type="dxa"/>
            <w:tcBorders>
              <w:top w:val="single" w:color="000000" w:sz="4" w:space="0"/>
              <w:left w:val="single" w:color="000000" w:sz="4" w:space="0"/>
              <w:bottom w:val="single" w:color="000000" w:sz="4" w:space="0"/>
              <w:right w:val="single" w:color="000000" w:sz="4" w:space="0"/>
            </w:tcBorders>
            <w:vAlign w:val="center"/>
          </w:tcPr>
          <w:p w14:paraId="3AA399DF">
            <w:pPr>
              <w:tabs>
                <w:tab w:val="left" w:pos="720"/>
              </w:tabs>
              <w:snapToGrid w:val="0"/>
              <w:spacing w:line="360" w:lineRule="auto"/>
              <w:jc w:val="center"/>
              <w:rPr>
                <w:rStyle w:val="66"/>
                <w:rFonts w:ascii="宋体" w:hAnsi="宋体"/>
                <w:sz w:val="24"/>
                <w:szCs w:val="24"/>
                <w:highlight w:val="none"/>
              </w:rPr>
            </w:pPr>
          </w:p>
        </w:tc>
        <w:tc>
          <w:tcPr>
            <w:tcW w:w="1376" w:type="dxa"/>
            <w:tcBorders>
              <w:top w:val="single" w:color="000000" w:sz="4" w:space="0"/>
              <w:left w:val="single" w:color="000000" w:sz="4" w:space="0"/>
              <w:bottom w:val="single" w:color="000000" w:sz="4" w:space="0"/>
              <w:right w:val="single" w:color="000000" w:sz="4" w:space="0"/>
            </w:tcBorders>
            <w:vAlign w:val="center"/>
          </w:tcPr>
          <w:p w14:paraId="59EDFB94">
            <w:pPr>
              <w:tabs>
                <w:tab w:val="left" w:pos="720"/>
              </w:tabs>
              <w:snapToGrid w:val="0"/>
              <w:spacing w:line="360" w:lineRule="auto"/>
              <w:jc w:val="center"/>
              <w:rPr>
                <w:rStyle w:val="66"/>
                <w:rFonts w:ascii="宋体" w:hAnsi="宋体"/>
                <w:sz w:val="24"/>
                <w:szCs w:val="24"/>
                <w:highlight w:val="none"/>
              </w:rPr>
            </w:pPr>
          </w:p>
        </w:tc>
        <w:tc>
          <w:tcPr>
            <w:tcW w:w="2350" w:type="dxa"/>
            <w:tcBorders>
              <w:top w:val="single" w:color="000000" w:sz="4" w:space="0"/>
              <w:left w:val="single" w:color="000000" w:sz="4" w:space="0"/>
              <w:bottom w:val="single" w:color="000000" w:sz="4" w:space="0"/>
              <w:right w:val="single" w:color="000000" w:sz="4" w:space="0"/>
            </w:tcBorders>
            <w:vAlign w:val="center"/>
          </w:tcPr>
          <w:p w14:paraId="612B2189">
            <w:pPr>
              <w:tabs>
                <w:tab w:val="left" w:pos="720"/>
              </w:tabs>
              <w:snapToGrid w:val="0"/>
              <w:spacing w:line="360" w:lineRule="auto"/>
              <w:jc w:val="center"/>
              <w:rPr>
                <w:rStyle w:val="66"/>
                <w:rFonts w:ascii="宋体" w:hAnsi="宋体"/>
                <w:sz w:val="24"/>
                <w:szCs w:val="24"/>
                <w:highlight w:val="none"/>
              </w:rPr>
            </w:pPr>
          </w:p>
        </w:tc>
        <w:tc>
          <w:tcPr>
            <w:tcW w:w="2251" w:type="dxa"/>
            <w:tcBorders>
              <w:top w:val="single" w:color="000000" w:sz="4" w:space="0"/>
              <w:left w:val="single" w:color="000000" w:sz="4" w:space="0"/>
              <w:bottom w:val="single" w:color="000000" w:sz="4" w:space="0"/>
              <w:right w:val="single" w:color="000000" w:sz="4" w:space="0"/>
            </w:tcBorders>
            <w:vAlign w:val="center"/>
          </w:tcPr>
          <w:p w14:paraId="38778CFD">
            <w:pPr>
              <w:tabs>
                <w:tab w:val="left" w:pos="720"/>
              </w:tabs>
              <w:snapToGrid w:val="0"/>
              <w:spacing w:line="360" w:lineRule="auto"/>
              <w:jc w:val="center"/>
              <w:rPr>
                <w:rStyle w:val="66"/>
                <w:rFonts w:ascii="宋体" w:hAnsi="宋体"/>
                <w:sz w:val="24"/>
                <w:szCs w:val="24"/>
                <w:highlight w:val="none"/>
              </w:rPr>
            </w:pPr>
          </w:p>
        </w:tc>
        <w:tc>
          <w:tcPr>
            <w:tcW w:w="1354" w:type="dxa"/>
            <w:tcBorders>
              <w:top w:val="single" w:color="000000" w:sz="4" w:space="0"/>
              <w:left w:val="single" w:color="000000" w:sz="4" w:space="0"/>
              <w:bottom w:val="single" w:color="000000" w:sz="4" w:space="0"/>
              <w:right w:val="single" w:color="000000" w:sz="4" w:space="0"/>
            </w:tcBorders>
            <w:vAlign w:val="center"/>
          </w:tcPr>
          <w:p w14:paraId="4DA8206C">
            <w:pPr>
              <w:tabs>
                <w:tab w:val="left" w:pos="720"/>
              </w:tabs>
              <w:snapToGrid w:val="0"/>
              <w:spacing w:line="360" w:lineRule="auto"/>
              <w:jc w:val="center"/>
              <w:rPr>
                <w:rStyle w:val="66"/>
                <w:rFonts w:ascii="宋体" w:hAnsi="宋体"/>
                <w:sz w:val="24"/>
                <w:szCs w:val="24"/>
                <w:highlight w:val="none"/>
              </w:rPr>
            </w:pPr>
          </w:p>
        </w:tc>
      </w:tr>
      <w:tr w14:paraId="57DAA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183" w:type="dxa"/>
            <w:tcBorders>
              <w:top w:val="single" w:color="000000" w:sz="4" w:space="0"/>
              <w:left w:val="single" w:color="000000" w:sz="4" w:space="0"/>
              <w:bottom w:val="single" w:color="000000" w:sz="4" w:space="0"/>
              <w:right w:val="single" w:color="000000" w:sz="4" w:space="0"/>
            </w:tcBorders>
            <w:vAlign w:val="center"/>
          </w:tcPr>
          <w:p w14:paraId="00F40269">
            <w:pPr>
              <w:tabs>
                <w:tab w:val="left" w:pos="720"/>
              </w:tabs>
              <w:snapToGrid w:val="0"/>
              <w:spacing w:line="360" w:lineRule="auto"/>
              <w:jc w:val="center"/>
              <w:rPr>
                <w:rStyle w:val="66"/>
                <w:rFonts w:ascii="宋体" w:hAnsi="宋体"/>
                <w:sz w:val="24"/>
                <w:szCs w:val="24"/>
                <w:highlight w:val="none"/>
              </w:rPr>
            </w:pPr>
          </w:p>
        </w:tc>
        <w:tc>
          <w:tcPr>
            <w:tcW w:w="1376" w:type="dxa"/>
            <w:tcBorders>
              <w:top w:val="single" w:color="000000" w:sz="4" w:space="0"/>
              <w:left w:val="single" w:color="000000" w:sz="4" w:space="0"/>
              <w:bottom w:val="single" w:color="000000" w:sz="4" w:space="0"/>
              <w:right w:val="single" w:color="000000" w:sz="4" w:space="0"/>
            </w:tcBorders>
            <w:vAlign w:val="center"/>
          </w:tcPr>
          <w:p w14:paraId="3281FB98">
            <w:pPr>
              <w:tabs>
                <w:tab w:val="left" w:pos="720"/>
              </w:tabs>
              <w:snapToGrid w:val="0"/>
              <w:spacing w:line="360" w:lineRule="auto"/>
              <w:jc w:val="center"/>
              <w:rPr>
                <w:rStyle w:val="66"/>
                <w:rFonts w:ascii="宋体" w:hAnsi="宋体"/>
                <w:sz w:val="24"/>
                <w:szCs w:val="24"/>
                <w:highlight w:val="none"/>
              </w:rPr>
            </w:pPr>
          </w:p>
        </w:tc>
        <w:tc>
          <w:tcPr>
            <w:tcW w:w="2350" w:type="dxa"/>
            <w:tcBorders>
              <w:top w:val="single" w:color="000000" w:sz="4" w:space="0"/>
              <w:left w:val="single" w:color="000000" w:sz="4" w:space="0"/>
              <w:bottom w:val="single" w:color="000000" w:sz="4" w:space="0"/>
              <w:right w:val="single" w:color="000000" w:sz="4" w:space="0"/>
            </w:tcBorders>
            <w:vAlign w:val="center"/>
          </w:tcPr>
          <w:p w14:paraId="7FF4C0A3">
            <w:pPr>
              <w:tabs>
                <w:tab w:val="left" w:pos="720"/>
              </w:tabs>
              <w:snapToGrid w:val="0"/>
              <w:spacing w:line="360" w:lineRule="auto"/>
              <w:jc w:val="center"/>
              <w:rPr>
                <w:rStyle w:val="66"/>
                <w:rFonts w:ascii="宋体" w:hAnsi="宋体"/>
                <w:sz w:val="24"/>
                <w:szCs w:val="24"/>
                <w:highlight w:val="none"/>
              </w:rPr>
            </w:pPr>
          </w:p>
        </w:tc>
        <w:tc>
          <w:tcPr>
            <w:tcW w:w="2251" w:type="dxa"/>
            <w:tcBorders>
              <w:top w:val="single" w:color="000000" w:sz="4" w:space="0"/>
              <w:left w:val="single" w:color="000000" w:sz="4" w:space="0"/>
              <w:bottom w:val="single" w:color="000000" w:sz="4" w:space="0"/>
              <w:right w:val="single" w:color="000000" w:sz="4" w:space="0"/>
            </w:tcBorders>
            <w:vAlign w:val="center"/>
          </w:tcPr>
          <w:p w14:paraId="70BE5AD4">
            <w:pPr>
              <w:tabs>
                <w:tab w:val="left" w:pos="720"/>
              </w:tabs>
              <w:snapToGrid w:val="0"/>
              <w:spacing w:line="360" w:lineRule="auto"/>
              <w:jc w:val="center"/>
              <w:rPr>
                <w:rStyle w:val="66"/>
                <w:rFonts w:ascii="宋体" w:hAnsi="宋体"/>
                <w:sz w:val="24"/>
                <w:szCs w:val="24"/>
                <w:highlight w:val="none"/>
              </w:rPr>
            </w:pPr>
          </w:p>
        </w:tc>
        <w:tc>
          <w:tcPr>
            <w:tcW w:w="1354" w:type="dxa"/>
            <w:tcBorders>
              <w:top w:val="single" w:color="000000" w:sz="4" w:space="0"/>
              <w:left w:val="single" w:color="000000" w:sz="4" w:space="0"/>
              <w:bottom w:val="single" w:color="000000" w:sz="4" w:space="0"/>
              <w:right w:val="single" w:color="000000" w:sz="4" w:space="0"/>
            </w:tcBorders>
            <w:vAlign w:val="center"/>
          </w:tcPr>
          <w:p w14:paraId="5A1D6745">
            <w:pPr>
              <w:tabs>
                <w:tab w:val="left" w:pos="720"/>
              </w:tabs>
              <w:snapToGrid w:val="0"/>
              <w:spacing w:line="360" w:lineRule="auto"/>
              <w:jc w:val="center"/>
              <w:rPr>
                <w:rStyle w:val="66"/>
                <w:rFonts w:ascii="宋体" w:hAnsi="宋体"/>
                <w:sz w:val="24"/>
                <w:szCs w:val="24"/>
                <w:highlight w:val="none"/>
              </w:rPr>
            </w:pPr>
          </w:p>
        </w:tc>
      </w:tr>
      <w:tr w14:paraId="5B178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183" w:type="dxa"/>
            <w:tcBorders>
              <w:top w:val="single" w:color="000000" w:sz="4" w:space="0"/>
              <w:left w:val="single" w:color="000000" w:sz="4" w:space="0"/>
              <w:bottom w:val="single" w:color="000000" w:sz="4" w:space="0"/>
              <w:right w:val="single" w:color="000000" w:sz="4" w:space="0"/>
            </w:tcBorders>
            <w:vAlign w:val="center"/>
          </w:tcPr>
          <w:p w14:paraId="2E9AFC59">
            <w:pPr>
              <w:tabs>
                <w:tab w:val="left" w:pos="720"/>
              </w:tabs>
              <w:snapToGrid w:val="0"/>
              <w:spacing w:line="360" w:lineRule="auto"/>
              <w:jc w:val="center"/>
              <w:rPr>
                <w:rStyle w:val="66"/>
                <w:rFonts w:ascii="宋体" w:hAnsi="宋体"/>
                <w:sz w:val="24"/>
                <w:szCs w:val="24"/>
                <w:highlight w:val="none"/>
              </w:rPr>
            </w:pPr>
          </w:p>
        </w:tc>
        <w:tc>
          <w:tcPr>
            <w:tcW w:w="1376" w:type="dxa"/>
            <w:tcBorders>
              <w:top w:val="single" w:color="000000" w:sz="4" w:space="0"/>
              <w:left w:val="single" w:color="000000" w:sz="4" w:space="0"/>
              <w:bottom w:val="single" w:color="000000" w:sz="4" w:space="0"/>
              <w:right w:val="single" w:color="000000" w:sz="4" w:space="0"/>
            </w:tcBorders>
            <w:vAlign w:val="center"/>
          </w:tcPr>
          <w:p w14:paraId="34317940">
            <w:pPr>
              <w:tabs>
                <w:tab w:val="left" w:pos="720"/>
              </w:tabs>
              <w:snapToGrid w:val="0"/>
              <w:spacing w:line="360" w:lineRule="auto"/>
              <w:jc w:val="center"/>
              <w:rPr>
                <w:rStyle w:val="66"/>
                <w:rFonts w:ascii="宋体" w:hAnsi="宋体"/>
                <w:sz w:val="24"/>
                <w:szCs w:val="24"/>
                <w:highlight w:val="none"/>
              </w:rPr>
            </w:pPr>
          </w:p>
        </w:tc>
        <w:tc>
          <w:tcPr>
            <w:tcW w:w="2350" w:type="dxa"/>
            <w:tcBorders>
              <w:top w:val="single" w:color="000000" w:sz="4" w:space="0"/>
              <w:left w:val="single" w:color="000000" w:sz="4" w:space="0"/>
              <w:bottom w:val="single" w:color="000000" w:sz="4" w:space="0"/>
              <w:right w:val="single" w:color="000000" w:sz="4" w:space="0"/>
            </w:tcBorders>
            <w:vAlign w:val="center"/>
          </w:tcPr>
          <w:p w14:paraId="254E12C9">
            <w:pPr>
              <w:tabs>
                <w:tab w:val="left" w:pos="720"/>
              </w:tabs>
              <w:snapToGrid w:val="0"/>
              <w:spacing w:line="360" w:lineRule="auto"/>
              <w:jc w:val="center"/>
              <w:rPr>
                <w:rStyle w:val="66"/>
                <w:rFonts w:ascii="宋体" w:hAnsi="宋体"/>
                <w:sz w:val="24"/>
                <w:szCs w:val="24"/>
                <w:highlight w:val="none"/>
              </w:rPr>
            </w:pPr>
          </w:p>
        </w:tc>
        <w:tc>
          <w:tcPr>
            <w:tcW w:w="2251" w:type="dxa"/>
            <w:tcBorders>
              <w:top w:val="single" w:color="000000" w:sz="4" w:space="0"/>
              <w:left w:val="single" w:color="000000" w:sz="4" w:space="0"/>
              <w:bottom w:val="single" w:color="000000" w:sz="4" w:space="0"/>
              <w:right w:val="single" w:color="000000" w:sz="4" w:space="0"/>
            </w:tcBorders>
            <w:vAlign w:val="center"/>
          </w:tcPr>
          <w:p w14:paraId="29D2FA43">
            <w:pPr>
              <w:tabs>
                <w:tab w:val="left" w:pos="720"/>
              </w:tabs>
              <w:snapToGrid w:val="0"/>
              <w:spacing w:line="360" w:lineRule="auto"/>
              <w:jc w:val="center"/>
              <w:rPr>
                <w:rStyle w:val="66"/>
                <w:rFonts w:ascii="宋体" w:hAnsi="宋体"/>
                <w:sz w:val="24"/>
                <w:szCs w:val="24"/>
                <w:highlight w:val="none"/>
              </w:rPr>
            </w:pPr>
          </w:p>
        </w:tc>
        <w:tc>
          <w:tcPr>
            <w:tcW w:w="1354" w:type="dxa"/>
            <w:tcBorders>
              <w:top w:val="single" w:color="000000" w:sz="4" w:space="0"/>
              <w:left w:val="single" w:color="000000" w:sz="4" w:space="0"/>
              <w:bottom w:val="single" w:color="000000" w:sz="4" w:space="0"/>
              <w:right w:val="single" w:color="000000" w:sz="4" w:space="0"/>
            </w:tcBorders>
            <w:vAlign w:val="center"/>
          </w:tcPr>
          <w:p w14:paraId="20A3AAA7">
            <w:pPr>
              <w:tabs>
                <w:tab w:val="left" w:pos="720"/>
              </w:tabs>
              <w:snapToGrid w:val="0"/>
              <w:spacing w:line="360" w:lineRule="auto"/>
              <w:jc w:val="center"/>
              <w:rPr>
                <w:rStyle w:val="66"/>
                <w:rFonts w:ascii="宋体" w:hAnsi="宋体"/>
                <w:sz w:val="24"/>
                <w:szCs w:val="24"/>
                <w:highlight w:val="none"/>
              </w:rPr>
            </w:pPr>
          </w:p>
        </w:tc>
      </w:tr>
      <w:tr w14:paraId="3BEDF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183" w:type="dxa"/>
            <w:tcBorders>
              <w:top w:val="single" w:color="000000" w:sz="4" w:space="0"/>
              <w:left w:val="single" w:color="000000" w:sz="4" w:space="0"/>
              <w:bottom w:val="single" w:color="000000" w:sz="4" w:space="0"/>
              <w:right w:val="single" w:color="000000" w:sz="4" w:space="0"/>
            </w:tcBorders>
            <w:vAlign w:val="center"/>
          </w:tcPr>
          <w:p w14:paraId="6B6B2EDE">
            <w:pPr>
              <w:tabs>
                <w:tab w:val="left" w:pos="720"/>
              </w:tabs>
              <w:snapToGrid w:val="0"/>
              <w:spacing w:line="360" w:lineRule="auto"/>
              <w:jc w:val="center"/>
              <w:rPr>
                <w:rStyle w:val="66"/>
                <w:rFonts w:ascii="宋体" w:hAnsi="宋体"/>
                <w:sz w:val="24"/>
                <w:szCs w:val="24"/>
                <w:highlight w:val="none"/>
              </w:rPr>
            </w:pPr>
          </w:p>
        </w:tc>
        <w:tc>
          <w:tcPr>
            <w:tcW w:w="1376" w:type="dxa"/>
            <w:tcBorders>
              <w:top w:val="single" w:color="000000" w:sz="4" w:space="0"/>
              <w:left w:val="single" w:color="000000" w:sz="4" w:space="0"/>
              <w:bottom w:val="single" w:color="000000" w:sz="4" w:space="0"/>
              <w:right w:val="single" w:color="000000" w:sz="4" w:space="0"/>
            </w:tcBorders>
            <w:vAlign w:val="center"/>
          </w:tcPr>
          <w:p w14:paraId="5FF43BF4">
            <w:pPr>
              <w:tabs>
                <w:tab w:val="left" w:pos="720"/>
              </w:tabs>
              <w:snapToGrid w:val="0"/>
              <w:spacing w:line="360" w:lineRule="auto"/>
              <w:jc w:val="center"/>
              <w:rPr>
                <w:rStyle w:val="66"/>
                <w:rFonts w:ascii="宋体" w:hAnsi="宋体"/>
                <w:sz w:val="24"/>
                <w:szCs w:val="24"/>
                <w:highlight w:val="none"/>
              </w:rPr>
            </w:pPr>
          </w:p>
        </w:tc>
        <w:tc>
          <w:tcPr>
            <w:tcW w:w="2350" w:type="dxa"/>
            <w:tcBorders>
              <w:top w:val="single" w:color="000000" w:sz="4" w:space="0"/>
              <w:left w:val="single" w:color="000000" w:sz="4" w:space="0"/>
              <w:bottom w:val="single" w:color="000000" w:sz="4" w:space="0"/>
              <w:right w:val="single" w:color="000000" w:sz="4" w:space="0"/>
            </w:tcBorders>
            <w:vAlign w:val="center"/>
          </w:tcPr>
          <w:p w14:paraId="6F4CF277">
            <w:pPr>
              <w:tabs>
                <w:tab w:val="left" w:pos="720"/>
              </w:tabs>
              <w:snapToGrid w:val="0"/>
              <w:spacing w:line="360" w:lineRule="auto"/>
              <w:jc w:val="center"/>
              <w:rPr>
                <w:rStyle w:val="66"/>
                <w:rFonts w:ascii="宋体" w:hAnsi="宋体"/>
                <w:sz w:val="24"/>
                <w:szCs w:val="24"/>
                <w:highlight w:val="none"/>
              </w:rPr>
            </w:pPr>
          </w:p>
        </w:tc>
        <w:tc>
          <w:tcPr>
            <w:tcW w:w="2251" w:type="dxa"/>
            <w:tcBorders>
              <w:top w:val="single" w:color="000000" w:sz="4" w:space="0"/>
              <w:left w:val="single" w:color="000000" w:sz="4" w:space="0"/>
              <w:bottom w:val="single" w:color="000000" w:sz="4" w:space="0"/>
              <w:right w:val="single" w:color="000000" w:sz="4" w:space="0"/>
            </w:tcBorders>
            <w:vAlign w:val="center"/>
          </w:tcPr>
          <w:p w14:paraId="0089458D">
            <w:pPr>
              <w:tabs>
                <w:tab w:val="left" w:pos="720"/>
              </w:tabs>
              <w:snapToGrid w:val="0"/>
              <w:spacing w:line="360" w:lineRule="auto"/>
              <w:jc w:val="center"/>
              <w:rPr>
                <w:rStyle w:val="66"/>
                <w:rFonts w:ascii="宋体" w:hAnsi="宋体"/>
                <w:sz w:val="24"/>
                <w:szCs w:val="24"/>
                <w:highlight w:val="none"/>
              </w:rPr>
            </w:pPr>
          </w:p>
        </w:tc>
        <w:tc>
          <w:tcPr>
            <w:tcW w:w="1354" w:type="dxa"/>
            <w:tcBorders>
              <w:top w:val="single" w:color="000000" w:sz="4" w:space="0"/>
              <w:left w:val="single" w:color="000000" w:sz="4" w:space="0"/>
              <w:bottom w:val="single" w:color="000000" w:sz="4" w:space="0"/>
              <w:right w:val="single" w:color="000000" w:sz="4" w:space="0"/>
            </w:tcBorders>
            <w:vAlign w:val="center"/>
          </w:tcPr>
          <w:p w14:paraId="71EF104E">
            <w:pPr>
              <w:tabs>
                <w:tab w:val="left" w:pos="720"/>
              </w:tabs>
              <w:snapToGrid w:val="0"/>
              <w:spacing w:line="360" w:lineRule="auto"/>
              <w:jc w:val="center"/>
              <w:rPr>
                <w:rStyle w:val="66"/>
                <w:rFonts w:ascii="宋体" w:hAnsi="宋体"/>
                <w:sz w:val="24"/>
                <w:szCs w:val="24"/>
                <w:highlight w:val="none"/>
              </w:rPr>
            </w:pPr>
          </w:p>
        </w:tc>
      </w:tr>
      <w:tr w14:paraId="15E59C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183" w:type="dxa"/>
            <w:tcBorders>
              <w:top w:val="single" w:color="000000" w:sz="4" w:space="0"/>
              <w:left w:val="single" w:color="000000" w:sz="4" w:space="0"/>
              <w:bottom w:val="single" w:color="000000" w:sz="4" w:space="0"/>
              <w:right w:val="single" w:color="000000" w:sz="4" w:space="0"/>
            </w:tcBorders>
            <w:vAlign w:val="center"/>
          </w:tcPr>
          <w:p w14:paraId="35681DFD">
            <w:pPr>
              <w:tabs>
                <w:tab w:val="left" w:pos="720"/>
              </w:tabs>
              <w:snapToGrid w:val="0"/>
              <w:spacing w:line="360" w:lineRule="auto"/>
              <w:jc w:val="center"/>
              <w:rPr>
                <w:rStyle w:val="66"/>
                <w:rFonts w:ascii="宋体" w:hAnsi="宋体"/>
                <w:sz w:val="24"/>
                <w:szCs w:val="24"/>
                <w:highlight w:val="none"/>
              </w:rPr>
            </w:pPr>
          </w:p>
        </w:tc>
        <w:tc>
          <w:tcPr>
            <w:tcW w:w="1376" w:type="dxa"/>
            <w:tcBorders>
              <w:top w:val="single" w:color="000000" w:sz="4" w:space="0"/>
              <w:left w:val="single" w:color="000000" w:sz="4" w:space="0"/>
              <w:bottom w:val="single" w:color="000000" w:sz="4" w:space="0"/>
              <w:right w:val="single" w:color="000000" w:sz="4" w:space="0"/>
            </w:tcBorders>
            <w:vAlign w:val="center"/>
          </w:tcPr>
          <w:p w14:paraId="74CC4AA3">
            <w:pPr>
              <w:tabs>
                <w:tab w:val="left" w:pos="720"/>
              </w:tabs>
              <w:snapToGrid w:val="0"/>
              <w:spacing w:line="360" w:lineRule="auto"/>
              <w:jc w:val="center"/>
              <w:rPr>
                <w:rStyle w:val="66"/>
                <w:rFonts w:ascii="宋体" w:hAnsi="宋体"/>
                <w:sz w:val="24"/>
                <w:szCs w:val="24"/>
                <w:highlight w:val="none"/>
              </w:rPr>
            </w:pPr>
          </w:p>
        </w:tc>
        <w:tc>
          <w:tcPr>
            <w:tcW w:w="2350" w:type="dxa"/>
            <w:tcBorders>
              <w:top w:val="single" w:color="000000" w:sz="4" w:space="0"/>
              <w:left w:val="single" w:color="000000" w:sz="4" w:space="0"/>
              <w:bottom w:val="single" w:color="000000" w:sz="4" w:space="0"/>
              <w:right w:val="single" w:color="000000" w:sz="4" w:space="0"/>
            </w:tcBorders>
            <w:vAlign w:val="center"/>
          </w:tcPr>
          <w:p w14:paraId="173D95DA">
            <w:pPr>
              <w:tabs>
                <w:tab w:val="left" w:pos="720"/>
              </w:tabs>
              <w:snapToGrid w:val="0"/>
              <w:spacing w:line="360" w:lineRule="auto"/>
              <w:jc w:val="center"/>
              <w:rPr>
                <w:rStyle w:val="66"/>
                <w:rFonts w:ascii="宋体" w:hAnsi="宋体"/>
                <w:sz w:val="24"/>
                <w:szCs w:val="24"/>
                <w:highlight w:val="none"/>
              </w:rPr>
            </w:pPr>
          </w:p>
        </w:tc>
        <w:tc>
          <w:tcPr>
            <w:tcW w:w="2251" w:type="dxa"/>
            <w:tcBorders>
              <w:top w:val="single" w:color="000000" w:sz="4" w:space="0"/>
              <w:left w:val="single" w:color="000000" w:sz="4" w:space="0"/>
              <w:bottom w:val="single" w:color="000000" w:sz="4" w:space="0"/>
              <w:right w:val="single" w:color="000000" w:sz="4" w:space="0"/>
            </w:tcBorders>
            <w:vAlign w:val="center"/>
          </w:tcPr>
          <w:p w14:paraId="46FBA8FE">
            <w:pPr>
              <w:tabs>
                <w:tab w:val="left" w:pos="720"/>
              </w:tabs>
              <w:snapToGrid w:val="0"/>
              <w:spacing w:line="360" w:lineRule="auto"/>
              <w:jc w:val="center"/>
              <w:rPr>
                <w:rStyle w:val="66"/>
                <w:rFonts w:ascii="宋体" w:hAnsi="宋体"/>
                <w:sz w:val="24"/>
                <w:szCs w:val="24"/>
                <w:highlight w:val="none"/>
              </w:rPr>
            </w:pPr>
          </w:p>
        </w:tc>
        <w:tc>
          <w:tcPr>
            <w:tcW w:w="1354" w:type="dxa"/>
            <w:tcBorders>
              <w:top w:val="single" w:color="000000" w:sz="4" w:space="0"/>
              <w:left w:val="single" w:color="000000" w:sz="4" w:space="0"/>
              <w:bottom w:val="single" w:color="000000" w:sz="4" w:space="0"/>
              <w:right w:val="single" w:color="000000" w:sz="4" w:space="0"/>
            </w:tcBorders>
            <w:vAlign w:val="center"/>
          </w:tcPr>
          <w:p w14:paraId="082D9E6B">
            <w:pPr>
              <w:tabs>
                <w:tab w:val="left" w:pos="720"/>
              </w:tabs>
              <w:snapToGrid w:val="0"/>
              <w:spacing w:line="360" w:lineRule="auto"/>
              <w:jc w:val="center"/>
              <w:rPr>
                <w:rStyle w:val="66"/>
                <w:rFonts w:ascii="宋体" w:hAnsi="宋体"/>
                <w:sz w:val="24"/>
                <w:szCs w:val="24"/>
                <w:highlight w:val="none"/>
              </w:rPr>
            </w:pPr>
          </w:p>
        </w:tc>
      </w:tr>
      <w:tr w14:paraId="09AC5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1183" w:type="dxa"/>
            <w:tcBorders>
              <w:top w:val="single" w:color="000000" w:sz="4" w:space="0"/>
              <w:left w:val="single" w:color="000000" w:sz="4" w:space="0"/>
              <w:bottom w:val="single" w:color="000000" w:sz="4" w:space="0"/>
              <w:right w:val="single" w:color="000000" w:sz="4" w:space="0"/>
            </w:tcBorders>
            <w:vAlign w:val="center"/>
          </w:tcPr>
          <w:p w14:paraId="2C804F46">
            <w:pPr>
              <w:tabs>
                <w:tab w:val="left" w:pos="720"/>
              </w:tabs>
              <w:snapToGrid w:val="0"/>
              <w:spacing w:line="360" w:lineRule="auto"/>
              <w:jc w:val="center"/>
              <w:rPr>
                <w:rStyle w:val="66"/>
                <w:rFonts w:ascii="宋体" w:hAnsi="宋体"/>
                <w:sz w:val="24"/>
                <w:szCs w:val="24"/>
                <w:highlight w:val="none"/>
              </w:rPr>
            </w:pPr>
          </w:p>
        </w:tc>
        <w:tc>
          <w:tcPr>
            <w:tcW w:w="1376" w:type="dxa"/>
            <w:tcBorders>
              <w:top w:val="single" w:color="000000" w:sz="4" w:space="0"/>
              <w:left w:val="single" w:color="000000" w:sz="4" w:space="0"/>
              <w:bottom w:val="single" w:color="000000" w:sz="4" w:space="0"/>
              <w:right w:val="single" w:color="000000" w:sz="4" w:space="0"/>
            </w:tcBorders>
            <w:vAlign w:val="center"/>
          </w:tcPr>
          <w:p w14:paraId="05040553">
            <w:pPr>
              <w:tabs>
                <w:tab w:val="left" w:pos="720"/>
              </w:tabs>
              <w:snapToGrid w:val="0"/>
              <w:spacing w:line="360" w:lineRule="auto"/>
              <w:jc w:val="center"/>
              <w:rPr>
                <w:rStyle w:val="66"/>
                <w:rFonts w:ascii="宋体" w:hAnsi="宋体"/>
                <w:sz w:val="24"/>
                <w:szCs w:val="24"/>
                <w:highlight w:val="none"/>
              </w:rPr>
            </w:pPr>
          </w:p>
        </w:tc>
        <w:tc>
          <w:tcPr>
            <w:tcW w:w="2350" w:type="dxa"/>
            <w:tcBorders>
              <w:top w:val="single" w:color="000000" w:sz="4" w:space="0"/>
              <w:left w:val="single" w:color="000000" w:sz="4" w:space="0"/>
              <w:bottom w:val="single" w:color="000000" w:sz="4" w:space="0"/>
              <w:right w:val="single" w:color="000000" w:sz="4" w:space="0"/>
            </w:tcBorders>
            <w:vAlign w:val="center"/>
          </w:tcPr>
          <w:p w14:paraId="3BAF01F3">
            <w:pPr>
              <w:tabs>
                <w:tab w:val="left" w:pos="720"/>
              </w:tabs>
              <w:snapToGrid w:val="0"/>
              <w:spacing w:line="360" w:lineRule="auto"/>
              <w:jc w:val="center"/>
              <w:rPr>
                <w:rStyle w:val="66"/>
                <w:rFonts w:ascii="宋体" w:hAnsi="宋体"/>
                <w:sz w:val="24"/>
                <w:szCs w:val="24"/>
                <w:highlight w:val="none"/>
              </w:rPr>
            </w:pPr>
          </w:p>
        </w:tc>
        <w:tc>
          <w:tcPr>
            <w:tcW w:w="2251" w:type="dxa"/>
            <w:tcBorders>
              <w:top w:val="single" w:color="000000" w:sz="4" w:space="0"/>
              <w:left w:val="single" w:color="000000" w:sz="4" w:space="0"/>
              <w:bottom w:val="single" w:color="000000" w:sz="4" w:space="0"/>
              <w:right w:val="single" w:color="000000" w:sz="4" w:space="0"/>
            </w:tcBorders>
            <w:vAlign w:val="center"/>
          </w:tcPr>
          <w:p w14:paraId="1D67418E">
            <w:pPr>
              <w:tabs>
                <w:tab w:val="left" w:pos="720"/>
              </w:tabs>
              <w:snapToGrid w:val="0"/>
              <w:spacing w:line="360" w:lineRule="auto"/>
              <w:jc w:val="center"/>
              <w:rPr>
                <w:rStyle w:val="66"/>
                <w:rFonts w:ascii="宋体" w:hAnsi="宋体"/>
                <w:sz w:val="24"/>
                <w:szCs w:val="24"/>
                <w:highlight w:val="none"/>
              </w:rPr>
            </w:pPr>
          </w:p>
        </w:tc>
        <w:tc>
          <w:tcPr>
            <w:tcW w:w="1354" w:type="dxa"/>
            <w:tcBorders>
              <w:top w:val="single" w:color="000000" w:sz="4" w:space="0"/>
              <w:left w:val="single" w:color="000000" w:sz="4" w:space="0"/>
              <w:bottom w:val="single" w:color="000000" w:sz="4" w:space="0"/>
              <w:right w:val="single" w:color="000000" w:sz="4" w:space="0"/>
            </w:tcBorders>
            <w:vAlign w:val="center"/>
          </w:tcPr>
          <w:p w14:paraId="04BCD39A">
            <w:pPr>
              <w:tabs>
                <w:tab w:val="left" w:pos="720"/>
              </w:tabs>
              <w:snapToGrid w:val="0"/>
              <w:spacing w:line="360" w:lineRule="auto"/>
              <w:jc w:val="center"/>
              <w:rPr>
                <w:rStyle w:val="66"/>
                <w:rFonts w:ascii="宋体" w:hAnsi="宋体"/>
                <w:sz w:val="24"/>
                <w:szCs w:val="24"/>
                <w:highlight w:val="none"/>
              </w:rPr>
            </w:pPr>
          </w:p>
        </w:tc>
      </w:tr>
      <w:tr w14:paraId="694E07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183" w:type="dxa"/>
            <w:tcBorders>
              <w:top w:val="single" w:color="000000" w:sz="4" w:space="0"/>
              <w:left w:val="single" w:color="000000" w:sz="4" w:space="0"/>
              <w:bottom w:val="single" w:color="000000" w:sz="4" w:space="0"/>
              <w:right w:val="single" w:color="000000" w:sz="4" w:space="0"/>
            </w:tcBorders>
            <w:vAlign w:val="center"/>
          </w:tcPr>
          <w:p w14:paraId="577E6F51">
            <w:pPr>
              <w:tabs>
                <w:tab w:val="left" w:pos="720"/>
              </w:tabs>
              <w:snapToGrid w:val="0"/>
              <w:spacing w:line="360" w:lineRule="auto"/>
              <w:jc w:val="center"/>
              <w:rPr>
                <w:rStyle w:val="66"/>
                <w:rFonts w:ascii="宋体" w:hAnsi="宋体"/>
                <w:sz w:val="24"/>
                <w:szCs w:val="24"/>
                <w:highlight w:val="none"/>
              </w:rPr>
            </w:pPr>
          </w:p>
        </w:tc>
        <w:tc>
          <w:tcPr>
            <w:tcW w:w="1376" w:type="dxa"/>
            <w:tcBorders>
              <w:top w:val="single" w:color="000000" w:sz="4" w:space="0"/>
              <w:left w:val="single" w:color="000000" w:sz="4" w:space="0"/>
              <w:bottom w:val="single" w:color="000000" w:sz="4" w:space="0"/>
              <w:right w:val="single" w:color="000000" w:sz="4" w:space="0"/>
            </w:tcBorders>
            <w:vAlign w:val="center"/>
          </w:tcPr>
          <w:p w14:paraId="26F97E77">
            <w:pPr>
              <w:tabs>
                <w:tab w:val="left" w:pos="720"/>
              </w:tabs>
              <w:snapToGrid w:val="0"/>
              <w:spacing w:line="360" w:lineRule="auto"/>
              <w:jc w:val="center"/>
              <w:rPr>
                <w:rStyle w:val="66"/>
                <w:rFonts w:ascii="宋体" w:hAnsi="宋体"/>
                <w:sz w:val="24"/>
                <w:szCs w:val="24"/>
                <w:highlight w:val="none"/>
              </w:rPr>
            </w:pPr>
          </w:p>
        </w:tc>
        <w:tc>
          <w:tcPr>
            <w:tcW w:w="2350" w:type="dxa"/>
            <w:tcBorders>
              <w:top w:val="single" w:color="000000" w:sz="4" w:space="0"/>
              <w:left w:val="single" w:color="000000" w:sz="4" w:space="0"/>
              <w:bottom w:val="single" w:color="000000" w:sz="4" w:space="0"/>
              <w:right w:val="single" w:color="000000" w:sz="4" w:space="0"/>
            </w:tcBorders>
            <w:vAlign w:val="center"/>
          </w:tcPr>
          <w:p w14:paraId="0B6968ED">
            <w:pPr>
              <w:tabs>
                <w:tab w:val="left" w:pos="720"/>
              </w:tabs>
              <w:snapToGrid w:val="0"/>
              <w:spacing w:line="360" w:lineRule="auto"/>
              <w:jc w:val="center"/>
              <w:rPr>
                <w:rStyle w:val="66"/>
                <w:rFonts w:ascii="宋体" w:hAnsi="宋体"/>
                <w:sz w:val="24"/>
                <w:szCs w:val="24"/>
                <w:highlight w:val="none"/>
              </w:rPr>
            </w:pPr>
          </w:p>
        </w:tc>
        <w:tc>
          <w:tcPr>
            <w:tcW w:w="2251" w:type="dxa"/>
            <w:tcBorders>
              <w:top w:val="single" w:color="000000" w:sz="4" w:space="0"/>
              <w:left w:val="single" w:color="000000" w:sz="4" w:space="0"/>
              <w:bottom w:val="single" w:color="000000" w:sz="4" w:space="0"/>
              <w:right w:val="single" w:color="000000" w:sz="4" w:space="0"/>
            </w:tcBorders>
            <w:vAlign w:val="center"/>
          </w:tcPr>
          <w:p w14:paraId="660831C7">
            <w:pPr>
              <w:tabs>
                <w:tab w:val="left" w:pos="720"/>
              </w:tabs>
              <w:snapToGrid w:val="0"/>
              <w:spacing w:line="360" w:lineRule="auto"/>
              <w:jc w:val="center"/>
              <w:rPr>
                <w:rStyle w:val="66"/>
                <w:rFonts w:ascii="宋体" w:hAnsi="宋体"/>
                <w:sz w:val="24"/>
                <w:szCs w:val="24"/>
                <w:highlight w:val="none"/>
              </w:rPr>
            </w:pPr>
          </w:p>
        </w:tc>
        <w:tc>
          <w:tcPr>
            <w:tcW w:w="1354" w:type="dxa"/>
            <w:tcBorders>
              <w:top w:val="single" w:color="000000" w:sz="4" w:space="0"/>
              <w:left w:val="single" w:color="000000" w:sz="4" w:space="0"/>
              <w:bottom w:val="single" w:color="000000" w:sz="4" w:space="0"/>
              <w:right w:val="single" w:color="000000" w:sz="4" w:space="0"/>
            </w:tcBorders>
            <w:vAlign w:val="center"/>
          </w:tcPr>
          <w:p w14:paraId="0ADCDFDB">
            <w:pPr>
              <w:tabs>
                <w:tab w:val="left" w:pos="720"/>
              </w:tabs>
              <w:snapToGrid w:val="0"/>
              <w:spacing w:line="360" w:lineRule="auto"/>
              <w:jc w:val="center"/>
              <w:rPr>
                <w:rStyle w:val="66"/>
                <w:rFonts w:ascii="宋体" w:hAnsi="宋体"/>
                <w:sz w:val="24"/>
                <w:szCs w:val="24"/>
                <w:highlight w:val="none"/>
              </w:rPr>
            </w:pPr>
          </w:p>
        </w:tc>
      </w:tr>
    </w:tbl>
    <w:p w14:paraId="326C22D9">
      <w:pPr>
        <w:spacing w:line="360" w:lineRule="auto"/>
        <w:rPr>
          <w:rStyle w:val="66"/>
          <w:rFonts w:ascii="宋体" w:hAnsi="宋体"/>
          <w:highlight w:val="none"/>
        </w:rPr>
      </w:pPr>
      <w:r>
        <w:rPr>
          <w:rStyle w:val="66"/>
          <w:rFonts w:ascii="宋体" w:hAnsi="宋体"/>
          <w:highlight w:val="none"/>
        </w:rPr>
        <w:t>注：参与编制经济标书所有人员名单应包括如编制各种专业工程量清单投标报价、负责清样校对、负责打印及复印等所有人员在内的人员名单。</w:t>
      </w:r>
    </w:p>
    <w:p w14:paraId="6C9E1956">
      <w:pPr>
        <w:spacing w:line="360" w:lineRule="auto"/>
        <w:rPr>
          <w:rStyle w:val="66"/>
          <w:rFonts w:ascii="宋体" w:hAnsi="宋体"/>
          <w:highlight w:val="none"/>
        </w:rPr>
      </w:pPr>
    </w:p>
    <w:p w14:paraId="465F3C34">
      <w:pPr>
        <w:spacing w:line="360" w:lineRule="auto"/>
        <w:rPr>
          <w:rStyle w:val="66"/>
          <w:rFonts w:ascii="宋体" w:hAnsi="宋体" w:cs="宋体"/>
          <w:b/>
          <w:bCs/>
          <w:sz w:val="24"/>
          <w:szCs w:val="24"/>
          <w:highlight w:val="none"/>
        </w:rPr>
      </w:pPr>
    </w:p>
    <w:p w14:paraId="45A53DC6">
      <w:pPr>
        <w:spacing w:line="360" w:lineRule="auto"/>
        <w:rPr>
          <w:rStyle w:val="66"/>
          <w:rFonts w:ascii="宋体" w:hAnsi="宋体" w:cs="宋体"/>
          <w:b/>
          <w:bCs/>
          <w:sz w:val="24"/>
          <w:szCs w:val="24"/>
          <w:highlight w:val="none"/>
        </w:rPr>
      </w:pPr>
      <w:r>
        <w:rPr>
          <w:rStyle w:val="66"/>
          <w:rFonts w:ascii="宋体" w:hAnsi="宋体" w:cs="宋体"/>
          <w:b/>
          <w:bCs/>
          <w:sz w:val="24"/>
          <w:szCs w:val="24"/>
          <w:highlight w:val="none"/>
        </w:rPr>
        <w:br w:type="page"/>
      </w:r>
      <w:r>
        <w:rPr>
          <w:rStyle w:val="66"/>
          <w:rFonts w:ascii="宋体" w:hAnsi="宋体" w:cs="宋体"/>
          <w:b/>
          <w:bCs/>
          <w:sz w:val="24"/>
          <w:szCs w:val="24"/>
          <w:highlight w:val="none"/>
        </w:rPr>
        <w:t>格式</w:t>
      </w:r>
      <w:r>
        <w:rPr>
          <w:rStyle w:val="66"/>
          <w:rFonts w:hint="eastAsia" w:ascii="宋体" w:hAnsi="宋体" w:cs="宋体"/>
          <w:b/>
          <w:bCs/>
          <w:sz w:val="24"/>
          <w:szCs w:val="24"/>
          <w:highlight w:val="none"/>
        </w:rPr>
        <w:t>三</w:t>
      </w:r>
    </w:p>
    <w:p w14:paraId="360151AF">
      <w:pPr>
        <w:spacing w:line="360" w:lineRule="auto"/>
        <w:jc w:val="center"/>
        <w:rPr>
          <w:rStyle w:val="66"/>
          <w:rFonts w:ascii="宋体" w:hAnsi="宋体"/>
          <w:kern w:val="0"/>
          <w:sz w:val="32"/>
          <w:szCs w:val="32"/>
          <w:highlight w:val="none"/>
        </w:rPr>
      </w:pPr>
      <w:r>
        <w:rPr>
          <w:rStyle w:val="66"/>
          <w:rFonts w:ascii="宋体" w:hAnsi="宋体"/>
          <w:b/>
          <w:kern w:val="0"/>
          <w:sz w:val="32"/>
          <w:szCs w:val="32"/>
          <w:highlight w:val="none"/>
        </w:rPr>
        <w:t>对投标文件编制的承诺</w:t>
      </w:r>
    </w:p>
    <w:p w14:paraId="2C470DA3">
      <w:pPr>
        <w:spacing w:line="360" w:lineRule="auto"/>
        <w:ind w:left="-2" w:leftChars="-1" w:firstLine="540" w:firstLineChars="225"/>
        <w:rPr>
          <w:rStyle w:val="66"/>
          <w:rFonts w:ascii="宋体" w:hAnsi="宋体"/>
          <w:kern w:val="0"/>
          <w:sz w:val="24"/>
          <w:szCs w:val="24"/>
          <w:highlight w:val="none"/>
        </w:rPr>
      </w:pPr>
      <w:r>
        <w:rPr>
          <w:rStyle w:val="66"/>
          <w:rFonts w:ascii="宋体" w:hAnsi="宋体"/>
          <w:kern w:val="0"/>
          <w:sz w:val="24"/>
          <w:szCs w:val="24"/>
          <w:highlight w:val="none"/>
        </w:rPr>
        <w:t>本公司授权</w:t>
      </w:r>
      <w:r>
        <w:rPr>
          <w:rStyle w:val="66"/>
          <w:rFonts w:ascii="宋体" w:hAnsi="宋体"/>
          <w:kern w:val="0"/>
          <w:sz w:val="24"/>
          <w:szCs w:val="24"/>
          <w:highlight w:val="none"/>
          <w:u w:val="single"/>
        </w:rPr>
        <w:t xml:space="preserve">         （身份证号：               ）</w:t>
      </w:r>
      <w:r>
        <w:rPr>
          <w:rStyle w:val="66"/>
          <w:rFonts w:ascii="宋体" w:hAnsi="宋体"/>
          <w:kern w:val="0"/>
          <w:sz w:val="24"/>
          <w:szCs w:val="24"/>
          <w:highlight w:val="none"/>
        </w:rPr>
        <w:t>负责对投标文件的编制及内容进行解释、说明，并承诺以下事项：</w:t>
      </w:r>
    </w:p>
    <w:p w14:paraId="3799E510">
      <w:pPr>
        <w:spacing w:line="360" w:lineRule="auto"/>
        <w:ind w:left="-2" w:leftChars="-1" w:firstLine="540" w:firstLineChars="225"/>
        <w:rPr>
          <w:rStyle w:val="66"/>
          <w:rFonts w:ascii="宋体" w:hAnsi="宋体"/>
          <w:kern w:val="0"/>
          <w:sz w:val="24"/>
          <w:szCs w:val="24"/>
          <w:highlight w:val="none"/>
        </w:rPr>
      </w:pPr>
      <w:r>
        <w:rPr>
          <w:rStyle w:val="66"/>
          <w:rFonts w:ascii="宋体" w:hAnsi="宋体"/>
          <w:kern w:val="0"/>
          <w:sz w:val="24"/>
          <w:szCs w:val="24"/>
          <w:highlight w:val="none"/>
        </w:rPr>
        <w:t>1.被授权人清楚投标文件编制的具体情况，包括技术方案文件、工程量清单、以及投标文件的加密打包的理解；</w:t>
      </w:r>
    </w:p>
    <w:p w14:paraId="3AE9EBA5">
      <w:pPr>
        <w:spacing w:line="360" w:lineRule="auto"/>
        <w:ind w:left="-2" w:leftChars="-1" w:firstLine="540" w:firstLineChars="225"/>
        <w:rPr>
          <w:rStyle w:val="66"/>
          <w:rFonts w:ascii="宋体" w:hAnsi="宋体"/>
          <w:kern w:val="0"/>
          <w:sz w:val="24"/>
          <w:szCs w:val="24"/>
          <w:highlight w:val="none"/>
        </w:rPr>
      </w:pPr>
      <w:r>
        <w:rPr>
          <w:rStyle w:val="66"/>
          <w:rFonts w:ascii="宋体" w:hAnsi="宋体"/>
          <w:kern w:val="0"/>
          <w:sz w:val="24"/>
          <w:szCs w:val="24"/>
          <w:highlight w:val="none"/>
        </w:rPr>
        <w:t>2.在本项目开标至评标结束前，努力确保被授权人在项目评标所在地附近；</w:t>
      </w:r>
    </w:p>
    <w:p w14:paraId="3D13671D">
      <w:pPr>
        <w:spacing w:line="360" w:lineRule="auto"/>
        <w:ind w:left="-2" w:leftChars="-1" w:firstLine="540" w:firstLineChars="225"/>
        <w:rPr>
          <w:rStyle w:val="66"/>
          <w:rFonts w:ascii="宋体" w:hAnsi="宋体"/>
          <w:kern w:val="0"/>
          <w:sz w:val="24"/>
          <w:szCs w:val="24"/>
          <w:highlight w:val="none"/>
        </w:rPr>
      </w:pPr>
      <w:r>
        <w:rPr>
          <w:rStyle w:val="66"/>
          <w:rFonts w:ascii="宋体" w:hAnsi="宋体"/>
          <w:kern w:val="0"/>
          <w:sz w:val="24"/>
          <w:szCs w:val="24"/>
          <w:highlight w:val="none"/>
        </w:rPr>
        <w:t>3.从评标委员会要求澄清起二小时内，被授权人应如实地书面澄清。</w:t>
      </w:r>
    </w:p>
    <w:p w14:paraId="69048CE9">
      <w:pPr>
        <w:spacing w:line="360" w:lineRule="auto"/>
        <w:ind w:left="-2" w:leftChars="-1" w:firstLine="540" w:firstLineChars="225"/>
        <w:rPr>
          <w:rStyle w:val="66"/>
          <w:rFonts w:ascii="宋体" w:hAnsi="宋体"/>
          <w:kern w:val="0"/>
          <w:sz w:val="24"/>
          <w:szCs w:val="24"/>
          <w:highlight w:val="none"/>
        </w:rPr>
      </w:pPr>
      <w:r>
        <w:rPr>
          <w:rStyle w:val="66"/>
          <w:rFonts w:ascii="宋体" w:hAnsi="宋体"/>
          <w:kern w:val="0"/>
          <w:sz w:val="24"/>
          <w:szCs w:val="24"/>
          <w:highlight w:val="none"/>
        </w:rPr>
        <w:t xml:space="preserve">如由于未遵守上述承诺内容之一导致无法进行澄清的，我公司认可和接受评标委员会作出的评审结论。 </w:t>
      </w:r>
    </w:p>
    <w:p w14:paraId="7B4312FD">
      <w:pPr>
        <w:spacing w:line="360" w:lineRule="auto"/>
        <w:ind w:left="-2" w:leftChars="-1" w:firstLine="540" w:firstLineChars="225"/>
        <w:rPr>
          <w:rStyle w:val="66"/>
          <w:rFonts w:ascii="宋体" w:hAnsi="宋体"/>
          <w:kern w:val="0"/>
          <w:sz w:val="24"/>
          <w:szCs w:val="24"/>
          <w:highlight w:val="none"/>
        </w:rPr>
      </w:pPr>
      <w:r>
        <w:rPr>
          <w:rStyle w:val="66"/>
          <w:rFonts w:ascii="宋体" w:hAnsi="宋体"/>
          <w:kern w:val="0"/>
          <w:sz w:val="24"/>
          <w:szCs w:val="24"/>
          <w:highlight w:val="none"/>
        </w:rPr>
        <w:t>附件：《投标文件编制情况》</w:t>
      </w:r>
    </w:p>
    <w:p w14:paraId="72CB9093">
      <w:pPr>
        <w:pStyle w:val="113"/>
        <w:rPr>
          <w:highlight w:val="none"/>
        </w:rPr>
      </w:pPr>
    </w:p>
    <w:p w14:paraId="173681D2">
      <w:pPr>
        <w:spacing w:line="360" w:lineRule="auto"/>
        <w:ind w:right="90" w:firstLine="3360" w:firstLineChars="1400"/>
        <w:rPr>
          <w:rStyle w:val="66"/>
          <w:rFonts w:ascii="宋体" w:hAnsi="宋体"/>
          <w:sz w:val="24"/>
          <w:szCs w:val="24"/>
          <w:highlight w:val="none"/>
          <w:u w:val="single"/>
        </w:rPr>
      </w:pPr>
      <w:r>
        <w:rPr>
          <w:rStyle w:val="66"/>
          <w:rFonts w:ascii="宋体" w:hAnsi="宋体"/>
          <w:sz w:val="24"/>
          <w:szCs w:val="24"/>
          <w:highlight w:val="none"/>
        </w:rPr>
        <w:t xml:space="preserve"> 投标人名称（盖法人公章）：</w:t>
      </w:r>
    </w:p>
    <w:p w14:paraId="042844A8">
      <w:pPr>
        <w:spacing w:line="360" w:lineRule="auto"/>
        <w:ind w:firstLine="3480" w:firstLineChars="1450"/>
        <w:rPr>
          <w:rStyle w:val="66"/>
          <w:rFonts w:ascii="宋体" w:hAnsi="宋体"/>
          <w:sz w:val="24"/>
          <w:szCs w:val="24"/>
          <w:highlight w:val="none"/>
        </w:rPr>
      </w:pPr>
      <w:r>
        <w:rPr>
          <w:rStyle w:val="66"/>
          <w:rFonts w:ascii="宋体" w:hAnsi="宋体"/>
          <w:sz w:val="24"/>
          <w:szCs w:val="24"/>
          <w:highlight w:val="none"/>
        </w:rPr>
        <w:t xml:space="preserve">法定代表人或被授权人（签字或盖章）： </w:t>
      </w:r>
    </w:p>
    <w:p w14:paraId="52B98C43">
      <w:pPr>
        <w:spacing w:line="360" w:lineRule="auto"/>
        <w:ind w:firstLine="4440" w:firstLineChars="1850"/>
        <w:jc w:val="center"/>
        <w:rPr>
          <w:rStyle w:val="66"/>
          <w:rFonts w:ascii="宋体" w:hAnsi="宋体"/>
          <w:sz w:val="24"/>
          <w:szCs w:val="24"/>
          <w:highlight w:val="none"/>
        </w:rPr>
      </w:pPr>
      <w:r>
        <w:rPr>
          <w:rStyle w:val="66"/>
          <w:rFonts w:ascii="宋体" w:hAnsi="宋体"/>
          <w:sz w:val="24"/>
          <w:szCs w:val="24"/>
          <w:highlight w:val="none"/>
        </w:rPr>
        <w:t xml:space="preserve">      日期：      年   月   日</w:t>
      </w:r>
    </w:p>
    <w:p w14:paraId="0BF7387F">
      <w:pPr>
        <w:spacing w:line="360" w:lineRule="auto"/>
        <w:rPr>
          <w:rStyle w:val="66"/>
          <w:rFonts w:ascii="宋体" w:hAnsi="宋体"/>
          <w:highlight w:val="none"/>
        </w:rPr>
      </w:pPr>
    </w:p>
    <w:p w14:paraId="6D0277AE">
      <w:pPr>
        <w:pStyle w:val="113"/>
        <w:rPr>
          <w:highlight w:val="none"/>
        </w:rPr>
      </w:pPr>
    </w:p>
    <w:p w14:paraId="4D3F2994">
      <w:pPr>
        <w:spacing w:line="360" w:lineRule="auto"/>
        <w:jc w:val="center"/>
        <w:rPr>
          <w:rStyle w:val="66"/>
          <w:rFonts w:ascii="宋体" w:hAnsi="宋体"/>
          <w:kern w:val="0"/>
          <w:sz w:val="18"/>
          <w:szCs w:val="18"/>
          <w:highlight w:val="none"/>
        </w:rPr>
      </w:pPr>
      <w:r>
        <w:rPr>
          <w:rStyle w:val="66"/>
          <w:rFonts w:ascii="宋体" w:hAnsi="宋体"/>
          <w:b/>
          <w:kern w:val="0"/>
          <w:sz w:val="32"/>
          <w:szCs w:val="32"/>
          <w:highlight w:val="none"/>
        </w:rPr>
        <w:t>投标文件编制情况</w:t>
      </w:r>
    </w:p>
    <w:p w14:paraId="7097FA24">
      <w:pPr>
        <w:spacing w:line="360" w:lineRule="auto"/>
        <w:ind w:firstLine="480" w:firstLineChars="200"/>
        <w:rPr>
          <w:rStyle w:val="66"/>
          <w:rFonts w:ascii="宋体" w:hAnsi="宋体"/>
          <w:kern w:val="0"/>
          <w:sz w:val="24"/>
          <w:szCs w:val="24"/>
          <w:highlight w:val="none"/>
          <w:u w:val="single"/>
        </w:rPr>
      </w:pPr>
      <w:r>
        <w:rPr>
          <w:rStyle w:val="66"/>
          <w:rFonts w:ascii="宋体" w:hAnsi="宋体"/>
          <w:kern w:val="0"/>
          <w:sz w:val="24"/>
          <w:szCs w:val="24"/>
          <w:highlight w:val="none"/>
        </w:rPr>
        <w:t>1.投标文件报价编制方式: □自行编制的，编制的负责人：</w:t>
      </w:r>
      <w:r>
        <w:rPr>
          <w:rStyle w:val="66"/>
          <w:rFonts w:ascii="宋体" w:hAnsi="宋体"/>
          <w:kern w:val="0"/>
          <w:sz w:val="24"/>
          <w:szCs w:val="24"/>
          <w:highlight w:val="none"/>
          <w:u w:val="single"/>
        </w:rPr>
        <w:t xml:space="preserve"> （盖造价工程师执业专用章或全国建设工程造价员章，执业单位应与投标人一致） </w:t>
      </w:r>
      <w:r>
        <w:rPr>
          <w:rStyle w:val="66"/>
          <w:rFonts w:ascii="宋体" w:hAnsi="宋体"/>
          <w:kern w:val="0"/>
          <w:sz w:val="24"/>
          <w:szCs w:val="24"/>
          <w:highlight w:val="none"/>
        </w:rPr>
        <w:t>。□委托编制的，受委托单位</w:t>
      </w:r>
      <w:r>
        <w:rPr>
          <w:rFonts w:hint="eastAsia" w:ascii="宋体" w:eastAsia="宋体" w:cs="宋体"/>
          <w:highlight w:val="none"/>
          <w:u w:val="single"/>
          <w:lang w:bidi="ar-SA"/>
        </w:rPr>
        <w:t xml:space="preserve">        </w:t>
      </w:r>
      <w:r>
        <w:rPr>
          <w:rStyle w:val="66"/>
          <w:rFonts w:ascii="宋体" w:hAnsi="宋体"/>
          <w:kern w:val="0"/>
          <w:sz w:val="24"/>
          <w:szCs w:val="24"/>
          <w:highlight w:val="none"/>
        </w:rPr>
        <w:t>，编制的负责人：</w:t>
      </w:r>
      <w:r>
        <w:rPr>
          <w:rStyle w:val="66"/>
          <w:rFonts w:ascii="宋体" w:hAnsi="宋体"/>
          <w:kern w:val="0"/>
          <w:sz w:val="24"/>
          <w:szCs w:val="24"/>
          <w:highlight w:val="none"/>
          <w:u w:val="single"/>
        </w:rPr>
        <w:t xml:space="preserve"> （盖造价工程师执业专用章或全国建设工程造价员章，执业单位应与受委托单位一致） </w:t>
      </w:r>
      <w:r>
        <w:rPr>
          <w:rStyle w:val="66"/>
          <w:rFonts w:ascii="宋体" w:hAnsi="宋体"/>
          <w:kern w:val="0"/>
          <w:sz w:val="24"/>
          <w:szCs w:val="24"/>
          <w:highlight w:val="none"/>
        </w:rPr>
        <w:t>。</w:t>
      </w:r>
    </w:p>
    <w:p w14:paraId="2292B560">
      <w:pPr>
        <w:spacing w:line="360" w:lineRule="auto"/>
        <w:ind w:firstLine="480" w:firstLineChars="200"/>
        <w:rPr>
          <w:rStyle w:val="66"/>
          <w:rFonts w:ascii="宋体" w:hAnsi="宋体"/>
          <w:kern w:val="0"/>
          <w:sz w:val="24"/>
          <w:szCs w:val="24"/>
          <w:highlight w:val="none"/>
        </w:rPr>
      </w:pPr>
      <w:r>
        <w:rPr>
          <w:rStyle w:val="66"/>
          <w:rFonts w:ascii="宋体" w:hAnsi="宋体"/>
          <w:kern w:val="0"/>
          <w:sz w:val="24"/>
          <w:szCs w:val="24"/>
          <w:highlight w:val="none"/>
        </w:rPr>
        <w:t>2.投标文件加密打包的电脑情况：</w:t>
      </w:r>
    </w:p>
    <w:tbl>
      <w:tblPr>
        <w:tblStyle w:val="26"/>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332"/>
      </w:tblGrid>
      <w:tr w14:paraId="0730D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88" w:hRule="atLeast"/>
        </w:trPr>
        <w:tc>
          <w:tcPr>
            <w:tcW w:w="9332" w:type="dxa"/>
          </w:tcPr>
          <w:p w14:paraId="50B34E8A">
            <w:pPr>
              <w:spacing w:line="360" w:lineRule="auto"/>
              <w:rPr>
                <w:rStyle w:val="66"/>
                <w:rFonts w:ascii="宋体" w:hAnsi="宋体"/>
                <w:kern w:val="0"/>
                <w:sz w:val="24"/>
                <w:szCs w:val="24"/>
                <w:highlight w:val="none"/>
              </w:rPr>
            </w:pPr>
            <w:r>
              <w:rPr>
                <w:rStyle w:val="66"/>
                <w:rFonts w:ascii="宋体" w:hAnsi="宋体"/>
                <w:kern w:val="0"/>
                <w:sz w:val="24"/>
                <w:szCs w:val="24"/>
                <w:highlight w:val="none"/>
              </w:rPr>
              <w:t>投标文件加密打包的电脑    自有□      外包□       其他□</w:t>
            </w:r>
          </w:p>
          <w:p w14:paraId="4C7EEEA8">
            <w:pPr>
              <w:spacing w:line="360" w:lineRule="auto"/>
              <w:rPr>
                <w:rStyle w:val="66"/>
                <w:rFonts w:ascii="宋体" w:hAnsi="宋体"/>
                <w:kern w:val="0"/>
                <w:sz w:val="24"/>
                <w:szCs w:val="24"/>
                <w:highlight w:val="none"/>
              </w:rPr>
            </w:pPr>
            <w:r>
              <w:rPr>
                <w:rStyle w:val="66"/>
                <w:rFonts w:ascii="宋体" w:hAnsi="宋体"/>
                <w:kern w:val="0"/>
                <w:sz w:val="24"/>
                <w:szCs w:val="24"/>
                <w:highlight w:val="none"/>
              </w:rPr>
              <w:t>电脑类型</w:t>
            </w:r>
          </w:p>
          <w:p w14:paraId="5DB19E06">
            <w:pPr>
              <w:spacing w:line="360" w:lineRule="auto"/>
              <w:rPr>
                <w:rStyle w:val="66"/>
                <w:rFonts w:ascii="宋体" w:hAnsi="宋体"/>
                <w:kern w:val="0"/>
                <w:sz w:val="24"/>
                <w:szCs w:val="24"/>
                <w:highlight w:val="none"/>
              </w:rPr>
            </w:pPr>
            <w:r>
              <w:rPr>
                <w:rStyle w:val="66"/>
                <w:rFonts w:ascii="宋体" w:hAnsi="宋体"/>
                <w:kern w:val="0"/>
                <w:sz w:val="24"/>
                <w:szCs w:val="24"/>
                <w:highlight w:val="none"/>
              </w:rPr>
              <w:t>电脑所属单位</w:t>
            </w:r>
          </w:p>
          <w:p w14:paraId="61A1C6A2">
            <w:pPr>
              <w:spacing w:line="360" w:lineRule="auto"/>
              <w:rPr>
                <w:rStyle w:val="66"/>
                <w:rFonts w:ascii="宋体" w:hAnsi="宋体"/>
                <w:kern w:val="0"/>
                <w:sz w:val="24"/>
                <w:szCs w:val="24"/>
                <w:highlight w:val="none"/>
              </w:rPr>
            </w:pPr>
            <w:r>
              <w:rPr>
                <w:rStyle w:val="66"/>
                <w:rFonts w:ascii="宋体" w:hAnsi="宋体"/>
                <w:kern w:val="0"/>
                <w:sz w:val="24"/>
                <w:szCs w:val="24"/>
                <w:highlight w:val="none"/>
              </w:rPr>
              <w:t>电脑所在地址       （如××市××区(县) ××街（路）××号××大厦××房）</w:t>
            </w:r>
          </w:p>
        </w:tc>
      </w:tr>
    </w:tbl>
    <w:p w14:paraId="4E2F26B3">
      <w:pPr>
        <w:spacing w:line="360" w:lineRule="auto"/>
        <w:rPr>
          <w:rStyle w:val="66"/>
          <w:rFonts w:ascii="宋体" w:hAnsi="宋体"/>
          <w:szCs w:val="21"/>
          <w:highlight w:val="none"/>
        </w:rPr>
      </w:pPr>
    </w:p>
    <w:p w14:paraId="42F5084A">
      <w:pPr>
        <w:tabs>
          <w:tab w:val="left" w:pos="720"/>
        </w:tabs>
        <w:snapToGrid w:val="0"/>
        <w:spacing w:line="360" w:lineRule="auto"/>
        <w:rPr>
          <w:rStyle w:val="66"/>
          <w:rFonts w:ascii="宋体" w:hAnsi="宋体"/>
          <w:sz w:val="24"/>
          <w:szCs w:val="24"/>
          <w:highlight w:val="none"/>
        </w:rPr>
      </w:pPr>
    </w:p>
    <w:p w14:paraId="47071F2B">
      <w:pPr>
        <w:pStyle w:val="116"/>
        <w:outlineLvl w:val="0"/>
        <w:rPr>
          <w:rStyle w:val="86"/>
          <w:rFonts w:ascii="宋体" w:hAnsi="宋体"/>
          <w:b w:val="0"/>
          <w:bCs/>
          <w:highlight w:val="none"/>
        </w:rPr>
      </w:pPr>
      <w:bookmarkStart w:id="28" w:name="_Toc105014638"/>
      <w:r>
        <w:rPr>
          <w:rStyle w:val="66"/>
          <w:bCs/>
          <w:highlight w:val="none"/>
        </w:rPr>
        <w:t>第五章  技术条件（工程建设标准）</w:t>
      </w:r>
      <w:bookmarkEnd w:id="28"/>
    </w:p>
    <w:p w14:paraId="0FE7E15D">
      <w:pPr>
        <w:pStyle w:val="46"/>
        <w:rPr>
          <w:rFonts w:ascii="宋体" w:hAnsi="宋体" w:eastAsia="宋体" w:cs="宋体"/>
          <w:highlight w:val="none"/>
        </w:rPr>
      </w:pPr>
      <w:r>
        <w:rPr>
          <w:rFonts w:hint="eastAsia" w:ascii="宋体" w:hAnsi="宋体" w:eastAsia="宋体" w:cs="宋体"/>
          <w:highlight w:val="none"/>
        </w:rPr>
        <w:t>一、下列文件应被认为是组成本章内容的一部分，并互为补充和解释，如各文件存在冲突之处，以如下排列次序在前者优先适用：</w:t>
      </w:r>
    </w:p>
    <w:p w14:paraId="0674FB5B">
      <w:pPr>
        <w:pStyle w:val="46"/>
        <w:rPr>
          <w:rFonts w:ascii="宋体" w:hAnsi="宋体" w:eastAsia="宋体" w:cs="宋体"/>
          <w:highlight w:val="none"/>
        </w:rPr>
      </w:pPr>
      <w:r>
        <w:rPr>
          <w:rFonts w:hint="eastAsia" w:ascii="宋体" w:hAnsi="宋体" w:eastAsia="宋体" w:cs="宋体"/>
          <w:highlight w:val="none"/>
        </w:rPr>
        <w:t>1、</w:t>
      </w:r>
      <w:r>
        <w:rPr>
          <w:rStyle w:val="66"/>
          <w:rFonts w:ascii="宋体" w:hAnsi="宋体" w:eastAsia="宋体"/>
          <w:kern w:val="2"/>
          <w:highlight w:val="none"/>
        </w:rPr>
        <w:t>遵照招标人发布的合同条款及有关本项目现场施工管理的相关规定要求及技术需求书等</w:t>
      </w:r>
      <w:r>
        <w:rPr>
          <w:rFonts w:hint="eastAsia" w:ascii="宋体" w:hAnsi="宋体" w:eastAsia="宋体" w:cs="宋体"/>
          <w:highlight w:val="none"/>
        </w:rPr>
        <w:t>；</w:t>
      </w:r>
    </w:p>
    <w:p w14:paraId="6632635E">
      <w:pPr>
        <w:pStyle w:val="46"/>
        <w:rPr>
          <w:rFonts w:ascii="宋体" w:hAnsi="宋体" w:eastAsia="宋体" w:cs="宋体"/>
          <w:highlight w:val="none"/>
        </w:rPr>
      </w:pPr>
      <w:r>
        <w:rPr>
          <w:rFonts w:hint="eastAsia" w:ascii="宋体" w:hAnsi="宋体" w:eastAsia="宋体" w:cs="宋体"/>
          <w:highlight w:val="none"/>
        </w:rPr>
        <w:t>2、</w:t>
      </w:r>
      <w:r>
        <w:rPr>
          <w:rStyle w:val="66"/>
          <w:rFonts w:ascii="宋体" w:hAnsi="宋体" w:eastAsia="宋体"/>
          <w:kern w:val="2"/>
          <w:highlight w:val="none"/>
        </w:rPr>
        <w:t>按照设计图纸及设计说明的技术条件及要求，采用图纸中规定的技术规格和国家及行业的验收标准</w:t>
      </w:r>
      <w:r>
        <w:rPr>
          <w:rFonts w:hint="eastAsia" w:ascii="宋体" w:hAnsi="宋体" w:eastAsia="宋体" w:cs="宋体"/>
          <w:highlight w:val="none"/>
        </w:rPr>
        <w:t>；</w:t>
      </w:r>
    </w:p>
    <w:p w14:paraId="3B867DDC">
      <w:pPr>
        <w:pStyle w:val="46"/>
        <w:rPr>
          <w:rFonts w:ascii="宋体" w:hAnsi="宋体" w:eastAsia="宋体" w:cs="宋体"/>
          <w:highlight w:val="none"/>
        </w:rPr>
      </w:pPr>
      <w:r>
        <w:rPr>
          <w:rFonts w:hint="eastAsia" w:ascii="宋体" w:hAnsi="宋体" w:eastAsia="宋体" w:cs="宋体"/>
          <w:highlight w:val="none"/>
        </w:rPr>
        <w:t>3、</w:t>
      </w:r>
      <w:r>
        <w:rPr>
          <w:rStyle w:val="66"/>
          <w:rFonts w:ascii="宋体" w:hAnsi="宋体" w:eastAsia="宋体"/>
          <w:highlight w:val="none"/>
        </w:rPr>
        <w:t>采用国家、广东省、广州市、</w:t>
      </w:r>
      <w:r>
        <w:rPr>
          <w:rStyle w:val="66"/>
          <w:rFonts w:hint="eastAsia" w:ascii="宋体" w:hAnsi="宋体" w:eastAsia="宋体"/>
          <w:highlight w:val="none"/>
        </w:rPr>
        <w:t>海珠</w:t>
      </w:r>
      <w:r>
        <w:rPr>
          <w:rStyle w:val="66"/>
          <w:rFonts w:ascii="宋体" w:hAnsi="宋体" w:eastAsia="宋体"/>
          <w:highlight w:val="none"/>
        </w:rPr>
        <w:t>区有关施工验收规范、质量标准和操作规程等要求</w:t>
      </w:r>
      <w:r>
        <w:rPr>
          <w:rFonts w:hint="eastAsia" w:ascii="宋体" w:hAnsi="宋体" w:eastAsia="宋体" w:cs="宋体"/>
          <w:highlight w:val="none"/>
        </w:rPr>
        <w:t>。</w:t>
      </w:r>
    </w:p>
    <w:p w14:paraId="52BF1F0A">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二</w:t>
      </w:r>
      <w:r>
        <w:rPr>
          <w:rFonts w:ascii="宋体" w:hAnsi="宋体" w:cs="宋体"/>
          <w:sz w:val="24"/>
          <w:szCs w:val="24"/>
          <w:highlight w:val="none"/>
        </w:rPr>
        <w:t>、经济标编制的相关要求</w:t>
      </w:r>
    </w:p>
    <w:p w14:paraId="3279514C">
      <w:pPr>
        <w:spacing w:line="360" w:lineRule="auto"/>
        <w:ind w:firstLine="480" w:firstLineChars="200"/>
        <w:rPr>
          <w:rFonts w:ascii="宋体" w:hAnsi="宋体" w:cs="宋体"/>
          <w:sz w:val="24"/>
          <w:szCs w:val="24"/>
          <w:highlight w:val="none"/>
        </w:rPr>
      </w:pPr>
      <w:r>
        <w:rPr>
          <w:rFonts w:ascii="宋体" w:hAnsi="宋体" w:cs="宋体"/>
          <w:sz w:val="24"/>
          <w:szCs w:val="24"/>
          <w:highlight w:val="none"/>
        </w:rPr>
        <w:t>各投标人应考虑企业自身成本及市场材料价格等因素，投标报价中的综合单价应包括材料供应及安装、成品保护和维护、各项检验试验费（文件规定招标人另行委托第三方检测的项目除外）、各项材料、组件、零配件、风险、保险、责任、措施费、缺陷修复、管理费、利润、关税、税金等和政策性规定的所有费用。其中包括但不限于以下费用：</w:t>
      </w:r>
    </w:p>
    <w:p w14:paraId="52877416">
      <w:pPr>
        <w:spacing w:line="360" w:lineRule="auto"/>
        <w:ind w:firstLine="480" w:firstLineChars="200"/>
        <w:rPr>
          <w:rFonts w:ascii="宋体" w:hAnsi="宋体" w:cs="宋体"/>
          <w:sz w:val="24"/>
          <w:szCs w:val="24"/>
          <w:highlight w:val="none"/>
        </w:rPr>
      </w:pPr>
      <w:r>
        <w:rPr>
          <w:rFonts w:ascii="宋体" w:hAnsi="宋体" w:cs="宋体"/>
          <w:sz w:val="24"/>
          <w:szCs w:val="24"/>
          <w:highlight w:val="none"/>
        </w:rPr>
        <w:t>（1）按照招标文件资料，为完成本工程所需的一切材料费、机械费、人工费、管理费、不可预见费、规费、利润、税金等；</w:t>
      </w:r>
    </w:p>
    <w:p w14:paraId="4A01EAD2">
      <w:pPr>
        <w:spacing w:line="360" w:lineRule="auto"/>
        <w:ind w:firstLine="480" w:firstLineChars="200"/>
        <w:rPr>
          <w:rFonts w:ascii="宋体" w:hAnsi="宋体" w:cs="宋体"/>
          <w:sz w:val="24"/>
          <w:szCs w:val="24"/>
          <w:highlight w:val="none"/>
        </w:rPr>
      </w:pPr>
      <w:r>
        <w:rPr>
          <w:rFonts w:ascii="宋体" w:hAnsi="宋体" w:cs="宋体"/>
          <w:sz w:val="24"/>
          <w:szCs w:val="24"/>
          <w:highlight w:val="none"/>
        </w:rPr>
        <w:t>（2）材料的采购、包装、储运、保险、商检、验收、加工、组装、安装、调试、保修期内的专用工具、备品备件等全部费用；</w:t>
      </w:r>
    </w:p>
    <w:p w14:paraId="3511B930">
      <w:pPr>
        <w:spacing w:line="360" w:lineRule="auto"/>
        <w:ind w:firstLine="480" w:firstLineChars="200"/>
        <w:rPr>
          <w:rFonts w:ascii="宋体" w:hAnsi="宋体" w:cs="宋体"/>
          <w:sz w:val="24"/>
          <w:szCs w:val="24"/>
          <w:highlight w:val="none"/>
        </w:rPr>
      </w:pPr>
      <w:r>
        <w:rPr>
          <w:rFonts w:ascii="宋体" w:hAnsi="宋体" w:cs="宋体"/>
          <w:sz w:val="24"/>
          <w:szCs w:val="24"/>
          <w:highlight w:val="none"/>
        </w:rPr>
        <w:t>（3）进口材料（如有）需包括的进口关税、增值税、代理费等一切进口费用，中标人需遵循正常合法的入关手续；</w:t>
      </w:r>
    </w:p>
    <w:p w14:paraId="6923ACB2">
      <w:pPr>
        <w:spacing w:line="360" w:lineRule="auto"/>
        <w:ind w:firstLine="480" w:firstLineChars="200"/>
        <w:rPr>
          <w:rFonts w:ascii="宋体" w:hAnsi="宋体" w:cs="宋体"/>
          <w:sz w:val="24"/>
          <w:szCs w:val="24"/>
          <w:highlight w:val="none"/>
        </w:rPr>
      </w:pPr>
      <w:r>
        <w:rPr>
          <w:rFonts w:ascii="宋体" w:hAnsi="宋体" w:cs="宋体"/>
          <w:sz w:val="24"/>
          <w:szCs w:val="24"/>
          <w:highlight w:val="none"/>
        </w:rPr>
        <w:t>（4）为满足招标人关于现场文明施工、安全生产、政府检查等引起的人员、材料、机械等投入的费用；</w:t>
      </w:r>
    </w:p>
    <w:p w14:paraId="673F9BC2">
      <w:pPr>
        <w:spacing w:line="360" w:lineRule="auto"/>
        <w:ind w:firstLine="480" w:firstLineChars="200"/>
        <w:rPr>
          <w:rFonts w:ascii="宋体" w:hAnsi="宋体" w:cs="宋体"/>
          <w:sz w:val="24"/>
          <w:szCs w:val="24"/>
          <w:highlight w:val="none"/>
        </w:rPr>
      </w:pPr>
      <w:r>
        <w:rPr>
          <w:rFonts w:ascii="宋体" w:hAnsi="宋体" w:cs="宋体"/>
          <w:sz w:val="24"/>
          <w:szCs w:val="24"/>
          <w:highlight w:val="none"/>
        </w:rPr>
        <w:t>（5）本工程施工过程中所需的脚手架、吊架费用，各种材料、产品的水平和垂直运输费用的措施费用应包含在本次投标报价中；</w:t>
      </w:r>
    </w:p>
    <w:p w14:paraId="16B908CC">
      <w:pPr>
        <w:pStyle w:val="113"/>
        <w:ind w:firstLine="480" w:firstLineChars="200"/>
        <w:rPr>
          <w:rFonts w:ascii="宋体" w:hAnsi="宋体"/>
          <w:bCs/>
          <w:sz w:val="24"/>
          <w:szCs w:val="24"/>
          <w:highlight w:val="none"/>
        </w:rPr>
      </w:pPr>
      <w:r>
        <w:rPr>
          <w:rFonts w:ascii="宋体" w:hAnsi="宋体" w:cs="宋体"/>
          <w:sz w:val="24"/>
          <w:szCs w:val="24"/>
          <w:highlight w:val="none"/>
        </w:rPr>
        <w:t>（6）为完成本招标图及相关资料范围内的工作内容所需的一切费用。</w:t>
      </w:r>
    </w:p>
    <w:p w14:paraId="214B90C9">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三、施工现场建筑垃圾源头减量的具体要求和建筑垃圾综合利用产品的使用要求</w:t>
      </w:r>
    </w:p>
    <w:p w14:paraId="2BDC56FB">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建设单位和施工单位严格遵守并执行《广东省建筑垃圾管理条例》及国家有关建筑垃圾管理的规定。</w:t>
      </w:r>
    </w:p>
    <w:p w14:paraId="09037BED">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根据《广东省建筑垃圾管理条例》，工程施工单位应当编制建筑垃圾处理方案，采取污染防治措施，并在开工前报工程所在地县级人民政府建筑垃圾主管部门备案。建筑垃圾处理方案内容有调整的，应当及时报告接受备案的部门。</w:t>
      </w:r>
    </w:p>
    <w:p w14:paraId="6329D404">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建筑垃圾处理方案应当包括下列内容：</w:t>
      </w:r>
    </w:p>
    <w:p w14:paraId="38D6C1E6">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（一）工程概况和施工单位基本信息；</w:t>
      </w:r>
    </w:p>
    <w:p w14:paraId="79BCB54B">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（二）建筑垃圾产生量与种类；</w:t>
      </w:r>
    </w:p>
    <w:p w14:paraId="443B140B">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（三）建筑垃圾源头减量、分类收集、综合利用、污染防治的措施和目标；</w:t>
      </w:r>
    </w:p>
    <w:p w14:paraId="20925D81">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（四）需要外运的建筑垃圾种类、数量与运输的时间、路线、方式和运输单位；</w:t>
      </w:r>
    </w:p>
    <w:p w14:paraId="0417BC1B">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（五）建筑垃圾回填、消纳、综合利用场所名称；</w:t>
      </w:r>
    </w:p>
    <w:p w14:paraId="1DC96DA8">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（六）法律、法规规定的其他内容</w:t>
      </w:r>
    </w:p>
    <w:p w14:paraId="452C5C11">
      <w:pPr>
        <w:pStyle w:val="113"/>
        <w:rPr>
          <w:highlight w:val="none"/>
        </w:rPr>
      </w:pPr>
    </w:p>
    <w:p w14:paraId="41A74DA0">
      <w:pPr>
        <w:pStyle w:val="116"/>
        <w:outlineLvl w:val="0"/>
        <w:rPr>
          <w:rStyle w:val="66"/>
          <w:bCs/>
          <w:highlight w:val="none"/>
        </w:rPr>
        <w:sectPr>
          <w:footerReference r:id="rId17" w:type="default"/>
          <w:pgSz w:w="11906" w:h="16838"/>
          <w:pgMar w:top="1418" w:right="1701" w:bottom="1418" w:left="1701" w:header="851" w:footer="992" w:gutter="0"/>
          <w:cols w:space="720" w:num="1"/>
          <w:docGrid w:type="lines" w:linePitch="312" w:charSpace="0"/>
        </w:sectPr>
      </w:pPr>
      <w:bookmarkStart w:id="29" w:name="_Toc105014639"/>
    </w:p>
    <w:p w14:paraId="0B276A1A">
      <w:pPr>
        <w:pStyle w:val="116"/>
        <w:outlineLvl w:val="0"/>
        <w:rPr>
          <w:rStyle w:val="66"/>
          <w:bCs/>
          <w:highlight w:val="none"/>
        </w:rPr>
      </w:pPr>
      <w:r>
        <w:rPr>
          <w:rStyle w:val="66"/>
          <w:bCs/>
          <w:highlight w:val="none"/>
        </w:rPr>
        <w:t>第六章  图纸及勘察资料</w:t>
      </w:r>
      <w:bookmarkEnd w:id="29"/>
    </w:p>
    <w:p w14:paraId="04273414">
      <w:pPr>
        <w:spacing w:line="360" w:lineRule="auto"/>
        <w:rPr>
          <w:rStyle w:val="66"/>
          <w:rFonts w:ascii="宋体" w:hAnsi="宋体"/>
          <w:sz w:val="24"/>
          <w:szCs w:val="24"/>
          <w:highlight w:val="none"/>
        </w:rPr>
      </w:pPr>
      <w:r>
        <w:rPr>
          <w:rStyle w:val="66"/>
          <w:rFonts w:ascii="宋体" w:hAnsi="宋体"/>
          <w:sz w:val="24"/>
          <w:szCs w:val="24"/>
          <w:highlight w:val="none"/>
        </w:rPr>
        <w:t>另册。</w:t>
      </w:r>
    </w:p>
    <w:p w14:paraId="62EF04E8">
      <w:pPr>
        <w:pStyle w:val="113"/>
        <w:rPr>
          <w:highlight w:val="none"/>
        </w:rPr>
      </w:pPr>
    </w:p>
    <w:p w14:paraId="1C58F9EE">
      <w:pPr>
        <w:pStyle w:val="113"/>
        <w:rPr>
          <w:highlight w:val="none"/>
        </w:rPr>
      </w:pPr>
    </w:p>
    <w:p w14:paraId="0DE32B26">
      <w:pPr>
        <w:pStyle w:val="113"/>
        <w:rPr>
          <w:highlight w:val="none"/>
        </w:rPr>
      </w:pPr>
    </w:p>
    <w:p w14:paraId="5131B4B9">
      <w:pPr>
        <w:jc w:val="left"/>
        <w:textAlignment w:val="auto"/>
        <w:rPr>
          <w:rStyle w:val="66"/>
          <w:rFonts w:ascii="Arial" w:hAnsi="Arial"/>
          <w:b/>
          <w:bCs/>
          <w:kern w:val="44"/>
          <w:sz w:val="28"/>
          <w:szCs w:val="28"/>
          <w:highlight w:val="none"/>
        </w:rPr>
      </w:pPr>
      <w:bookmarkStart w:id="30" w:name="_Toc105014640"/>
      <w:r>
        <w:rPr>
          <w:rStyle w:val="66"/>
          <w:bCs/>
          <w:highlight w:val="none"/>
        </w:rPr>
        <w:br w:type="page"/>
      </w:r>
    </w:p>
    <w:p w14:paraId="3555628F">
      <w:pPr>
        <w:pStyle w:val="116"/>
        <w:outlineLvl w:val="0"/>
        <w:rPr>
          <w:rStyle w:val="66"/>
          <w:bCs/>
          <w:highlight w:val="none"/>
        </w:rPr>
      </w:pPr>
      <w:r>
        <w:rPr>
          <w:rStyle w:val="66"/>
          <w:bCs/>
          <w:highlight w:val="none"/>
        </w:rPr>
        <w:t>第七章  工程量清单</w:t>
      </w:r>
      <w:bookmarkEnd w:id="30"/>
    </w:p>
    <w:p w14:paraId="28E284B5">
      <w:pPr>
        <w:pStyle w:val="97"/>
        <w:spacing w:after="0" w:line="360" w:lineRule="auto"/>
        <w:ind w:firstLine="0"/>
        <w:rPr>
          <w:rStyle w:val="66"/>
          <w:rFonts w:ascii="宋体" w:hAnsi="宋体"/>
          <w:sz w:val="24"/>
          <w:szCs w:val="24"/>
          <w:highlight w:val="none"/>
        </w:rPr>
      </w:pPr>
      <w:r>
        <w:rPr>
          <w:rStyle w:val="66"/>
          <w:rFonts w:ascii="宋体" w:hAnsi="宋体"/>
          <w:sz w:val="24"/>
          <w:szCs w:val="24"/>
          <w:highlight w:val="none"/>
        </w:rPr>
        <w:t>另册。</w:t>
      </w:r>
    </w:p>
    <w:p w14:paraId="12B13CD4">
      <w:pPr>
        <w:pStyle w:val="97"/>
        <w:spacing w:after="0" w:line="360" w:lineRule="auto"/>
        <w:ind w:firstLine="0"/>
        <w:rPr>
          <w:rStyle w:val="66"/>
          <w:rFonts w:ascii="宋体" w:hAnsi="宋体"/>
          <w:sz w:val="24"/>
          <w:szCs w:val="24"/>
          <w:highlight w:val="none"/>
        </w:rPr>
      </w:pPr>
    </w:p>
    <w:p w14:paraId="2383897A">
      <w:pPr>
        <w:pStyle w:val="97"/>
        <w:spacing w:after="0" w:line="360" w:lineRule="auto"/>
        <w:ind w:firstLine="0"/>
        <w:rPr>
          <w:rStyle w:val="66"/>
          <w:rFonts w:ascii="宋体" w:hAnsi="宋体"/>
          <w:sz w:val="24"/>
          <w:szCs w:val="24"/>
          <w:highlight w:val="none"/>
        </w:rPr>
      </w:pPr>
    </w:p>
    <w:p w14:paraId="04EB96DE">
      <w:pPr>
        <w:pStyle w:val="97"/>
        <w:spacing w:after="0" w:line="360" w:lineRule="auto"/>
        <w:ind w:firstLine="0"/>
        <w:rPr>
          <w:rStyle w:val="66"/>
          <w:rFonts w:ascii="宋体" w:hAnsi="宋体"/>
          <w:sz w:val="24"/>
          <w:highlight w:val="none"/>
        </w:rPr>
      </w:pPr>
    </w:p>
    <w:p w14:paraId="736C427A">
      <w:pPr>
        <w:jc w:val="left"/>
        <w:textAlignment w:val="auto"/>
        <w:rPr>
          <w:rStyle w:val="66"/>
          <w:rFonts w:ascii="宋体" w:hAnsi="宋体"/>
          <w:b/>
          <w:bCs/>
          <w:kern w:val="44"/>
          <w:sz w:val="28"/>
          <w:szCs w:val="28"/>
          <w:highlight w:val="none"/>
        </w:rPr>
      </w:pPr>
      <w:bookmarkStart w:id="31" w:name="_Toc105014641"/>
      <w:r>
        <w:rPr>
          <w:rStyle w:val="66"/>
          <w:rFonts w:ascii="宋体" w:hAnsi="宋体"/>
          <w:bCs/>
          <w:highlight w:val="none"/>
        </w:rPr>
        <w:br w:type="page"/>
      </w:r>
    </w:p>
    <w:p w14:paraId="5453377B">
      <w:pPr>
        <w:pStyle w:val="116"/>
        <w:outlineLvl w:val="0"/>
        <w:rPr>
          <w:rStyle w:val="66"/>
          <w:rFonts w:ascii="宋体" w:hAnsi="宋体"/>
          <w:bCs/>
          <w:highlight w:val="none"/>
        </w:rPr>
      </w:pPr>
      <w:r>
        <w:rPr>
          <w:rStyle w:val="66"/>
          <w:rFonts w:ascii="宋体" w:hAnsi="宋体"/>
          <w:bCs/>
          <w:highlight w:val="none"/>
        </w:rPr>
        <w:t>第八章  最高投标限价</w:t>
      </w:r>
      <w:bookmarkEnd w:id="31"/>
    </w:p>
    <w:p w14:paraId="0DC9DE85">
      <w:pPr>
        <w:spacing w:line="360" w:lineRule="auto"/>
        <w:ind w:firstLine="480"/>
        <w:rPr>
          <w:rStyle w:val="66"/>
          <w:rFonts w:ascii="宋体" w:hAnsi="宋体"/>
          <w:sz w:val="24"/>
          <w:szCs w:val="24"/>
          <w:highlight w:val="none"/>
        </w:rPr>
      </w:pPr>
      <w:r>
        <w:rPr>
          <w:rStyle w:val="66"/>
          <w:rFonts w:ascii="宋体" w:hAnsi="宋体"/>
          <w:sz w:val="24"/>
          <w:szCs w:val="24"/>
          <w:highlight w:val="none"/>
        </w:rPr>
        <w:t>招标人应当在发布招标文件时，公布最高投标限价的总价，分部分项工程费、措施项目费、其他项目费、规费和税金，以及绿色施工安全防护措施费、暂列金额等投标人不可竞争的固定报价。</w:t>
      </w:r>
    </w:p>
    <w:p w14:paraId="57C0427E">
      <w:pPr>
        <w:pStyle w:val="113"/>
        <w:spacing w:line="360" w:lineRule="auto"/>
        <w:rPr>
          <w:rFonts w:ascii="宋体" w:hAnsi="宋体"/>
          <w:highlight w:val="none"/>
        </w:rPr>
      </w:pPr>
    </w:p>
    <w:p w14:paraId="540076E3">
      <w:pPr>
        <w:spacing w:line="360" w:lineRule="auto"/>
        <w:rPr>
          <w:rFonts w:ascii="宋体" w:hAnsi="宋体"/>
          <w:highlight w:val="none"/>
        </w:rPr>
      </w:pPr>
      <w:r>
        <w:rPr>
          <w:rFonts w:hint="eastAsia" w:ascii="宋体" w:hAnsi="宋体"/>
          <w:sz w:val="24"/>
          <w:szCs w:val="24"/>
          <w:highlight w:val="none"/>
        </w:rPr>
        <w:t>详见</w:t>
      </w:r>
      <w:r>
        <w:rPr>
          <w:rFonts w:hint="eastAsia" w:ascii="宋体" w:hAnsi="宋体" w:cs="宋体"/>
          <w:sz w:val="24"/>
          <w:szCs w:val="24"/>
          <w:highlight w:val="none"/>
        </w:rPr>
        <w:t>本项目</w:t>
      </w:r>
      <w:r>
        <w:rPr>
          <w:rFonts w:hint="eastAsia" w:ascii="宋体" w:hAnsi="宋体"/>
          <w:sz w:val="24"/>
          <w:szCs w:val="24"/>
          <w:highlight w:val="none"/>
        </w:rPr>
        <w:t>《最高投标限价公布函》</w:t>
      </w:r>
    </w:p>
    <w:p w14:paraId="6B5056E6">
      <w:pPr>
        <w:pStyle w:val="113"/>
        <w:spacing w:line="360" w:lineRule="auto"/>
        <w:rPr>
          <w:rFonts w:ascii="宋体" w:hAnsi="宋体"/>
          <w:highlight w:val="none"/>
        </w:rPr>
      </w:pPr>
    </w:p>
    <w:sectPr>
      <w:pgSz w:w="11906" w:h="16838"/>
      <w:pgMar w:top="1418" w:right="1701" w:bottom="1418"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Lucida Sans">
    <w:panose1 w:val="020B0602030504020204"/>
    <w:charset w:val="00"/>
    <w:family w:val="auto"/>
    <w:pitch w:val="default"/>
    <w:sig w:usb0="00000003" w:usb1="00000000" w:usb2="00000000" w:usb3="00000000" w:csb0="20000001" w:csb1="00000000"/>
  </w:font>
  <w:font w:name="方正兰亭黑_GBK">
    <w:altName w:val="微软雅黑"/>
    <w:panose1 w:val="02000000000000000000"/>
    <w:charset w:val="86"/>
    <w:family w:val="script"/>
    <w:pitch w:val="default"/>
    <w:sig w:usb0="00000000" w:usb1="00000000" w:usb2="0008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Consolas">
    <w:panose1 w:val="020B0609020204030204"/>
    <w:charset w:val="00"/>
    <w:family w:val="modern"/>
    <w:pitch w:val="default"/>
    <w:sig w:usb0="E00006FF" w:usb1="0000FCFF" w:usb2="00000001" w:usb3="00000000" w:csb0="6000019F" w:csb1="DFD7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alisto MT">
    <w:panose1 w:val="02040603050505030304"/>
    <w:charset w:val="00"/>
    <w:family w:val="auto"/>
    <w:pitch w:val="default"/>
    <w:sig w:usb0="00000003"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33D2A">
    <w:pPr>
      <w:pStyle w:val="17"/>
      <w:ind w:firstLine="392"/>
      <w:jc w:val="right"/>
      <w:rPr>
        <w:rStyle w:val="7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B46EF">
    <w:pPr>
      <w:pStyle w:val="17"/>
      <w:ind w:firstLine="392"/>
      <w:rPr>
        <w:rStyle w:val="79"/>
      </w:rPr>
    </w:pPr>
  </w:p>
  <w:p w14:paraId="2CBEDF56">
    <w:pPr>
      <w:pStyle w:val="17"/>
      <w:ind w:firstLine="392"/>
      <w:rPr>
        <w:rStyle w:val="66"/>
      </w:rPr>
    </w:pPr>
    <w:r>
      <w:rPr>
        <w:rStyle w:val="6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3BE7A">
    <w:pPr>
      <w:pStyle w:val="17"/>
      <w:ind w:firstLine="392"/>
      <w:rPr>
        <w:rStyle w:val="6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54770">
    <w:pPr>
      <w:pStyle w:val="17"/>
      <w:ind w:firstLine="392"/>
      <w:jc w:val="right"/>
      <w:rPr>
        <w:rStyle w:val="79"/>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88315" cy="166370"/>
              <wp:effectExtent l="0" t="0" r="0" b="0"/>
              <wp:wrapNone/>
              <wp:docPr id="20" name="文本框 8"/>
              <wp:cNvGraphicFramePr/>
              <a:graphic xmlns:a="http://schemas.openxmlformats.org/drawingml/2006/main">
                <a:graphicData uri="http://schemas.microsoft.com/office/word/2010/wordprocessingShape">
                  <wps:wsp>
                    <wps:cNvSpPr/>
                    <wps:spPr>
                      <a:xfrm>
                        <a:off x="0" y="0"/>
                        <a:ext cx="488342" cy="166421"/>
                      </a:xfrm>
                      <a:prstGeom prst="rect">
                        <a:avLst/>
                      </a:prstGeom>
                      <a:noFill/>
                      <a:ln cap="flat" cmpd="sng">
                        <a:noFill/>
                        <a:prstDash val="solid"/>
                        <a:round/>
                      </a:ln>
                    </wps:spPr>
                    <wps:txbx>
                      <w:txbxContent>
                        <w:p w14:paraId="3FAF513E">
                          <w:pPr>
                            <w:pStyle w:val="17"/>
                          </w:pPr>
                          <w:r>
                            <w:t xml:space="preserve">第 </w:t>
                          </w:r>
                          <w:r>
                            <w:fldChar w:fldCharType="begin"/>
                          </w:r>
                          <w:r>
                            <w:instrText xml:space="preserve"> PAGE  \* MERGEFORMAT </w:instrText>
                          </w:r>
                          <w:r>
                            <w:fldChar w:fldCharType="separate"/>
                          </w:r>
                          <w:r>
                            <w:t>2</w:t>
                          </w:r>
                          <w:r>
                            <w:fldChar w:fldCharType="end"/>
                          </w:r>
                          <w:r>
                            <w:t xml:space="preserve"> 页</w:t>
                          </w:r>
                        </w:p>
                      </w:txbxContent>
                    </wps:txbx>
                    <wps:bodyPr vert="horz" wrap="none" lIns="0" tIns="0" rIns="0" bIns="0" anchor="t" anchorCtr="0" upright="1">
                      <a:spAutoFit/>
                    </wps:bodyPr>
                  </wps:wsp>
                </a:graphicData>
              </a:graphic>
            </wp:anchor>
          </w:drawing>
        </mc:Choice>
        <mc:Fallback>
          <w:pict>
            <v:rect id="文本框 8" o:spid="_x0000_s1026" o:spt="1" style="position:absolute;left:0pt;margin-top:0pt;height:13.1pt;width:38.45pt;mso-position-horizontal:center;mso-position-horizontal-relative:margin;mso-wrap-style:none;z-index:251659264;mso-width-relative:page;mso-height-relative:page;" filled="f" stroked="f" coordsize="21600,21600" o:gfxdata="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7k+LI9IAAAADAQAADwAAAAAAAAABACAAAAAiAAAAZHJzL2Rvd25yZXYueG1s&#10;UEsBAhQAFAAAAAgAh07iQEjxo1f+AQAA7AMAAA4AAAAAAAAAAQAgAAAAIQEAAGRycy9lMm9Eb2Mu&#10;eG1sUEsFBgAAAAAGAAYAWQEAAJEFAAAAAA==&#10;">
              <v:fill on="f" focussize="0,0"/>
              <v:stroke on="f" joinstyle="round"/>
              <v:imagedata o:title=""/>
              <o:lock v:ext="edit" aspectratio="f"/>
              <v:textbox inset="0mm,0mm,0mm,0mm" style="mso-fit-shape-to-text:t;">
                <w:txbxContent>
                  <w:p w14:paraId="3FAF513E">
                    <w:pPr>
                      <w:pStyle w:val="17"/>
                    </w:pPr>
                    <w:r>
                      <w:t xml:space="preserve">第 </w:t>
                    </w:r>
                    <w:r>
                      <w:fldChar w:fldCharType="begin"/>
                    </w:r>
                    <w:r>
                      <w:instrText xml:space="preserve"> PAGE  \* MERGEFORMAT </w:instrText>
                    </w:r>
                    <w:r>
                      <w:fldChar w:fldCharType="separate"/>
                    </w:r>
                    <w:r>
                      <w:t>2</w:t>
                    </w:r>
                    <w:r>
                      <w:fldChar w:fldCharType="end"/>
                    </w:r>
                    <w:r>
                      <w:t xml:space="preserve"> 页</w:t>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8A9E4">
    <w:pPr>
      <w:pStyle w:val="17"/>
      <w:ind w:firstLine="392"/>
      <w:rPr>
        <w:rStyle w:val="66"/>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45415" cy="133350"/>
              <wp:effectExtent l="0" t="0" r="0" b="0"/>
              <wp:wrapNone/>
              <wp:docPr id="21" name="文本框 7"/>
              <wp:cNvGraphicFramePr/>
              <a:graphic xmlns:a="http://schemas.openxmlformats.org/drawingml/2006/main">
                <a:graphicData uri="http://schemas.microsoft.com/office/word/2010/wordprocessingShape">
                  <wps:wsp>
                    <wps:cNvSpPr/>
                    <wps:spPr>
                      <a:xfrm>
                        <a:off x="0" y="0"/>
                        <a:ext cx="145414" cy="133350"/>
                      </a:xfrm>
                      <a:prstGeom prst="rect">
                        <a:avLst/>
                      </a:prstGeom>
                      <a:noFill/>
                      <a:ln cap="flat" cmpd="sng">
                        <a:noFill/>
                        <a:prstDash val="solid"/>
                        <a:round/>
                      </a:ln>
                    </wps:spPr>
                    <wps:txbx>
                      <w:txbxContent>
                        <w:p w14:paraId="0A447AA2">
                          <w:pPr>
                            <w:pStyle w:val="17"/>
                          </w:pPr>
                          <w:r>
                            <w:fldChar w:fldCharType="begin"/>
                          </w:r>
                          <w:r>
                            <w:instrText xml:space="preserve"> PAGE  \* MERGEFORMAT </w:instrText>
                          </w:r>
                          <w:r>
                            <w:fldChar w:fldCharType="separate"/>
                          </w:r>
                          <w:r>
                            <w:t>44</w:t>
                          </w:r>
                          <w:r>
                            <w:fldChar w:fldCharType="end"/>
                          </w:r>
                        </w:p>
                      </w:txbxContent>
                    </wps:txbx>
                    <wps:bodyPr vert="horz" wrap="none" lIns="0" tIns="0" rIns="0" bIns="0" anchor="t" anchorCtr="0" upright="1">
                      <a:spAutoFit/>
                    </wps:bodyPr>
                  </wps:wsp>
                </a:graphicData>
              </a:graphic>
            </wp:anchor>
          </w:drawing>
        </mc:Choice>
        <mc:Fallback>
          <w:pict>
            <v:rect id="文本框 7" o:spid="_x0000_s1026" o:spt="1" style="position:absolute;left:0pt;margin-top:0pt;height:10.5pt;width:11.45pt;mso-position-horizontal:center;mso-position-horizontal-relative:margin;mso-wrap-style:none;z-index:251659264;mso-width-relative:page;mso-height-relative:page;" filled="f" stroked="f" coordsize="21600,21600" o:gfxdata="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DaDFhNEAAAADAQAADwAAAAAAAAABACAAAAAiAAAAZHJzL2Rvd25yZXYueG1s&#10;UEsBAhQAFAAAAAgAh07iQPiIKhn/AQAA7AMAAA4AAAAAAAAAAQAgAAAAIAEAAGRycy9lMm9Eb2Mu&#10;eG1sUEsFBgAAAAAGAAYAWQEAAJEFAAAAAA==&#10;">
              <v:fill on="f" focussize="0,0"/>
              <v:stroke on="f" joinstyle="round"/>
              <v:imagedata o:title=""/>
              <o:lock v:ext="edit" aspectratio="f"/>
              <v:textbox inset="0mm,0mm,0mm,0mm" style="mso-fit-shape-to-text:t;">
                <w:txbxContent>
                  <w:p w14:paraId="0A447AA2">
                    <w:pPr>
                      <w:pStyle w:val="17"/>
                    </w:pPr>
                    <w:r>
                      <w:fldChar w:fldCharType="begin"/>
                    </w:r>
                    <w:r>
                      <w:instrText xml:space="preserve"> PAGE  \* MERGEFORMAT </w:instrText>
                    </w:r>
                    <w:r>
                      <w:fldChar w:fldCharType="separate"/>
                    </w:r>
                    <w:r>
                      <w:t>44</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D6593">
    <w:pPr>
      <w:pStyle w:val="17"/>
      <w:jc w:val="center"/>
      <w:rPr>
        <w:rStyle w:val="79"/>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88315" cy="166370"/>
              <wp:effectExtent l="0" t="0" r="0" b="0"/>
              <wp:wrapNone/>
              <wp:docPr id="22" name="文本框 9"/>
              <wp:cNvGraphicFramePr/>
              <a:graphic xmlns:a="http://schemas.openxmlformats.org/drawingml/2006/main">
                <a:graphicData uri="http://schemas.microsoft.com/office/word/2010/wordprocessingShape">
                  <wps:wsp>
                    <wps:cNvSpPr/>
                    <wps:spPr>
                      <a:xfrm>
                        <a:off x="0" y="0"/>
                        <a:ext cx="488315" cy="166370"/>
                      </a:xfrm>
                      <a:prstGeom prst="rect">
                        <a:avLst/>
                      </a:prstGeom>
                      <a:noFill/>
                      <a:ln cap="flat" cmpd="sng">
                        <a:noFill/>
                        <a:prstDash val="solid"/>
                        <a:round/>
                      </a:ln>
                    </wps:spPr>
                    <wps:txbx>
                      <w:txbxContent>
                        <w:p w14:paraId="7BCCA3A2">
                          <w:pPr>
                            <w:pStyle w:val="17"/>
                          </w:pPr>
                          <w:r>
                            <w:t xml:space="preserve">第 </w:t>
                          </w:r>
                          <w:r>
                            <w:fldChar w:fldCharType="begin"/>
                          </w:r>
                          <w:r>
                            <w:instrText xml:space="preserve"> PAGE  \* MERGEFORMAT </w:instrText>
                          </w:r>
                          <w:r>
                            <w:fldChar w:fldCharType="separate"/>
                          </w:r>
                          <w:r>
                            <w:t>50</w:t>
                          </w:r>
                          <w:r>
                            <w:fldChar w:fldCharType="end"/>
                          </w:r>
                          <w:r>
                            <w:t xml:space="preserve"> 页</w:t>
                          </w:r>
                        </w:p>
                      </w:txbxContent>
                    </wps:txbx>
                    <wps:bodyPr vert="horz" wrap="none" lIns="0" tIns="0" rIns="0" bIns="0" anchor="t" anchorCtr="0" upright="1">
                      <a:spAutoFit/>
                    </wps:bodyPr>
                  </wps:wsp>
                </a:graphicData>
              </a:graphic>
            </wp:anchor>
          </w:drawing>
        </mc:Choice>
        <mc:Fallback>
          <w:pict>
            <v:rect id="文本框 9" o:spid="_x0000_s1026" o:spt="1" style="position:absolute;left:0pt;margin-top:0pt;height:13.1pt;width:38.45pt;mso-position-horizontal:center;mso-position-horizontal-relative:margin;mso-wrap-style:none;z-index:251659264;mso-width-relative:page;mso-height-relative:page;" filled="f" stroked="f" coordsize="21600,21600" o:gfxdata="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5PiyPSAAAAAwEAAA8AAAAAAAAAAQAgAAAAIgAAAGRycy9kb3ducmV2Lnht&#10;bFBLAQIUABQAAAAIAIdO4kCUd/HL/wEAAOwDAAAOAAAAAAAAAAEAIAAAACEBAABkcnMvZTJvRG9j&#10;LnhtbFBLBQYAAAAABgAGAFkBAACSBQAAAAA=&#10;">
              <v:fill on="f" focussize="0,0"/>
              <v:stroke on="f" joinstyle="round"/>
              <v:imagedata o:title=""/>
              <o:lock v:ext="edit" aspectratio="f"/>
              <v:textbox inset="0mm,0mm,0mm,0mm" style="mso-fit-shape-to-text:t;">
                <w:txbxContent>
                  <w:p w14:paraId="7BCCA3A2">
                    <w:pPr>
                      <w:pStyle w:val="17"/>
                    </w:pPr>
                    <w:r>
                      <w:t xml:space="preserve">第 </w:t>
                    </w:r>
                    <w:r>
                      <w:fldChar w:fldCharType="begin"/>
                    </w:r>
                    <w:r>
                      <w:instrText xml:space="preserve"> PAGE  \* MERGEFORMAT </w:instrText>
                    </w:r>
                    <w:r>
                      <w:fldChar w:fldCharType="separate"/>
                    </w:r>
                    <w:r>
                      <w:t>50</w:t>
                    </w:r>
                    <w:r>
                      <w:fldChar w:fldCharType="end"/>
                    </w:r>
                    <w:r>
                      <w:t xml:space="preserve"> 页</w:t>
                    </w:r>
                  </w:p>
                </w:txbxContent>
              </v:textbox>
            </v:rect>
          </w:pict>
        </mc:Fallback>
      </mc:AlternateContent>
    </w:r>
  </w:p>
  <w:p w14:paraId="73C2A258">
    <w:pPr>
      <w:pStyle w:val="17"/>
      <w:ind w:left="-4410" w:leftChars="-2100" w:right="-4439" w:rightChars="-2114"/>
      <w:rPr>
        <w:rStyle w:val="79"/>
      </w:rPr>
    </w:pPr>
  </w:p>
  <w:p w14:paraId="61A10F72">
    <w:pPr>
      <w:pStyle w:val="17"/>
      <w:ind w:right="360" w:firstLine="360"/>
      <w:jc w:val="center"/>
      <w:rPr>
        <w:rStyle w:val="66"/>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2D4F3">
    <w:pPr>
      <w:pStyle w:val="17"/>
      <w:framePr w:wrap="around" w:vAnchor="margin" w:hAnchor="text" w:xAlign="outside" w:y="1"/>
      <w:rPr>
        <w:rStyle w:val="79"/>
      </w:rPr>
    </w:pPr>
  </w:p>
  <w:p w14:paraId="10AC0D2F">
    <w:pPr>
      <w:pStyle w:val="17"/>
      <w:ind w:right="360" w:firstLine="360"/>
      <w:jc w:val="center"/>
      <w:rPr>
        <w:rStyle w:val="66"/>
      </w:rPr>
    </w:pPr>
    <w:r>
      <w:rPr>
        <w:rStyle w:val="66"/>
        <w:sz w:val="20"/>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83466">
    <w:pPr>
      <w:pStyle w:val="17"/>
      <w:jc w:val="center"/>
      <w:rPr>
        <w:rStyle w:val="66"/>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88315" cy="166370"/>
              <wp:effectExtent l="0" t="0" r="0" b="0"/>
              <wp:wrapNone/>
              <wp:docPr id="23" name="文本框 10"/>
              <wp:cNvGraphicFramePr/>
              <a:graphic xmlns:a="http://schemas.openxmlformats.org/drawingml/2006/main">
                <a:graphicData uri="http://schemas.microsoft.com/office/word/2010/wordprocessingShape">
                  <wps:wsp>
                    <wps:cNvSpPr/>
                    <wps:spPr>
                      <a:xfrm>
                        <a:off x="0" y="0"/>
                        <a:ext cx="488315" cy="166370"/>
                      </a:xfrm>
                      <a:prstGeom prst="rect">
                        <a:avLst/>
                      </a:prstGeom>
                      <a:noFill/>
                      <a:ln cap="flat" cmpd="sng">
                        <a:noFill/>
                        <a:prstDash val="solid"/>
                        <a:round/>
                      </a:ln>
                    </wps:spPr>
                    <wps:txbx>
                      <w:txbxContent>
                        <w:p w14:paraId="4E11BEB4">
                          <w:pPr>
                            <w:pStyle w:val="17"/>
                          </w:pPr>
                          <w:r>
                            <w:t xml:space="preserve">第 </w:t>
                          </w:r>
                          <w:r>
                            <w:fldChar w:fldCharType="begin"/>
                          </w:r>
                          <w:r>
                            <w:instrText xml:space="preserve"> PAGE  \* MERGEFORMAT </w:instrText>
                          </w:r>
                          <w:r>
                            <w:fldChar w:fldCharType="separate"/>
                          </w:r>
                          <w:r>
                            <w:t>51</w:t>
                          </w:r>
                          <w:r>
                            <w:fldChar w:fldCharType="end"/>
                          </w:r>
                          <w:r>
                            <w:t xml:space="preserve"> 页</w:t>
                          </w:r>
                        </w:p>
                      </w:txbxContent>
                    </wps:txbx>
                    <wps:bodyPr vert="horz" wrap="none" lIns="0" tIns="0" rIns="0" bIns="0" anchor="t" anchorCtr="0" upright="1">
                      <a:spAutoFit/>
                    </wps:bodyPr>
                  </wps:wsp>
                </a:graphicData>
              </a:graphic>
            </wp:anchor>
          </w:drawing>
        </mc:Choice>
        <mc:Fallback>
          <w:pict>
            <v:rect id="文本框 10" o:spid="_x0000_s1026" o:spt="1" style="position:absolute;left:0pt;margin-top:0pt;height:13.1pt;width:38.45pt;mso-position-horizontal:center;mso-position-horizontal-relative:margin;mso-wrap-style:none;z-index:251659264;mso-width-relative:page;mso-height-relative:page;" filled="f" stroked="f" coordsize="21600,21600" o:gfxdata="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5PiyPSAAAAAwEAAA8AAAAAAAAAAQAgAAAAIgAAAGRycy9kb3ducmV2Lnht&#10;bFBLAQIUABQAAAAIAIdO4kA2U/Bg/wEAAO0DAAAOAAAAAAAAAAEAIAAAACEBAABkcnMvZTJvRG9j&#10;LnhtbFBLBQYAAAAABgAGAFkBAACSBQAAAAA=&#10;">
              <v:fill on="f" focussize="0,0"/>
              <v:stroke on="f" joinstyle="round"/>
              <v:imagedata o:title=""/>
              <o:lock v:ext="edit" aspectratio="f"/>
              <v:textbox inset="0mm,0mm,0mm,0mm" style="mso-fit-shape-to-text:t;">
                <w:txbxContent>
                  <w:p w14:paraId="4E11BEB4">
                    <w:pPr>
                      <w:pStyle w:val="17"/>
                    </w:pPr>
                    <w:r>
                      <w:t xml:space="preserve">第 </w:t>
                    </w:r>
                    <w:r>
                      <w:fldChar w:fldCharType="begin"/>
                    </w:r>
                    <w:r>
                      <w:instrText xml:space="preserve"> PAGE  \* MERGEFORMAT </w:instrText>
                    </w:r>
                    <w:r>
                      <w:fldChar w:fldCharType="separate"/>
                    </w:r>
                    <w:r>
                      <w:t>51</w:t>
                    </w:r>
                    <w:r>
                      <w:fldChar w:fldCharType="end"/>
                    </w:r>
                    <w:r>
                      <w:t xml:space="preserve"> 页</w:t>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5A2DF">
    <w:pPr>
      <w:snapToGrid w:val="0"/>
      <w:jc w:val="center"/>
      <w:rPr>
        <w:rStyle w:val="66"/>
        <w:rFonts w:ascii="宋体" w:hAnsi="宋体"/>
        <w:kern w:val="0"/>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88315" cy="166370"/>
              <wp:effectExtent l="0" t="0" r="0" b="0"/>
              <wp:wrapNone/>
              <wp:docPr id="24" name="文本框 11"/>
              <wp:cNvGraphicFramePr/>
              <a:graphic xmlns:a="http://schemas.openxmlformats.org/drawingml/2006/main">
                <a:graphicData uri="http://schemas.microsoft.com/office/word/2010/wordprocessingShape">
                  <wps:wsp>
                    <wps:cNvSpPr/>
                    <wps:spPr>
                      <a:xfrm>
                        <a:off x="0" y="0"/>
                        <a:ext cx="488315" cy="166370"/>
                      </a:xfrm>
                      <a:prstGeom prst="rect">
                        <a:avLst/>
                      </a:prstGeom>
                      <a:noFill/>
                      <a:ln cap="flat" cmpd="sng">
                        <a:noFill/>
                        <a:prstDash val="solid"/>
                        <a:round/>
                      </a:ln>
                    </wps:spPr>
                    <wps:txbx>
                      <w:txbxContent>
                        <w:p w14:paraId="38D463F9">
                          <w:pPr>
                            <w:pStyle w:val="17"/>
                          </w:pPr>
                          <w:r>
                            <w:t xml:space="preserve">第 </w:t>
                          </w:r>
                          <w:r>
                            <w:fldChar w:fldCharType="begin"/>
                          </w:r>
                          <w:r>
                            <w:instrText xml:space="preserve"> PAGE  \* MERGEFORMAT </w:instrText>
                          </w:r>
                          <w:r>
                            <w:fldChar w:fldCharType="separate"/>
                          </w:r>
                          <w:r>
                            <w:t>63</w:t>
                          </w:r>
                          <w:r>
                            <w:fldChar w:fldCharType="end"/>
                          </w:r>
                          <w:r>
                            <w:t xml:space="preserve"> 页</w:t>
                          </w:r>
                        </w:p>
                      </w:txbxContent>
                    </wps:txbx>
                    <wps:bodyPr vert="horz" wrap="none" lIns="0" tIns="0" rIns="0" bIns="0" anchor="t" anchorCtr="0" upright="1">
                      <a:spAutoFit/>
                    </wps:bodyPr>
                  </wps:wsp>
                </a:graphicData>
              </a:graphic>
            </wp:anchor>
          </w:drawing>
        </mc:Choice>
        <mc:Fallback>
          <w:pict>
            <v:rect id="文本框 11" o:spid="_x0000_s1026" o:spt="1" style="position:absolute;left:0pt;margin-top:0pt;height:13.1pt;width:38.45pt;mso-position-horizontal:center;mso-position-horizontal-relative:margin;mso-wrap-style:none;z-index:251659264;mso-width-relative:page;mso-height-relative:page;" filled="f" stroked="f" coordsize="21600,21600" o:gfxdata="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uT4sj0gAAAAMBAAAPAAAAAAAAAAEAIAAAACIAAABkcnMvZG93bnJldi54&#10;bWxQSwECFAAUAAAACACHTuJAtWoP2QACAADtAwAADgAAAAAAAAABACAAAAAhAQAAZHJzL2Uyb0Rv&#10;Yy54bWxQSwUGAAAAAAYABgBZAQAAkwUAAAAA&#10;">
              <v:fill on="f" focussize="0,0"/>
              <v:stroke on="f" joinstyle="round"/>
              <v:imagedata o:title=""/>
              <o:lock v:ext="edit" aspectratio="f"/>
              <v:textbox inset="0mm,0mm,0mm,0mm" style="mso-fit-shape-to-text:t;">
                <w:txbxContent>
                  <w:p w14:paraId="38D463F9">
                    <w:pPr>
                      <w:pStyle w:val="17"/>
                    </w:pPr>
                    <w:r>
                      <w:t xml:space="preserve">第 </w:t>
                    </w:r>
                    <w:r>
                      <w:fldChar w:fldCharType="begin"/>
                    </w:r>
                    <w:r>
                      <w:instrText xml:space="preserve"> PAGE  \* MERGEFORMAT </w:instrText>
                    </w:r>
                    <w:r>
                      <w:fldChar w:fldCharType="separate"/>
                    </w:r>
                    <w:r>
                      <w:t>63</w:t>
                    </w:r>
                    <w:r>
                      <w:fldChar w:fldCharType="end"/>
                    </w:r>
                    <w: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9C8A9">
    <w:pPr>
      <w:pStyle w:val="18"/>
      <w:pBdr>
        <w:bottom w:val="none" w:color="auto" w:sz="0" w:space="0"/>
      </w:pBdr>
      <w:ind w:firstLine="392"/>
      <w:rPr>
        <w:rStyle w:val="6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B9E73">
    <w:pPr>
      <w:pStyle w:val="18"/>
      <w:ind w:firstLine="392"/>
      <w:rPr>
        <w:rStyle w:val="66"/>
      </w:rPr>
    </w:pPr>
    <w:r>
      <w:rPr>
        <w:rStyle w:val="66"/>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7BC86">
    <w:pPr>
      <w:pStyle w:val="18"/>
      <w:pBdr>
        <w:bottom w:val="none" w:color="auto" w:sz="0" w:space="0"/>
      </w:pBdr>
      <w:jc w:val="both"/>
      <w:rPr>
        <w:rStyle w:val="6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96EEF">
    <w:pPr>
      <w:pStyle w:val="18"/>
      <w:pBdr>
        <w:bottom w:val="none" w:color="auto" w:sz="0" w:space="0"/>
      </w:pBdr>
      <w:jc w:val="right"/>
      <w:rPr>
        <w:rStyle w:val="6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A8B16">
    <w:pPr>
      <w:pStyle w:val="18"/>
      <w:jc w:val="right"/>
      <w:rPr>
        <w:rStyle w:val="66"/>
        <w:i/>
        <w:iCs/>
      </w:rPr>
    </w:pPr>
    <w:r>
      <w:rPr>
        <w:rStyle w:val="66"/>
        <w:i/>
        <w:iCs/>
      </w:rPr>
      <w:t>横枝岗路道路排水改造工程招标文件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9A314">
    <w:pPr>
      <w:pStyle w:val="18"/>
      <w:pBdr>
        <w:bottom w:val="none" w:color="auto" w:sz="0" w:space="0"/>
      </w:pBdr>
      <w:jc w:val="right"/>
      <w:rPr>
        <w:rStyle w:val="66"/>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2BA5F"/>
    <w:multiLevelType w:val="multilevel"/>
    <w:tmpl w:val="9F92BA5F"/>
    <w:lvl w:ilvl="0" w:tentative="0">
      <w:start w:val="1"/>
      <w:numFmt w:val="chineseCountingThousand"/>
      <w:pStyle w:val="110"/>
      <w:suff w:val="space"/>
      <w:lvlText w:val="第%1章"/>
      <w:lvlJc w:val="left"/>
      <w:pPr>
        <w:ind w:left="567" w:hanging="279"/>
      </w:pPr>
      <w:rPr>
        <w:rFonts w:ascii="宋体" w:hAnsi="宋体" w:eastAsia="宋体"/>
        <w:b/>
        <w:i w:val="0"/>
        <w:position w:val="0"/>
        <w:sz w:val="44"/>
      </w:rPr>
    </w:lvl>
    <w:lvl w:ilvl="1" w:tentative="0">
      <w:start w:val="1"/>
      <w:numFmt w:val="decimal"/>
      <w:suff w:val="space"/>
      <w:lvlText w:val="%1."/>
      <w:lvlJc w:val="left"/>
      <w:pPr>
        <w:ind w:left="454" w:hanging="454"/>
      </w:pPr>
      <w:rPr>
        <w:rFonts w:ascii="宋体" w:hAnsi="宋体" w:eastAsia="宋体"/>
        <w:b/>
        <w:i w:val="0"/>
        <w:sz w:val="32"/>
      </w:rPr>
    </w:lvl>
    <w:lvl w:ilvl="2" w:tentative="0">
      <w:start w:val="1"/>
      <w:numFmt w:val="decimal"/>
      <w:suff w:val="space"/>
      <w:lvlText w:val="%1.%2"/>
      <w:lvlJc w:val="left"/>
      <w:pPr>
        <w:ind w:left="454" w:hanging="454"/>
      </w:pPr>
      <w:rPr>
        <w:rFonts w:ascii="宋体" w:hAnsi="宋体" w:eastAsia="宋体"/>
        <w:b/>
        <w:i w:val="0"/>
        <w:sz w:val="28"/>
      </w:rPr>
    </w:lvl>
    <w:lvl w:ilvl="3" w:tentative="0">
      <w:start w:val="1"/>
      <w:numFmt w:val="decimal"/>
      <w:pStyle w:val="109"/>
      <w:suff w:val="space"/>
      <w:lvlText w:val="%1.%2.%3"/>
      <w:lvlJc w:val="left"/>
      <w:pPr>
        <w:ind w:left="284" w:hanging="284"/>
      </w:pPr>
      <w:rPr>
        <w:rFonts w:ascii="宋体" w:hAnsi="宋体" w:eastAsia="宋体"/>
        <w:b/>
        <w:i w:val="0"/>
        <w:sz w:val="28"/>
      </w:rPr>
    </w:lvl>
    <w:lvl w:ilvl="4" w:tentative="0">
      <w:start w:val="1"/>
      <w:numFmt w:val="decimal"/>
      <w:pStyle w:val="148"/>
      <w:suff w:val="space"/>
      <w:lvlText w:val="%1.%2.%3.%4"/>
      <w:lvlJc w:val="left"/>
      <w:pPr>
        <w:ind w:left="284" w:hanging="284"/>
      </w:pPr>
      <w:rPr>
        <w:rFonts w:ascii="宋体" w:hAnsi="宋体" w:eastAsia="宋体"/>
        <w:b/>
        <w:i w:val="0"/>
        <w:strike w:val="0"/>
        <w:dstrike w:val="0"/>
        <w:sz w:val="28"/>
      </w:rPr>
    </w:lvl>
    <w:lvl w:ilvl="5" w:tentative="0">
      <w:start w:val="1"/>
      <w:numFmt w:val="decimal"/>
      <w:suff w:val="space"/>
      <w:lvlText w:val="1.1.1.1.1.%1%2"/>
      <w:lvlJc w:val="left"/>
      <w:rPr>
        <w:rFonts w:ascii="宋体" w:hAnsi="宋体" w:eastAsia="宋体"/>
        <w:b/>
        <w:i w:val="0"/>
        <w:sz w:val="28"/>
      </w:rPr>
    </w:lvl>
    <w:lvl w:ilvl="6" w:tentative="0">
      <w:start w:val="1"/>
      <w:numFmt w:val="decimal"/>
      <w:pStyle w:val="124"/>
      <w:suff w:val="nothing"/>
      <w:lvlText w:val=""/>
      <w:lvlJc w:val="left"/>
    </w:lvl>
    <w:lvl w:ilvl="7" w:tentative="0">
      <w:start w:val="1"/>
      <w:numFmt w:val="decimal"/>
      <w:pStyle w:val="127"/>
      <w:suff w:val="nothing"/>
      <w:lvlText w:val=""/>
      <w:lvlJc w:val="left"/>
    </w:lvl>
    <w:lvl w:ilvl="8" w:tentative="0">
      <w:start w:val="1"/>
      <w:numFmt w:val="decimal"/>
      <w:pStyle w:val="88"/>
      <w:suff w:val="nothing"/>
      <w:lvlText w:val=""/>
      <w:lvlJc w:val="left"/>
    </w:lvl>
  </w:abstractNum>
  <w:abstractNum w:abstractNumId="1">
    <w:nsid w:val="2A07F617"/>
    <w:multiLevelType w:val="multilevel"/>
    <w:tmpl w:val="2A07F617"/>
    <w:lvl w:ilvl="0" w:tentative="0">
      <w:start w:val="1"/>
      <w:numFmt w:val="decimal"/>
      <w:suff w:val="nothing"/>
      <w:lvlText w:val="第%1篇"/>
      <w:lvlJc w:val="left"/>
      <w:rPr>
        <w:spacing w:val="60"/>
      </w:rPr>
    </w:lvl>
    <w:lvl w:ilvl="1" w:tentative="0">
      <w:start w:val="1"/>
      <w:numFmt w:val="decimal"/>
      <w:suff w:val="nothing"/>
      <w:lvlText w:val=""/>
      <w:lvlJc w:val="left"/>
    </w:lvl>
    <w:lvl w:ilvl="2" w:tentative="0">
      <w:start w:val="1"/>
      <w:numFmt w:val="decimal"/>
      <w:suff w:val="nothing"/>
      <w:lvlText w:val=""/>
      <w:lvlJc w:val="left"/>
    </w:lvl>
    <w:lvl w:ilvl="3" w:tentative="0">
      <w:start w:val="1"/>
      <w:numFmt w:val="decimal"/>
      <w:suff w:val="nothing"/>
      <w:lvlText w:val=""/>
      <w:lvlJc w:val="left"/>
    </w:lvl>
    <w:lvl w:ilvl="4" w:tentative="0">
      <w:start w:val="1"/>
      <w:numFmt w:val="decimal"/>
      <w:suff w:val="nothing"/>
      <w:lvlText w:val=""/>
      <w:lvlJc w:val="center"/>
      <w:pPr>
        <w:ind w:left="0" w:firstLine="288"/>
      </w:pPr>
    </w:lvl>
    <w:lvl w:ilvl="5" w:tentative="0">
      <w:start w:val="1"/>
      <w:numFmt w:val="decimal"/>
      <w:pStyle w:val="105"/>
      <w:suff w:val="nothing"/>
      <w:lvlText w:val=""/>
      <w:lvlJc w:val="left"/>
    </w:lvl>
    <w:lvl w:ilvl="6" w:tentative="0">
      <w:start w:val="1"/>
      <w:numFmt w:val="decimal"/>
      <w:suff w:val="nothing"/>
      <w:lvlText w:val=""/>
      <w:lvlJc w:val="left"/>
    </w:lvl>
    <w:lvl w:ilvl="7" w:tentative="0">
      <w:start w:val="1"/>
      <w:numFmt w:val="decimal"/>
      <w:suff w:val="nothing"/>
      <w:lvlText w:val=""/>
      <w:lvlJc w:val="left"/>
    </w:lvl>
    <w:lvl w:ilvl="8" w:tentative="0">
      <w:start w:val="1"/>
      <w:numFmt w:val="decimal"/>
      <w:suff w:val="nothing"/>
      <w:lvlText w:val=""/>
      <w:lvlJc w:val="left"/>
    </w:lvl>
  </w:abstractNum>
  <w:abstractNum w:abstractNumId="2">
    <w:nsid w:val="6D479E95"/>
    <w:multiLevelType w:val="singleLevel"/>
    <w:tmpl w:val="6D479E95"/>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dit="trackedChanges" w:enforcement="0"/>
  <w:defaultTabStop w:val="420"/>
  <w:drawingGridHorizontalSpacing w:val="105"/>
  <w:drawingGridVerticalSpacing w:val="156"/>
  <w:displayHorizontalDrawingGridEvery w:val="1"/>
  <w:displayVerticalDrawingGridEvery w:val="1"/>
  <w:doNotUseMarginsForDrawingGridOrigin w:val="1"/>
  <w:drawingGridHorizontalOrigin w:val="1800"/>
  <w:drawingGridVerticalOrigin w:val="1440"/>
  <w:noPunctuationKerning w:val="1"/>
  <w:compat>
    <w:balanceSingleByteDoubleByteWidth/>
    <w:doNotExpandShiftReturn/>
    <w:adjustLineHeightInTable/>
    <w:useFELayout/>
    <w:doNotUseIndentAsNumberingTabStop/>
    <w:compatSetting w:name="compatibilityMode" w:uri="http://schemas.microsoft.com/office/word" w:val="14"/>
  </w:compat>
  <w:docVars>
    <w:docVar w:name="commondata" w:val="eyJoZGlkIjoiYzk3MjA1ZDgxOGU4YjVjZmQyYjM0ZWVhODlhM2U1NjkifQ=="/>
  </w:docVars>
  <w:rsids>
    <w:rsidRoot w:val="00000000"/>
    <w:rsid w:val="25BF4C61"/>
    <w:rsid w:val="3B7E4C7E"/>
    <w:rsid w:val="755F5D32"/>
    <w:rsid w:val="FB76C1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Calibri" w:hAnsi="Calibri" w:eastAsia="宋体" w:cs="Times New Roman"/>
      <w:kern w:val="2"/>
      <w:sz w:val="21"/>
      <w:szCs w:val="22"/>
      <w:lang w:val="en-US" w:eastAsia="zh-CN" w:bidi="ar-SA"/>
    </w:rPr>
  </w:style>
  <w:style w:type="paragraph" w:styleId="3">
    <w:name w:val="heading 1"/>
    <w:basedOn w:val="1"/>
    <w:next w:val="1"/>
    <w:link w:val="32"/>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3"/>
    <w:qFormat/>
    <w:uiPriority w:val="0"/>
    <w:pPr>
      <w:keepNext/>
      <w:keepLines/>
      <w:spacing w:before="260" w:after="260" w:line="415" w:lineRule="auto"/>
      <w:outlineLvl w:val="1"/>
    </w:pPr>
    <w:rPr>
      <w:rFonts w:ascii="方正兰亭黑_GBK" w:hAnsi="方正兰亭黑_GBK" w:eastAsia="黑体"/>
      <w:b/>
      <w:bCs/>
      <w:sz w:val="32"/>
      <w:szCs w:val="32"/>
    </w:rPr>
  </w:style>
  <w:style w:type="paragraph" w:styleId="5">
    <w:name w:val="heading 3"/>
    <w:basedOn w:val="1"/>
    <w:next w:val="1"/>
    <w:link w:val="34"/>
    <w:qFormat/>
    <w:uiPriority w:val="0"/>
    <w:pPr>
      <w:spacing w:before="100" w:beforeAutospacing="1" w:after="100" w:afterAutospacing="1"/>
      <w:jc w:val="left"/>
      <w:textAlignment w:val="auto"/>
      <w:outlineLvl w:val="2"/>
    </w:pPr>
    <w:rPr>
      <w:rFonts w:ascii="宋体" w:hAnsi="宋体"/>
      <w:kern w:val="0"/>
      <w:sz w:val="27"/>
      <w:szCs w:val="27"/>
    </w:rPr>
  </w:style>
  <w:style w:type="character" w:default="1" w:styleId="27">
    <w:name w:val="Default Paragraph Font"/>
    <w:qFormat/>
    <w:uiPriority w:val="0"/>
  </w:style>
  <w:style w:type="table" w:default="1" w:styleId="26">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eastAsia="楷体_GB2312"/>
      <w:szCs w:val="24"/>
    </w:rPr>
  </w:style>
  <w:style w:type="paragraph" w:styleId="6">
    <w:name w:val="Normal Indent"/>
    <w:basedOn w:val="1"/>
    <w:qFormat/>
    <w:uiPriority w:val="0"/>
    <w:pPr>
      <w:widowControl w:val="0"/>
      <w:ind w:firstLine="420"/>
      <w:textAlignment w:val="auto"/>
    </w:pPr>
    <w:rPr>
      <w:rFonts w:ascii="Times New Roman" w:hAnsi="Times New Roman"/>
      <w:szCs w:val="21"/>
    </w:rPr>
  </w:style>
  <w:style w:type="paragraph" w:styleId="7">
    <w:name w:val="Document Map"/>
    <w:basedOn w:val="1"/>
    <w:qFormat/>
    <w:uiPriority w:val="0"/>
    <w:rPr>
      <w:rFonts w:ascii="方正兰亭黑_GBK" w:hAnsi="方正兰亭黑_GBK"/>
      <w:sz w:val="18"/>
      <w:szCs w:val="18"/>
    </w:rPr>
  </w:style>
  <w:style w:type="paragraph" w:styleId="8">
    <w:name w:val="annotation text"/>
    <w:basedOn w:val="1"/>
    <w:next w:val="1"/>
    <w:qFormat/>
    <w:uiPriority w:val="0"/>
    <w:pPr>
      <w:jc w:val="left"/>
      <w:textAlignment w:val="baseline"/>
    </w:pPr>
    <w:rPr>
      <w:rFonts w:ascii="Calibri" w:hAnsi="Calibri" w:eastAsia="宋体" w:cs="Times New Roman"/>
      <w:kern w:val="2"/>
      <w:sz w:val="21"/>
      <w:szCs w:val="22"/>
      <w:lang w:val="en-US" w:eastAsia="zh-CN" w:bidi="ar-SA"/>
    </w:rPr>
  </w:style>
  <w:style w:type="paragraph" w:styleId="9">
    <w:name w:val="Body Text 3"/>
    <w:basedOn w:val="1"/>
    <w:qFormat/>
    <w:uiPriority w:val="0"/>
    <w:pPr>
      <w:widowControl w:val="0"/>
      <w:spacing w:after="120"/>
      <w:textAlignment w:val="auto"/>
    </w:pPr>
    <w:rPr>
      <w:sz w:val="16"/>
      <w:szCs w:val="16"/>
    </w:rPr>
  </w:style>
  <w:style w:type="paragraph" w:styleId="10">
    <w:name w:val="Body Text"/>
    <w:basedOn w:val="1"/>
    <w:qFormat/>
    <w:uiPriority w:val="0"/>
    <w:pPr>
      <w:spacing w:after="120"/>
    </w:pPr>
  </w:style>
  <w:style w:type="paragraph" w:styleId="11">
    <w:name w:val="Body Text Indent"/>
    <w:basedOn w:val="1"/>
    <w:next w:val="12"/>
    <w:qFormat/>
    <w:uiPriority w:val="0"/>
    <w:pPr>
      <w:ind w:firstLine="570"/>
    </w:pPr>
    <w:rPr>
      <w:kern w:val="0"/>
      <w:sz w:val="28"/>
      <w:szCs w:val="20"/>
    </w:rPr>
  </w:style>
  <w:style w:type="paragraph" w:styleId="12">
    <w:name w:val="envelope return"/>
    <w:basedOn w:val="1"/>
    <w:qFormat/>
    <w:uiPriority w:val="0"/>
    <w:pPr>
      <w:snapToGrid w:val="0"/>
    </w:pPr>
    <w:rPr>
      <w:rFonts w:ascii="Arial" w:hAnsi="Arial"/>
      <w:szCs w:val="24"/>
    </w:rPr>
  </w:style>
  <w:style w:type="paragraph" w:styleId="13">
    <w:name w:val="index 4"/>
    <w:basedOn w:val="1"/>
    <w:next w:val="1"/>
    <w:qFormat/>
    <w:uiPriority w:val="0"/>
    <w:pPr>
      <w:widowControl w:val="0"/>
      <w:ind w:left="600" w:leftChars="600"/>
      <w:textAlignment w:val="auto"/>
    </w:pPr>
    <w:rPr>
      <w:rFonts w:ascii="Times New Roman" w:hAnsi="Times New Roman"/>
    </w:rPr>
  </w:style>
  <w:style w:type="paragraph" w:styleId="14">
    <w:name w:val="toc 3"/>
    <w:basedOn w:val="1"/>
    <w:next w:val="1"/>
    <w:qFormat/>
    <w:uiPriority w:val="0"/>
    <w:pPr>
      <w:ind w:left="400" w:leftChars="400"/>
    </w:pPr>
  </w:style>
  <w:style w:type="paragraph" w:styleId="15">
    <w:name w:val="Date"/>
    <w:basedOn w:val="1"/>
    <w:next w:val="1"/>
    <w:qFormat/>
    <w:uiPriority w:val="0"/>
    <w:rPr>
      <w:rFonts w:ascii="Times New Roman" w:hAnsi="Times New Roman"/>
      <w:kern w:val="0"/>
      <w:sz w:val="20"/>
      <w:szCs w:val="20"/>
    </w:rPr>
  </w:style>
  <w:style w:type="paragraph" w:styleId="16">
    <w:name w:val="Balloon Text"/>
    <w:basedOn w:val="1"/>
    <w:qFormat/>
    <w:uiPriority w:val="0"/>
    <w:rPr>
      <w:sz w:val="18"/>
      <w:szCs w:val="18"/>
    </w:rPr>
  </w:style>
  <w:style w:type="paragraph" w:styleId="17">
    <w:name w:val="footer"/>
    <w:basedOn w:val="1"/>
    <w:qFormat/>
    <w:uiPriority w:val="0"/>
    <w:pPr>
      <w:tabs>
        <w:tab w:val="center" w:pos="4153"/>
        <w:tab w:val="right" w:pos="8306"/>
      </w:tabs>
      <w:snapToGrid w:val="0"/>
      <w:jc w:val="left"/>
    </w:pPr>
    <w:rPr>
      <w:kern w:val="0"/>
      <w:sz w:val="18"/>
      <w:szCs w:val="18"/>
    </w:rPr>
  </w:style>
  <w:style w:type="paragraph" w:styleId="18">
    <w:name w:val="header"/>
    <w:basedOn w:val="1"/>
    <w:qFormat/>
    <w:uiPriority w:val="0"/>
    <w:pPr>
      <w:pBdr>
        <w:bottom w:val="single" w:color="000000" w:sz="6" w:space="1"/>
      </w:pBdr>
      <w:tabs>
        <w:tab w:val="center" w:pos="4153"/>
        <w:tab w:val="right" w:pos="8306"/>
      </w:tabs>
      <w:snapToGrid w:val="0"/>
      <w:jc w:val="center"/>
    </w:pPr>
    <w:rPr>
      <w:kern w:val="0"/>
      <w:sz w:val="18"/>
      <w:szCs w:val="18"/>
    </w:rPr>
  </w:style>
  <w:style w:type="paragraph" w:styleId="19">
    <w:name w:val="toc 1"/>
    <w:basedOn w:val="1"/>
    <w:next w:val="1"/>
    <w:qFormat/>
    <w:uiPriority w:val="0"/>
  </w:style>
  <w:style w:type="paragraph" w:styleId="20">
    <w:name w:val="toc 2"/>
    <w:basedOn w:val="1"/>
    <w:next w:val="1"/>
    <w:qFormat/>
    <w:uiPriority w:val="0"/>
    <w:pPr>
      <w:ind w:left="200" w:leftChars="200"/>
    </w:pPr>
  </w:style>
  <w:style w:type="paragraph" w:styleId="21">
    <w:name w:val="Normal (Web)"/>
    <w:basedOn w:val="1"/>
    <w:qFormat/>
    <w:uiPriority w:val="0"/>
    <w:pPr>
      <w:widowControl w:val="0"/>
      <w:textAlignment w:val="auto"/>
    </w:pPr>
    <w:rPr>
      <w:rFonts w:ascii="仿宋_GB2312" w:eastAsia="仿宋_GB2312" w:cs="宋体"/>
      <w:sz w:val="24"/>
      <w:szCs w:val="24"/>
    </w:rPr>
  </w:style>
  <w:style w:type="paragraph" w:styleId="22">
    <w:name w:val="Title"/>
    <w:basedOn w:val="1"/>
    <w:qFormat/>
    <w:uiPriority w:val="0"/>
    <w:pPr>
      <w:spacing w:before="120" w:after="60"/>
      <w:jc w:val="center"/>
    </w:pPr>
    <w:rPr>
      <w:rFonts w:ascii="Arial" w:hAnsi="Arial"/>
      <w:b/>
      <w:kern w:val="0"/>
      <w:sz w:val="44"/>
      <w:szCs w:val="20"/>
    </w:rPr>
  </w:style>
  <w:style w:type="paragraph" w:styleId="23">
    <w:name w:val="annotation subject"/>
    <w:basedOn w:val="8"/>
    <w:next w:val="8"/>
    <w:qFormat/>
    <w:uiPriority w:val="0"/>
    <w:rPr>
      <w:b/>
      <w:bCs/>
    </w:rPr>
  </w:style>
  <w:style w:type="paragraph" w:styleId="24">
    <w:name w:val="Body Text First Indent"/>
    <w:basedOn w:val="10"/>
    <w:qFormat/>
    <w:uiPriority w:val="0"/>
    <w:pPr>
      <w:widowControl w:val="0"/>
      <w:ind w:firstLine="420"/>
      <w:textAlignment w:val="auto"/>
    </w:pPr>
    <w:rPr>
      <w:rFonts w:ascii="Times New Roman" w:hAnsi="Times New Roman"/>
      <w:kern w:val="0"/>
      <w:sz w:val="20"/>
      <w:szCs w:val="20"/>
    </w:rPr>
  </w:style>
  <w:style w:type="paragraph" w:styleId="25">
    <w:name w:val="Body Text First Indent 2"/>
    <w:basedOn w:val="11"/>
    <w:qFormat/>
    <w:uiPriority w:val="0"/>
    <w:pPr>
      <w:spacing w:after="120"/>
      <w:ind w:left="200" w:leftChars="200" w:firstLine="200" w:firstLineChars="200"/>
    </w:pPr>
    <w:rPr>
      <w:sz w:val="20"/>
      <w:szCs w:val="24"/>
    </w:rPr>
  </w:style>
  <w:style w:type="character" w:styleId="28">
    <w:name w:val="Strong"/>
    <w:qFormat/>
    <w:uiPriority w:val="0"/>
    <w:rPr>
      <w:b/>
    </w:rPr>
  </w:style>
  <w:style w:type="character" w:styleId="29">
    <w:name w:val="FollowedHyperlink"/>
    <w:qFormat/>
    <w:uiPriority w:val="0"/>
    <w:rPr>
      <w:color w:val="954F72"/>
      <w:u w:val="single"/>
    </w:rPr>
  </w:style>
  <w:style w:type="character" w:styleId="30">
    <w:name w:val="Hyperlink"/>
    <w:qFormat/>
    <w:uiPriority w:val="0"/>
    <w:rPr>
      <w:rFonts w:ascii="微软雅黑" w:hAnsi="微软雅黑" w:eastAsia="微软雅黑"/>
      <w:color w:val="337AB7"/>
    </w:rPr>
  </w:style>
  <w:style w:type="character" w:styleId="31">
    <w:name w:val="annotation reference"/>
    <w:qFormat/>
    <w:uiPriority w:val="0"/>
    <w:rPr>
      <w:sz w:val="21"/>
      <w:szCs w:val="21"/>
    </w:rPr>
  </w:style>
  <w:style w:type="character" w:customStyle="1" w:styleId="32">
    <w:name w:val="heading 1 Char"/>
    <w:basedOn w:val="27"/>
    <w:link w:val="3"/>
    <w:qFormat/>
    <w:uiPriority w:val="0"/>
    <w:rPr>
      <w:rFonts w:ascii="Calibri" w:hAnsi="Calibri" w:eastAsia="宋体" w:cs="Times New Roman"/>
      <w:b/>
      <w:bCs/>
      <w:kern w:val="44"/>
      <w:sz w:val="44"/>
      <w:szCs w:val="44"/>
      <w:lang w:val="en-US" w:eastAsia="zh-CN" w:bidi="ar-SA"/>
    </w:rPr>
  </w:style>
  <w:style w:type="character" w:customStyle="1" w:styleId="33">
    <w:name w:val="heading 2 Char"/>
    <w:basedOn w:val="27"/>
    <w:link w:val="4"/>
    <w:qFormat/>
    <w:uiPriority w:val="0"/>
    <w:rPr>
      <w:rFonts w:ascii="方正兰亭黑_GBK" w:hAnsi="方正兰亭黑_GBK" w:eastAsia="黑体" w:cs="Times New Roman"/>
      <w:b/>
      <w:bCs/>
      <w:kern w:val="2"/>
      <w:sz w:val="32"/>
      <w:szCs w:val="32"/>
      <w:lang w:val="en-US" w:eastAsia="zh-CN" w:bidi="ar-SA"/>
    </w:rPr>
  </w:style>
  <w:style w:type="character" w:customStyle="1" w:styleId="34">
    <w:name w:val="heading 3 Char"/>
    <w:basedOn w:val="27"/>
    <w:link w:val="5"/>
    <w:qFormat/>
    <w:uiPriority w:val="0"/>
    <w:rPr>
      <w:rFonts w:ascii="宋体" w:hAnsi="宋体" w:eastAsia="宋体" w:cs="Times New Roman"/>
      <w:kern w:val="0"/>
      <w:sz w:val="27"/>
      <w:szCs w:val="27"/>
      <w:lang w:val="en-US" w:eastAsia="zh-CN" w:bidi="ar-SA"/>
    </w:rPr>
  </w:style>
  <w:style w:type="paragraph" w:customStyle="1" w:styleId="35">
    <w:name w:val="Plain Text1"/>
    <w:basedOn w:val="1"/>
    <w:next w:val="1"/>
    <w:qFormat/>
    <w:uiPriority w:val="0"/>
    <w:rPr>
      <w:rFonts w:ascii="宋体" w:hAnsi="Courier New"/>
      <w:szCs w:val="20"/>
    </w:rPr>
  </w:style>
  <w:style w:type="character" w:customStyle="1" w:styleId="36">
    <w:name w:val="UserStyle_51"/>
    <w:qFormat/>
    <w:uiPriority w:val="0"/>
    <w:rPr>
      <w:rFonts w:ascii="Microsoft YaHei UI" w:hAnsi="Calibri" w:eastAsia="Microsoft YaHei UI"/>
      <w:sz w:val="18"/>
      <w:szCs w:val="18"/>
    </w:rPr>
  </w:style>
  <w:style w:type="character" w:customStyle="1" w:styleId="37">
    <w:name w:val="UserStyle_32"/>
    <w:qFormat/>
    <w:uiPriority w:val="0"/>
  </w:style>
  <w:style w:type="character" w:customStyle="1" w:styleId="38">
    <w:name w:val="UserStyle_46"/>
    <w:qFormat/>
    <w:uiPriority w:val="0"/>
    <w:rPr>
      <w:rFonts w:ascii="Calibri" w:hAnsi="Calibri" w:eastAsia="宋体"/>
    </w:rPr>
  </w:style>
  <w:style w:type="paragraph" w:customStyle="1" w:styleId="39">
    <w:name w:val="FootnoteText"/>
    <w:basedOn w:val="1"/>
    <w:qFormat/>
    <w:uiPriority w:val="0"/>
    <w:pPr>
      <w:snapToGrid w:val="0"/>
      <w:spacing w:line="360" w:lineRule="auto"/>
      <w:ind w:firstLine="218" w:firstLineChars="218"/>
      <w:jc w:val="left"/>
    </w:pPr>
    <w:rPr>
      <w:rFonts w:ascii="宋体" w:hAnsi="宋体"/>
      <w:kern w:val="0"/>
      <w:sz w:val="18"/>
      <w:szCs w:val="18"/>
    </w:rPr>
  </w:style>
  <w:style w:type="paragraph" w:customStyle="1" w:styleId="40">
    <w:name w:val="AnnotationText"/>
    <w:basedOn w:val="1"/>
    <w:qFormat/>
    <w:uiPriority w:val="0"/>
    <w:pPr>
      <w:spacing w:line="360" w:lineRule="auto"/>
      <w:ind w:firstLine="218" w:firstLineChars="218"/>
      <w:jc w:val="left"/>
    </w:pPr>
    <w:rPr>
      <w:rFonts w:ascii="宋体" w:hAnsi="宋体"/>
      <w:kern w:val="0"/>
      <w:sz w:val="24"/>
      <w:szCs w:val="24"/>
    </w:rPr>
  </w:style>
  <w:style w:type="character" w:customStyle="1" w:styleId="41">
    <w:name w:val="UserStyle_13"/>
    <w:qFormat/>
    <w:uiPriority w:val="0"/>
    <w:rPr>
      <w:rFonts w:ascii="Calibri" w:hAnsi="Calibri" w:eastAsia="宋体" w:cs="Times New Roman"/>
      <w:b/>
      <w:bCs/>
      <w:sz w:val="28"/>
      <w:szCs w:val="28"/>
    </w:rPr>
  </w:style>
  <w:style w:type="character" w:customStyle="1" w:styleId="42">
    <w:name w:val="正文首行缩进 Char"/>
    <w:qFormat/>
    <w:uiPriority w:val="0"/>
  </w:style>
  <w:style w:type="character" w:customStyle="1" w:styleId="43">
    <w:name w:val="HtmlCode"/>
    <w:qFormat/>
    <w:uiPriority w:val="0"/>
    <w:rPr>
      <w:rFonts w:ascii="Consolas" w:hAnsi="Consolas" w:eastAsia="Consolas"/>
      <w:color w:val="C7254E"/>
      <w:sz w:val="21"/>
      <w:szCs w:val="21"/>
      <w:bdr w:val="single" w:color="000000" w:sz="18" w:space="0"/>
      <w:shd w:val="clear" w:color="auto" w:fill="F9F2F4"/>
    </w:rPr>
  </w:style>
  <w:style w:type="character" w:customStyle="1" w:styleId="44">
    <w:name w:val="UserStyle_8"/>
    <w:qFormat/>
    <w:uiPriority w:val="0"/>
  </w:style>
  <w:style w:type="character" w:customStyle="1" w:styleId="45">
    <w:name w:val="UserStyle_22"/>
    <w:qFormat/>
    <w:uiPriority w:val="0"/>
    <w:rPr>
      <w:rFonts w:ascii="Calibri" w:hAnsi="Calibri" w:eastAsia="宋体"/>
    </w:rPr>
  </w:style>
  <w:style w:type="paragraph" w:customStyle="1" w:styleId="46">
    <w:name w:val="文一"/>
    <w:basedOn w:val="1"/>
    <w:qFormat/>
    <w:uiPriority w:val="0"/>
    <w:pPr>
      <w:widowControl w:val="0"/>
      <w:topLinePunct/>
      <w:adjustRightInd w:val="0"/>
      <w:snapToGrid w:val="0"/>
      <w:spacing w:line="360" w:lineRule="auto"/>
      <w:ind w:firstLine="200" w:firstLineChars="200"/>
      <w:textAlignment w:val="auto"/>
    </w:pPr>
    <w:rPr>
      <w:rFonts w:ascii="等线" w:eastAsia="等线"/>
      <w:spacing w:val="4"/>
      <w:kern w:val="0"/>
      <w:sz w:val="24"/>
      <w:szCs w:val="24"/>
    </w:rPr>
  </w:style>
  <w:style w:type="character" w:customStyle="1" w:styleId="47">
    <w:name w:val="UserStyle_37"/>
    <w:qFormat/>
    <w:uiPriority w:val="0"/>
    <w:rPr>
      <w:rFonts w:ascii="等线 Light" w:hAnsi="等线 Light" w:eastAsia="等线 Light" w:cs="Times New Roman"/>
      <w:b/>
      <w:bCs/>
      <w:sz w:val="28"/>
      <w:szCs w:val="28"/>
    </w:rPr>
  </w:style>
  <w:style w:type="character" w:customStyle="1" w:styleId="48">
    <w:name w:val="UserStyle_36"/>
    <w:qFormat/>
    <w:uiPriority w:val="0"/>
    <w:rPr>
      <w:rFonts w:ascii="Calibri" w:hAnsi="Calibri" w:eastAsia="宋体"/>
    </w:rPr>
  </w:style>
  <w:style w:type="paragraph" w:customStyle="1" w:styleId="49">
    <w:name w:val="NavPane"/>
    <w:basedOn w:val="1"/>
    <w:qFormat/>
    <w:uiPriority w:val="0"/>
    <w:pPr>
      <w:shd w:val="clear" w:color="auto" w:fill="000080"/>
    </w:pPr>
    <w:rPr>
      <w:rFonts w:ascii="Times New Roman" w:hAnsi="Times New Roman"/>
      <w:kern w:val="0"/>
      <w:sz w:val="20"/>
      <w:szCs w:val="20"/>
    </w:rPr>
  </w:style>
  <w:style w:type="character" w:customStyle="1" w:styleId="50">
    <w:name w:val="UserStyle_40"/>
    <w:qFormat/>
    <w:uiPriority w:val="0"/>
    <w:rPr>
      <w:rFonts w:ascii="Arial" w:hAnsi="Arial" w:eastAsia="黑体"/>
      <w:sz w:val="24"/>
      <w:szCs w:val="20"/>
    </w:rPr>
  </w:style>
  <w:style w:type="character" w:customStyle="1" w:styleId="51">
    <w:name w:val="15"/>
    <w:qFormat/>
    <w:uiPriority w:val="0"/>
    <w:rPr>
      <w:rFonts w:ascii="等线" w:hAnsi="等线" w:eastAsia="等线" w:cs="Times New Roman"/>
    </w:rPr>
  </w:style>
  <w:style w:type="paragraph" w:customStyle="1" w:styleId="52">
    <w:name w:val="Acetate"/>
    <w:basedOn w:val="1"/>
    <w:qFormat/>
    <w:uiPriority w:val="0"/>
    <w:rPr>
      <w:rFonts w:ascii="Times New Roman" w:hAnsi="Times New Roman"/>
      <w:kern w:val="0"/>
      <w:sz w:val="18"/>
      <w:szCs w:val="18"/>
    </w:rPr>
  </w:style>
  <w:style w:type="paragraph" w:customStyle="1" w:styleId="53">
    <w:name w:val="PlainText"/>
    <w:basedOn w:val="1"/>
    <w:qFormat/>
    <w:uiPriority w:val="0"/>
    <w:rPr>
      <w:rFonts w:ascii="宋体" w:hAnsi="Courier New"/>
      <w:kern w:val="0"/>
      <w:sz w:val="20"/>
      <w:szCs w:val="20"/>
    </w:rPr>
  </w:style>
  <w:style w:type="character" w:customStyle="1" w:styleId="54">
    <w:name w:val="UserStyle_29"/>
    <w:qFormat/>
    <w:uiPriority w:val="0"/>
    <w:rPr>
      <w:rFonts w:ascii="Calibri" w:hAnsi="Calibri" w:eastAsia="宋体"/>
      <w:sz w:val="16"/>
      <w:szCs w:val="16"/>
    </w:rPr>
  </w:style>
  <w:style w:type="paragraph" w:customStyle="1" w:styleId="55">
    <w:name w:val="EndnoteText"/>
    <w:basedOn w:val="1"/>
    <w:qFormat/>
    <w:uiPriority w:val="0"/>
    <w:pPr>
      <w:snapToGrid w:val="0"/>
      <w:jc w:val="left"/>
    </w:pPr>
    <w:rPr>
      <w:rFonts w:ascii="Times New Roman" w:hAnsi="Times New Roman"/>
      <w:kern w:val="0"/>
      <w:sz w:val="20"/>
      <w:szCs w:val="20"/>
    </w:rPr>
  </w:style>
  <w:style w:type="paragraph" w:customStyle="1" w:styleId="56">
    <w:name w:val="BodyTextIndent2"/>
    <w:basedOn w:val="1"/>
    <w:qFormat/>
    <w:uiPriority w:val="0"/>
    <w:pPr>
      <w:spacing w:line="400" w:lineRule="exact"/>
      <w:ind w:left="425"/>
    </w:pPr>
    <w:rPr>
      <w:rFonts w:ascii="Times New Roman" w:hAnsi="Times New Roman"/>
      <w:color w:val="000000"/>
      <w:kern w:val="0"/>
      <w:sz w:val="24"/>
      <w:szCs w:val="20"/>
    </w:rPr>
  </w:style>
  <w:style w:type="character" w:customStyle="1" w:styleId="57">
    <w:name w:val="UserStyle_53"/>
    <w:qFormat/>
    <w:uiPriority w:val="0"/>
    <w:rPr>
      <w:rFonts w:ascii="Calibri" w:hAnsi="Calibri" w:eastAsia="宋体"/>
      <w:sz w:val="18"/>
      <w:szCs w:val="18"/>
    </w:rPr>
  </w:style>
  <w:style w:type="character" w:customStyle="1" w:styleId="58">
    <w:name w:val="UserStyle_24"/>
    <w:qFormat/>
    <w:uiPriority w:val="0"/>
    <w:rPr>
      <w:rFonts w:ascii="Arial" w:hAnsi="Arial" w:eastAsia="黑体"/>
      <w:szCs w:val="20"/>
    </w:rPr>
  </w:style>
  <w:style w:type="character" w:customStyle="1" w:styleId="59">
    <w:name w:val="FootnoteReference"/>
    <w:qFormat/>
    <w:uiPriority w:val="0"/>
    <w:rPr>
      <w:vertAlign w:val="superscript"/>
    </w:rPr>
  </w:style>
  <w:style w:type="paragraph" w:customStyle="1" w:styleId="60">
    <w:name w:val="BodyTextIndent3"/>
    <w:basedOn w:val="1"/>
    <w:qFormat/>
    <w:uiPriority w:val="0"/>
    <w:pPr>
      <w:tabs>
        <w:tab w:val="left" w:pos="0"/>
      </w:tabs>
      <w:spacing w:line="400" w:lineRule="exact"/>
      <w:ind w:left="263" w:leftChars="228" w:hanging="35" w:hangingChars="35"/>
    </w:pPr>
    <w:rPr>
      <w:rFonts w:ascii="Times New Roman" w:hAnsi="Times New Roman"/>
      <w:color w:val="000000"/>
      <w:kern w:val="0"/>
      <w:sz w:val="24"/>
      <w:szCs w:val="20"/>
    </w:rPr>
  </w:style>
  <w:style w:type="character" w:customStyle="1" w:styleId="61">
    <w:name w:val="UserStyle_38"/>
    <w:qFormat/>
    <w:uiPriority w:val="0"/>
    <w:rPr>
      <w:rFonts w:ascii="等线 Light" w:hAnsi="等线 Light" w:eastAsia="等线 Light"/>
      <w:sz w:val="24"/>
      <w:szCs w:val="24"/>
    </w:rPr>
  </w:style>
  <w:style w:type="character" w:customStyle="1" w:styleId="62">
    <w:name w:val="UserStyle_15"/>
    <w:qFormat/>
    <w:uiPriority w:val="0"/>
    <w:rPr>
      <w:rFonts w:ascii="等线 Light" w:hAnsi="等线 Light" w:eastAsia="等线 Light"/>
      <w:szCs w:val="21"/>
    </w:rPr>
  </w:style>
  <w:style w:type="character" w:customStyle="1" w:styleId="63">
    <w:name w:val="UserStyle_39"/>
    <w:qFormat/>
    <w:uiPriority w:val="0"/>
    <w:rPr>
      <w:rFonts w:ascii="Arial" w:hAnsi="Arial" w:eastAsia="宋体"/>
      <w:color w:val="000000"/>
      <w:szCs w:val="21"/>
    </w:rPr>
  </w:style>
  <w:style w:type="paragraph" w:customStyle="1" w:styleId="64">
    <w:name w:val="BodyText2"/>
    <w:basedOn w:val="1"/>
    <w:qFormat/>
    <w:uiPriority w:val="0"/>
    <w:rPr>
      <w:rFonts w:ascii="宋体" w:hAnsi="宋体"/>
      <w:kern w:val="0"/>
      <w:sz w:val="20"/>
      <w:szCs w:val="24"/>
      <w:u w:val="single"/>
    </w:rPr>
  </w:style>
  <w:style w:type="character" w:customStyle="1" w:styleId="65">
    <w:name w:val="正文文本 3 Char"/>
    <w:qFormat/>
    <w:uiPriority w:val="0"/>
    <w:rPr>
      <w:kern w:val="2"/>
      <w:sz w:val="16"/>
      <w:szCs w:val="16"/>
    </w:rPr>
  </w:style>
  <w:style w:type="character" w:customStyle="1" w:styleId="66">
    <w:name w:val="NormalCharacter"/>
    <w:qFormat/>
    <w:uiPriority w:val="0"/>
  </w:style>
  <w:style w:type="character" w:customStyle="1" w:styleId="67">
    <w:name w:val="EndnoteReference"/>
    <w:qFormat/>
    <w:uiPriority w:val="0"/>
    <w:rPr>
      <w:vertAlign w:val="superscript"/>
    </w:rPr>
  </w:style>
  <w:style w:type="character" w:customStyle="1" w:styleId="68">
    <w:name w:val="UserStyle_30"/>
    <w:qFormat/>
    <w:uiPriority w:val="0"/>
    <w:rPr>
      <w:rFonts w:ascii="等线 Light" w:hAnsi="等线 Light" w:eastAsia="等线 Light" w:cs="Times New Roman"/>
      <w:b/>
      <w:bCs/>
      <w:sz w:val="32"/>
      <w:szCs w:val="32"/>
    </w:rPr>
  </w:style>
  <w:style w:type="character" w:customStyle="1" w:styleId="69">
    <w:name w:val="UserStyle_16"/>
    <w:qFormat/>
    <w:uiPriority w:val="0"/>
    <w:rPr>
      <w:rFonts w:ascii="Calibri" w:hAnsi="Calibri" w:eastAsia="宋体"/>
    </w:rPr>
  </w:style>
  <w:style w:type="character" w:customStyle="1" w:styleId="70">
    <w:name w:val="UserStyle_21"/>
    <w:qFormat/>
    <w:uiPriority w:val="0"/>
  </w:style>
  <w:style w:type="character" w:customStyle="1" w:styleId="71">
    <w:name w:val="UserStyle_11"/>
    <w:qFormat/>
    <w:uiPriority w:val="0"/>
    <w:rPr>
      <w:rFonts w:ascii="Calibri" w:hAnsi="Calibri" w:eastAsia="宋体"/>
    </w:rPr>
  </w:style>
  <w:style w:type="character" w:customStyle="1" w:styleId="72">
    <w:name w:val="UserStyle_6"/>
    <w:qFormat/>
    <w:uiPriority w:val="0"/>
    <w:rPr>
      <w:rFonts w:ascii="Calibri" w:hAnsi="Calibri" w:eastAsia="宋体"/>
    </w:rPr>
  </w:style>
  <w:style w:type="character" w:customStyle="1" w:styleId="73">
    <w:name w:val="UserStyle_55"/>
    <w:qFormat/>
    <w:uiPriority w:val="0"/>
    <w:rPr>
      <w:rFonts w:ascii="宋体" w:hAnsi="宋体" w:eastAsia="宋体"/>
      <w:color w:val="000000"/>
      <w:sz w:val="24"/>
      <w:szCs w:val="24"/>
    </w:rPr>
  </w:style>
  <w:style w:type="character" w:customStyle="1" w:styleId="74">
    <w:name w:val="UserStyle_50"/>
    <w:qFormat/>
    <w:uiPriority w:val="0"/>
    <w:rPr>
      <w:rFonts w:ascii="Calibri" w:hAnsi="Calibri" w:eastAsia="宋体" w:cs="Times New Roman"/>
      <w:b/>
      <w:bCs/>
      <w:kern w:val="44"/>
      <w:sz w:val="44"/>
      <w:szCs w:val="44"/>
    </w:rPr>
  </w:style>
  <w:style w:type="character" w:customStyle="1" w:styleId="75">
    <w:name w:val="正文文本 Char"/>
    <w:qFormat/>
    <w:uiPriority w:val="0"/>
    <w:rPr>
      <w:rFonts w:eastAsia="宋体"/>
      <w:lang w:val="en-US" w:eastAsia="zh-CN" w:bidi="ar-SA"/>
    </w:rPr>
  </w:style>
  <w:style w:type="character" w:customStyle="1" w:styleId="76">
    <w:name w:val="UserStyle_12"/>
    <w:qFormat/>
    <w:uiPriority w:val="0"/>
    <w:rPr>
      <w:rFonts w:ascii="等线 Light" w:hAnsi="等线 Light" w:eastAsia="等线 Light" w:cs="Times New Roman"/>
      <w:b/>
      <w:bCs/>
      <w:sz w:val="32"/>
      <w:szCs w:val="32"/>
    </w:rPr>
  </w:style>
  <w:style w:type="character" w:customStyle="1" w:styleId="77">
    <w:name w:val="htmlSamp"/>
    <w:qFormat/>
    <w:uiPriority w:val="0"/>
    <w:rPr>
      <w:rFonts w:ascii="Consolas" w:hAnsi="Consolas" w:eastAsia="Consolas"/>
      <w:sz w:val="21"/>
      <w:szCs w:val="21"/>
    </w:rPr>
  </w:style>
  <w:style w:type="character" w:customStyle="1" w:styleId="78">
    <w:name w:val="UserStyle_9"/>
    <w:qFormat/>
    <w:uiPriority w:val="0"/>
    <w:rPr>
      <w:rFonts w:ascii="Calibri" w:hAnsi="Calibri" w:eastAsia="宋体"/>
      <w:sz w:val="18"/>
      <w:szCs w:val="18"/>
    </w:rPr>
  </w:style>
  <w:style w:type="character" w:customStyle="1" w:styleId="79">
    <w:name w:val="PageNumber"/>
    <w:qFormat/>
    <w:uiPriority w:val="0"/>
  </w:style>
  <w:style w:type="character" w:customStyle="1" w:styleId="80">
    <w:name w:val="AnnotationReference"/>
    <w:qFormat/>
    <w:uiPriority w:val="0"/>
    <w:rPr>
      <w:sz w:val="21"/>
      <w:szCs w:val="21"/>
    </w:rPr>
  </w:style>
  <w:style w:type="character" w:customStyle="1" w:styleId="81">
    <w:name w:val="UserStyle_48"/>
    <w:qFormat/>
    <w:uiPriority w:val="0"/>
    <w:rPr>
      <w:rFonts w:ascii="Arial" w:hAnsi="Arial" w:eastAsia="黑体" w:cs="Times New Roman"/>
      <w:b/>
      <w:bCs/>
      <w:sz w:val="24"/>
      <w:szCs w:val="24"/>
    </w:rPr>
  </w:style>
  <w:style w:type="character" w:customStyle="1" w:styleId="82">
    <w:name w:val="UserStyle_25"/>
    <w:qFormat/>
    <w:uiPriority w:val="0"/>
    <w:rPr>
      <w:rFonts w:ascii="Calibri" w:hAnsi="Calibri" w:eastAsia="宋体"/>
      <w:sz w:val="18"/>
      <w:szCs w:val="18"/>
    </w:rPr>
  </w:style>
  <w:style w:type="character" w:customStyle="1" w:styleId="83">
    <w:name w:val="UserStyle_31"/>
    <w:qFormat/>
    <w:uiPriority w:val="0"/>
    <w:rPr>
      <w:rFonts w:ascii="Times New Roman" w:hAnsi="Times New Roman" w:eastAsia="宋体"/>
      <w:b/>
      <w:sz w:val="24"/>
      <w:szCs w:val="20"/>
    </w:rPr>
  </w:style>
  <w:style w:type="paragraph" w:customStyle="1" w:styleId="84">
    <w:name w:val="BodyText"/>
    <w:basedOn w:val="1"/>
    <w:qFormat/>
    <w:uiPriority w:val="0"/>
    <w:pPr>
      <w:spacing w:after="120"/>
    </w:pPr>
    <w:rPr>
      <w:rFonts w:ascii="Times New Roman" w:hAnsi="Times New Roman"/>
      <w:kern w:val="0"/>
      <w:sz w:val="20"/>
      <w:szCs w:val="20"/>
    </w:rPr>
  </w:style>
  <w:style w:type="character" w:customStyle="1" w:styleId="85">
    <w:name w:val="HtmlDfn"/>
    <w:qFormat/>
    <w:uiPriority w:val="0"/>
    <w:rPr>
      <w:i/>
    </w:rPr>
  </w:style>
  <w:style w:type="character" w:customStyle="1" w:styleId="86">
    <w:name w:val="UserStyle_44"/>
    <w:qFormat/>
    <w:uiPriority w:val="0"/>
    <w:rPr>
      <w:rFonts w:ascii="Arial" w:hAnsi="Arial" w:eastAsia="宋体"/>
      <w:b/>
      <w:kern w:val="44"/>
      <w:sz w:val="28"/>
      <w:szCs w:val="28"/>
    </w:rPr>
  </w:style>
  <w:style w:type="character" w:customStyle="1" w:styleId="87">
    <w:name w:val="UserStyle_26"/>
    <w:qFormat/>
    <w:uiPriority w:val="0"/>
    <w:rPr>
      <w:rFonts w:ascii="Arial" w:hAnsi="Arial" w:eastAsia="宋体"/>
      <w:color w:val="000000"/>
      <w:szCs w:val="21"/>
    </w:rPr>
  </w:style>
  <w:style w:type="paragraph" w:customStyle="1" w:styleId="88">
    <w:name w:val="Heading9"/>
    <w:basedOn w:val="1"/>
    <w:next w:val="89"/>
    <w:qFormat/>
    <w:uiPriority w:val="0"/>
    <w:pPr>
      <w:keepNext/>
      <w:keepLines/>
      <w:numPr>
        <w:ilvl w:val="8"/>
        <w:numId w:val="1"/>
      </w:numPr>
      <w:spacing w:before="240" w:after="64" w:line="319" w:lineRule="auto"/>
    </w:pPr>
    <w:rPr>
      <w:rFonts w:ascii="等线" w:hAnsi="Courier New"/>
      <w:kern w:val="0"/>
      <w:sz w:val="20"/>
      <w:szCs w:val="20"/>
    </w:rPr>
  </w:style>
  <w:style w:type="paragraph" w:customStyle="1" w:styleId="89">
    <w:name w:val="NormalIndent"/>
    <w:basedOn w:val="1"/>
    <w:qFormat/>
    <w:uiPriority w:val="0"/>
    <w:pPr>
      <w:ind w:firstLine="420"/>
    </w:pPr>
    <w:rPr>
      <w:rFonts w:ascii="Times New Roman" w:hAnsi="Times New Roman"/>
      <w:szCs w:val="20"/>
    </w:rPr>
  </w:style>
  <w:style w:type="character" w:customStyle="1" w:styleId="90">
    <w:name w:val="UserStyle_52"/>
    <w:qFormat/>
    <w:uiPriority w:val="0"/>
    <w:rPr>
      <w:rFonts w:ascii="Calibri" w:hAnsi="Calibri" w:eastAsia="宋体"/>
    </w:rPr>
  </w:style>
  <w:style w:type="character" w:customStyle="1" w:styleId="91">
    <w:name w:val="纯文本 字符1"/>
    <w:qFormat/>
    <w:uiPriority w:val="0"/>
    <w:rPr>
      <w:rFonts w:ascii="宋体" w:hAnsi="Courier New" w:eastAsia="宋体" w:cs="Times New Roman"/>
      <w:szCs w:val="20"/>
    </w:rPr>
  </w:style>
  <w:style w:type="character" w:customStyle="1" w:styleId="92">
    <w:name w:val="UserStyle_2"/>
    <w:qFormat/>
    <w:uiPriority w:val="0"/>
    <w:rPr>
      <w:rFonts w:ascii="Calibri" w:hAnsi="Calibri" w:eastAsia="宋体" w:cs="Times New Roman"/>
      <w:b/>
      <w:bCs/>
    </w:rPr>
  </w:style>
  <w:style w:type="character" w:customStyle="1" w:styleId="93">
    <w:name w:val="UserStyle_43"/>
    <w:qFormat/>
    <w:uiPriority w:val="0"/>
    <w:rPr>
      <w:rFonts w:ascii="Calibri" w:hAnsi="Calibri" w:eastAsia="宋体" w:cs="Times New Roman"/>
      <w:b/>
      <w:bCs/>
      <w:sz w:val="24"/>
      <w:szCs w:val="24"/>
    </w:rPr>
  </w:style>
  <w:style w:type="character" w:customStyle="1" w:styleId="94">
    <w:name w:val="UserStyle_54"/>
    <w:qFormat/>
    <w:uiPriority w:val="0"/>
    <w:rPr>
      <w:rFonts w:ascii="Calibri" w:hAnsi="Calibri" w:eastAsia="宋体"/>
    </w:rPr>
  </w:style>
  <w:style w:type="character" w:customStyle="1" w:styleId="95">
    <w:name w:val="UserStyle_35"/>
    <w:qFormat/>
    <w:uiPriority w:val="0"/>
    <w:rPr>
      <w:rFonts w:ascii="Arial" w:hAnsi="Arial" w:eastAsia="宋体"/>
      <w:b/>
      <w:color w:val="000000"/>
      <w:sz w:val="24"/>
      <w:szCs w:val="24"/>
    </w:rPr>
  </w:style>
  <w:style w:type="character" w:customStyle="1" w:styleId="96">
    <w:name w:val="UserStyle_28"/>
    <w:qFormat/>
    <w:uiPriority w:val="0"/>
    <w:rPr>
      <w:rFonts w:ascii="Calibri" w:hAnsi="Calibri" w:eastAsia="宋体" w:cs="Times New Roman"/>
      <w:b/>
      <w:bCs/>
      <w:sz w:val="32"/>
      <w:szCs w:val="32"/>
    </w:rPr>
  </w:style>
  <w:style w:type="paragraph" w:customStyle="1" w:styleId="97">
    <w:name w:val="BodyText1I"/>
    <w:basedOn w:val="84"/>
    <w:qFormat/>
    <w:uiPriority w:val="0"/>
    <w:pPr>
      <w:ind w:firstLine="420"/>
    </w:pPr>
  </w:style>
  <w:style w:type="paragraph" w:customStyle="1" w:styleId="98">
    <w:name w:val="AnnotationSubject"/>
    <w:basedOn w:val="40"/>
    <w:next w:val="40"/>
    <w:qFormat/>
    <w:uiPriority w:val="0"/>
    <w:rPr>
      <w:b/>
      <w:bCs/>
    </w:rPr>
  </w:style>
  <w:style w:type="paragraph" w:customStyle="1" w:styleId="99">
    <w:name w:val="BodyTextIndent"/>
    <w:basedOn w:val="1"/>
    <w:qFormat/>
    <w:uiPriority w:val="0"/>
    <w:pPr>
      <w:ind w:firstLine="570"/>
    </w:pPr>
    <w:rPr>
      <w:rFonts w:ascii="Times New Roman" w:hAnsi="Times New Roman"/>
      <w:kern w:val="0"/>
      <w:sz w:val="28"/>
      <w:szCs w:val="20"/>
    </w:rPr>
  </w:style>
  <w:style w:type="character" w:customStyle="1" w:styleId="100">
    <w:name w:val="UserStyle_42"/>
    <w:qFormat/>
    <w:uiPriority w:val="0"/>
    <w:rPr>
      <w:rFonts w:ascii="宋体" w:hAnsi="宋体" w:eastAsia="宋体"/>
      <w:kern w:val="0"/>
      <w:sz w:val="27"/>
      <w:szCs w:val="27"/>
    </w:rPr>
  </w:style>
  <w:style w:type="character" w:customStyle="1" w:styleId="101">
    <w:name w:val="UserStyle_19"/>
    <w:qFormat/>
    <w:uiPriority w:val="0"/>
    <w:rPr>
      <w:rFonts w:ascii="Calibri" w:hAnsi="Calibri" w:eastAsia="宋体"/>
      <w:sz w:val="18"/>
      <w:szCs w:val="18"/>
    </w:rPr>
  </w:style>
  <w:style w:type="character" w:customStyle="1" w:styleId="102">
    <w:name w:val="UserStyle_4"/>
    <w:qFormat/>
    <w:uiPriority w:val="0"/>
    <w:rPr>
      <w:rFonts w:ascii="等线 Light" w:hAnsi="等线 Light" w:eastAsia="等线 Light" w:cs="Times New Roman"/>
      <w:b/>
      <w:bCs/>
      <w:sz w:val="24"/>
      <w:szCs w:val="24"/>
    </w:rPr>
  </w:style>
  <w:style w:type="character" w:customStyle="1" w:styleId="103">
    <w:name w:val="HtmlKbd"/>
    <w:qFormat/>
    <w:uiPriority w:val="0"/>
    <w:rPr>
      <w:rFonts w:ascii="Consolas" w:hAnsi="Consolas" w:eastAsia="Consolas"/>
      <w:color w:val="FFFFFF"/>
      <w:sz w:val="21"/>
      <w:szCs w:val="21"/>
      <w:shd w:val="clear" w:color="auto" w:fill="333333"/>
    </w:rPr>
  </w:style>
  <w:style w:type="paragraph" w:customStyle="1" w:styleId="104">
    <w:name w:val="UserStyle_60"/>
    <w:qFormat/>
    <w:uiPriority w:val="0"/>
    <w:pPr>
      <w:jc w:val="both"/>
      <w:textAlignment w:val="baseline"/>
    </w:pPr>
    <w:rPr>
      <w:rFonts w:ascii="Times New Roman" w:hAnsi="Times New Roman" w:eastAsia="宋体" w:cs="Times New Roman"/>
      <w:kern w:val="2"/>
      <w:sz w:val="21"/>
      <w:szCs w:val="22"/>
      <w:lang w:val="en-US" w:eastAsia="zh-CN" w:bidi="ar-SA"/>
    </w:rPr>
  </w:style>
  <w:style w:type="paragraph" w:customStyle="1" w:styleId="105">
    <w:name w:val="Heading6"/>
    <w:basedOn w:val="1"/>
    <w:next w:val="1"/>
    <w:qFormat/>
    <w:uiPriority w:val="0"/>
    <w:pPr>
      <w:keepNext/>
      <w:keepLines/>
      <w:numPr>
        <w:ilvl w:val="5"/>
        <w:numId w:val="2"/>
      </w:numPr>
      <w:spacing w:before="240" w:after="64" w:line="319" w:lineRule="auto"/>
    </w:pPr>
    <w:rPr>
      <w:rFonts w:ascii="Arial" w:hAnsi="Arial" w:eastAsia="黑体"/>
      <w:sz w:val="24"/>
      <w:szCs w:val="24"/>
    </w:rPr>
  </w:style>
  <w:style w:type="paragraph" w:customStyle="1" w:styleId="106">
    <w:name w:val="Heading3"/>
    <w:basedOn w:val="1"/>
    <w:next w:val="1"/>
    <w:qFormat/>
    <w:uiPriority w:val="0"/>
    <w:pPr>
      <w:spacing w:before="100" w:beforeAutospacing="1" w:after="100" w:afterAutospacing="1"/>
      <w:jc w:val="left"/>
    </w:pPr>
    <w:rPr>
      <w:rFonts w:ascii="宋体" w:hAnsi="宋体"/>
      <w:kern w:val="0"/>
      <w:sz w:val="27"/>
      <w:szCs w:val="27"/>
    </w:rPr>
  </w:style>
  <w:style w:type="paragraph" w:customStyle="1" w:styleId="107">
    <w:name w:val="UserStyle_73"/>
    <w:basedOn w:val="106"/>
    <w:qFormat/>
    <w:uiPriority w:val="0"/>
    <w:pPr>
      <w:keepNext/>
      <w:keepLines/>
      <w:spacing w:before="0" w:after="0"/>
      <w:ind w:left="1469" w:right="1542"/>
    </w:pPr>
    <w:rPr>
      <w:rFonts w:hAnsi="Times New Roman"/>
      <w:kern w:val="2"/>
      <w:sz w:val="44"/>
      <w:szCs w:val="21"/>
    </w:rPr>
  </w:style>
  <w:style w:type="paragraph" w:customStyle="1" w:styleId="108">
    <w:name w:val="UserStyle_61"/>
    <w:basedOn w:val="1"/>
    <w:qFormat/>
    <w:uiPriority w:val="0"/>
    <w:pPr>
      <w:spacing w:before="100" w:after="100"/>
      <w:ind w:left="360" w:right="360"/>
      <w:jc w:val="left"/>
    </w:pPr>
    <w:rPr>
      <w:rFonts w:ascii="Times New Roman" w:hAnsi="Times New Roman"/>
      <w:kern w:val="0"/>
      <w:sz w:val="24"/>
      <w:szCs w:val="20"/>
    </w:rPr>
  </w:style>
  <w:style w:type="paragraph" w:customStyle="1" w:styleId="109">
    <w:name w:val="Heading4"/>
    <w:basedOn w:val="106"/>
    <w:next w:val="89"/>
    <w:qFormat/>
    <w:uiPriority w:val="0"/>
    <w:pPr>
      <w:keepNext/>
      <w:keepLines/>
      <w:numPr>
        <w:ilvl w:val="3"/>
        <w:numId w:val="1"/>
      </w:numPr>
      <w:spacing w:before="0" w:after="0" w:line="360" w:lineRule="auto"/>
    </w:pPr>
    <w:rPr>
      <w:rFonts w:ascii="Arial" w:hAnsi="Arial"/>
      <w:color w:val="000000"/>
      <w:kern w:val="2"/>
      <w:sz w:val="21"/>
      <w:szCs w:val="21"/>
    </w:rPr>
  </w:style>
  <w:style w:type="paragraph" w:customStyle="1" w:styleId="110">
    <w:name w:val="UserStyle_68"/>
    <w:basedOn w:val="1"/>
    <w:qFormat/>
    <w:uiPriority w:val="0"/>
    <w:pPr>
      <w:numPr>
        <w:ilvl w:val="0"/>
        <w:numId w:val="1"/>
      </w:numPr>
    </w:pPr>
    <w:rPr>
      <w:rFonts w:ascii="Times New Roman" w:hAnsi="Times New Roman"/>
      <w:sz w:val="24"/>
      <w:szCs w:val="24"/>
    </w:rPr>
  </w:style>
  <w:style w:type="paragraph" w:customStyle="1" w:styleId="111">
    <w:name w:val="TOC3"/>
    <w:basedOn w:val="1"/>
    <w:next w:val="1"/>
    <w:qFormat/>
    <w:uiPriority w:val="0"/>
    <w:pPr>
      <w:snapToGrid w:val="0"/>
      <w:spacing w:line="360" w:lineRule="auto"/>
      <w:ind w:left="400" w:leftChars="400"/>
      <w:jc w:val="left"/>
    </w:pPr>
    <w:rPr>
      <w:rFonts w:ascii="Times New Roman" w:hAnsi="Times New Roman"/>
      <w:sz w:val="24"/>
      <w:szCs w:val="20"/>
    </w:rPr>
  </w:style>
  <w:style w:type="paragraph" w:customStyle="1" w:styleId="112">
    <w:name w:val="179"/>
    <w:basedOn w:val="1"/>
    <w:qFormat/>
    <w:uiPriority w:val="0"/>
    <w:pPr>
      <w:ind w:firstLine="200" w:firstLineChars="200"/>
    </w:pPr>
    <w:rPr>
      <w:rFonts w:ascii="Times New Roman" w:hAnsi="Times New Roman"/>
      <w:szCs w:val="20"/>
    </w:rPr>
  </w:style>
  <w:style w:type="paragraph" w:customStyle="1" w:styleId="113">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4">
    <w:name w:val="UserStyle_76"/>
    <w:basedOn w:val="1"/>
    <w:qFormat/>
    <w:uiPriority w:val="0"/>
    <w:rPr>
      <w:rFonts w:ascii="Arial" w:hAnsi="Arial"/>
      <w:sz w:val="48"/>
      <w:szCs w:val="20"/>
    </w:rPr>
  </w:style>
  <w:style w:type="paragraph" w:customStyle="1" w:styleId="115">
    <w:name w:val="页脚 New New New"/>
    <w:basedOn w:val="1"/>
    <w:qFormat/>
    <w:uiPriority w:val="0"/>
    <w:pPr>
      <w:widowControl w:val="0"/>
      <w:tabs>
        <w:tab w:val="center" w:pos="4153"/>
        <w:tab w:val="right" w:pos="8306"/>
      </w:tabs>
      <w:snapToGrid w:val="0"/>
      <w:jc w:val="left"/>
      <w:textAlignment w:val="auto"/>
    </w:pPr>
    <w:rPr>
      <w:rFonts w:ascii="Times New Roman" w:hAnsi="Times New Roman"/>
      <w:sz w:val="18"/>
      <w:szCs w:val="18"/>
    </w:rPr>
  </w:style>
  <w:style w:type="paragraph" w:customStyle="1" w:styleId="116">
    <w:name w:val="Heading1"/>
    <w:basedOn w:val="22"/>
    <w:next w:val="97"/>
    <w:qFormat/>
    <w:uiPriority w:val="0"/>
    <w:pPr>
      <w:keepNext/>
      <w:keepLines/>
      <w:spacing w:after="120" w:line="360" w:lineRule="auto"/>
    </w:pPr>
    <w:rPr>
      <w:kern w:val="44"/>
      <w:sz w:val="28"/>
      <w:szCs w:val="28"/>
    </w:rPr>
  </w:style>
  <w:style w:type="paragraph" w:customStyle="1" w:styleId="117">
    <w:name w:val="UserStyle_65"/>
    <w:basedOn w:val="116"/>
    <w:next w:val="1"/>
    <w:qFormat/>
    <w:uiPriority w:val="0"/>
    <w:pPr>
      <w:spacing w:before="480" w:after="0" w:line="276" w:lineRule="auto"/>
    </w:pPr>
    <w:rPr>
      <w:rFonts w:ascii="Cambria" w:hAnsi="Cambria"/>
      <w:color w:val="365F91"/>
      <w:kern w:val="0"/>
    </w:rPr>
  </w:style>
  <w:style w:type="paragraph" w:customStyle="1" w:styleId="118">
    <w:name w:val="UserStyle_59"/>
    <w:next w:val="119"/>
    <w:qFormat/>
    <w:uiPriority w:val="0"/>
    <w:pPr>
      <w:textAlignment w:val="baseline"/>
    </w:pPr>
    <w:rPr>
      <w:rFonts w:ascii="宋体" w:hAnsi="Times New Roman" w:eastAsia="宋体" w:cs="Times New Roman"/>
      <w:sz w:val="24"/>
      <w:szCs w:val="24"/>
      <w:lang w:val="en-US" w:eastAsia="zh-CN" w:bidi="ar-SA"/>
    </w:rPr>
  </w:style>
  <w:style w:type="paragraph" w:customStyle="1" w:styleId="119">
    <w:name w:val="UserStyle_67"/>
    <w:basedOn w:val="118"/>
    <w:qFormat/>
    <w:uiPriority w:val="0"/>
    <w:pPr>
      <w:ind w:firstLine="200" w:firstLineChars="200"/>
    </w:pPr>
    <w:rPr>
      <w:kern w:val="2"/>
    </w:rPr>
  </w:style>
  <w:style w:type="paragraph" w:customStyle="1" w:styleId="120">
    <w:name w:val="封二"/>
    <w:basedOn w:val="46"/>
    <w:next w:val="46"/>
    <w:qFormat/>
    <w:uiPriority w:val="0"/>
    <w:pPr>
      <w:ind w:firstLine="0" w:firstLineChars="0"/>
      <w:jc w:val="center"/>
    </w:pPr>
    <w:rPr>
      <w:rFonts w:eastAsia="黑体"/>
      <w:b/>
      <w:sz w:val="36"/>
      <w:szCs w:val="36"/>
    </w:rPr>
  </w:style>
  <w:style w:type="paragraph" w:customStyle="1" w:styleId="121">
    <w:name w:val="UserStyle_58"/>
    <w:basedOn w:val="118"/>
    <w:qFormat/>
    <w:uiPriority w:val="0"/>
    <w:pPr>
      <w:ind w:firstLine="200" w:firstLineChars="200"/>
    </w:pPr>
  </w:style>
  <w:style w:type="paragraph" w:customStyle="1" w:styleId="122">
    <w:name w:val="UserStyle_72"/>
    <w:basedOn w:val="49"/>
    <w:qFormat/>
    <w:uiPriority w:val="0"/>
    <w:rPr>
      <w:rFonts w:ascii="Tahoma" w:hAnsi="Tahoma"/>
      <w:sz w:val="24"/>
      <w:szCs w:val="24"/>
    </w:rPr>
  </w:style>
  <w:style w:type="paragraph" w:customStyle="1" w:styleId="123">
    <w:name w:val="Heading2"/>
    <w:basedOn w:val="1"/>
    <w:next w:val="89"/>
    <w:qFormat/>
    <w:uiPriority w:val="0"/>
    <w:pPr>
      <w:keepNext/>
      <w:keepLines/>
      <w:spacing w:before="120" w:after="120" w:line="415" w:lineRule="auto"/>
      <w:ind w:left="454"/>
      <w:jc w:val="center"/>
    </w:pPr>
    <w:rPr>
      <w:rFonts w:ascii="Arial" w:hAnsi="Arial"/>
      <w:color w:val="000000"/>
      <w:sz w:val="24"/>
      <w:szCs w:val="24"/>
    </w:rPr>
  </w:style>
  <w:style w:type="paragraph" w:customStyle="1" w:styleId="124">
    <w:name w:val="Heading7"/>
    <w:basedOn w:val="1"/>
    <w:next w:val="89"/>
    <w:qFormat/>
    <w:uiPriority w:val="0"/>
    <w:pPr>
      <w:keepNext/>
      <w:keepLines/>
      <w:numPr>
        <w:ilvl w:val="6"/>
        <w:numId w:val="1"/>
      </w:numPr>
      <w:spacing w:before="240" w:after="64" w:line="319" w:lineRule="auto"/>
    </w:pPr>
    <w:rPr>
      <w:rFonts w:ascii="Times New Roman" w:hAnsi="Times New Roman"/>
      <w:sz w:val="24"/>
      <w:szCs w:val="20"/>
    </w:rPr>
  </w:style>
  <w:style w:type="paragraph" w:customStyle="1" w:styleId="125">
    <w:name w:val="TOC1"/>
    <w:basedOn w:val="1"/>
    <w:next w:val="1"/>
    <w:qFormat/>
    <w:uiPriority w:val="0"/>
    <w:pPr>
      <w:tabs>
        <w:tab w:val="right" w:leader="dot" w:pos="9060"/>
      </w:tabs>
      <w:snapToGrid w:val="0"/>
      <w:spacing w:line="360" w:lineRule="auto"/>
      <w:jc w:val="left"/>
    </w:pPr>
    <w:rPr>
      <w:rFonts w:ascii="宋体" w:hAnsi="宋体"/>
      <w:kern w:val="0"/>
      <w:sz w:val="24"/>
      <w:szCs w:val="32"/>
    </w:rPr>
  </w:style>
  <w:style w:type="paragraph" w:customStyle="1" w:styleId="126">
    <w:name w:val="正文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7">
    <w:name w:val="Heading8"/>
    <w:basedOn w:val="1"/>
    <w:next w:val="89"/>
    <w:qFormat/>
    <w:uiPriority w:val="0"/>
    <w:pPr>
      <w:keepNext/>
      <w:keepLines/>
      <w:numPr>
        <w:ilvl w:val="7"/>
        <w:numId w:val="1"/>
      </w:numPr>
      <w:spacing w:before="240" w:after="64" w:line="319" w:lineRule="auto"/>
    </w:pPr>
    <w:rPr>
      <w:rFonts w:ascii="Arial" w:hAnsi="Arial" w:eastAsia="黑体"/>
      <w:sz w:val="24"/>
      <w:szCs w:val="20"/>
    </w:rPr>
  </w:style>
  <w:style w:type="paragraph" w:customStyle="1" w:styleId="128">
    <w:name w:val="UserStyle_57"/>
    <w:basedOn w:val="1"/>
    <w:qFormat/>
    <w:uiPriority w:val="0"/>
    <w:pPr>
      <w:topLinePunct/>
      <w:snapToGrid w:val="0"/>
      <w:spacing w:line="360" w:lineRule="auto"/>
      <w:ind w:firstLine="200" w:firstLineChars="200"/>
    </w:pPr>
    <w:rPr>
      <w:spacing w:val="4"/>
      <w:kern w:val="0"/>
      <w:sz w:val="24"/>
      <w:szCs w:val="24"/>
    </w:rPr>
  </w:style>
  <w:style w:type="paragraph" w:customStyle="1" w:styleId="129">
    <w:name w:val="修订1"/>
    <w:qFormat/>
    <w:uiPriority w:val="0"/>
    <w:rPr>
      <w:rFonts w:ascii="Calibri" w:hAnsi="Calibri" w:eastAsia="宋体" w:cs="Times New Roman"/>
      <w:kern w:val="2"/>
      <w:sz w:val="21"/>
      <w:szCs w:val="22"/>
      <w:lang w:val="en-US" w:eastAsia="zh-CN" w:bidi="ar-SA"/>
    </w:rPr>
  </w:style>
  <w:style w:type="paragraph" w:customStyle="1" w:styleId="130">
    <w:name w:val="封四"/>
    <w:basedOn w:val="46"/>
    <w:next w:val="46"/>
    <w:qFormat/>
    <w:uiPriority w:val="0"/>
    <w:pPr>
      <w:jc w:val="left"/>
    </w:pPr>
    <w:rPr>
      <w:sz w:val="30"/>
      <w:szCs w:val="30"/>
    </w:rPr>
  </w:style>
  <w:style w:type="paragraph" w:customStyle="1" w:styleId="131">
    <w:name w:val="列出段落1"/>
    <w:basedOn w:val="1"/>
    <w:qFormat/>
    <w:uiPriority w:val="0"/>
    <w:pPr>
      <w:widowControl w:val="0"/>
      <w:ind w:firstLine="200" w:firstLineChars="200"/>
      <w:textAlignment w:val="auto"/>
    </w:pPr>
    <w:rPr>
      <w:szCs w:val="21"/>
    </w:rPr>
  </w:style>
  <w:style w:type="paragraph" w:customStyle="1" w:styleId="132">
    <w:name w:val="UserStyle_63"/>
    <w:basedOn w:val="1"/>
    <w:next w:val="1"/>
    <w:qFormat/>
    <w:uiPriority w:val="0"/>
    <w:pPr>
      <w:topLinePunct/>
      <w:snapToGrid w:val="0"/>
      <w:jc w:val="center"/>
    </w:pPr>
    <w:rPr>
      <w:rFonts w:ascii="Times New Roman" w:hAnsi="Times New Roman" w:eastAsia="黑体"/>
      <w:spacing w:val="4"/>
      <w:kern w:val="0"/>
      <w:sz w:val="30"/>
      <w:szCs w:val="30"/>
    </w:rPr>
  </w:style>
  <w:style w:type="paragraph" w:customStyle="1" w:styleId="133">
    <w:name w:val="正题"/>
    <w:basedOn w:val="46"/>
    <w:next w:val="46"/>
    <w:qFormat/>
    <w:uiPriority w:val="0"/>
    <w:pPr>
      <w:ind w:firstLine="0" w:firstLineChars="0"/>
      <w:jc w:val="center"/>
    </w:pPr>
    <w:rPr>
      <w:rFonts w:eastAsia="黑体"/>
      <w:b/>
      <w:sz w:val="36"/>
      <w:szCs w:val="36"/>
    </w:rPr>
  </w:style>
  <w:style w:type="paragraph" w:customStyle="1" w:styleId="134">
    <w:name w:val="UserStyle_70"/>
    <w:basedOn w:val="1"/>
    <w:qFormat/>
    <w:uiPriority w:val="0"/>
    <w:pPr>
      <w:spacing w:line="360" w:lineRule="auto"/>
      <w:jc w:val="center"/>
    </w:pPr>
    <w:rPr>
      <w:rFonts w:ascii="黑体" w:hAnsi="Times New Roman" w:eastAsia="黑体"/>
      <w:kern w:val="0"/>
      <w:sz w:val="24"/>
      <w:szCs w:val="20"/>
    </w:rPr>
  </w:style>
  <w:style w:type="paragraph" w:customStyle="1" w:styleId="135">
    <w:name w:val="UserStyle_56"/>
    <w:qFormat/>
    <w:uiPriority w:val="0"/>
    <w:pPr>
      <w:textAlignment w:val="baseline"/>
    </w:pPr>
    <w:rPr>
      <w:rFonts w:ascii="等线" w:hAnsi="等线" w:eastAsia="等线" w:cs="Times New Roman"/>
      <w:sz w:val="20"/>
      <w:szCs w:val="20"/>
      <w:lang w:val="en-US" w:eastAsia="zh-CN" w:bidi="ar-SA"/>
    </w:rPr>
  </w:style>
  <w:style w:type="paragraph" w:customStyle="1" w:styleId="136">
    <w:name w:val="正文 New New"/>
    <w:qFormat/>
    <w:uiPriority w:val="0"/>
    <w:pPr>
      <w:widowControl w:val="0"/>
      <w:jc w:val="both"/>
    </w:pPr>
    <w:rPr>
      <w:rFonts w:ascii="Times New Roman" w:hAnsi="Times New Roman" w:eastAsia="楷体_GB2312" w:cs="Times New Roman"/>
      <w:sz w:val="20"/>
      <w:szCs w:val="20"/>
      <w:lang w:val="en-US" w:eastAsia="zh-CN" w:bidi="ar-SA"/>
    </w:rPr>
  </w:style>
  <w:style w:type="paragraph" w:customStyle="1" w:styleId="137">
    <w:name w:val="UserStyle_66"/>
    <w:qFormat/>
    <w:uiPriority w:val="0"/>
    <w:pPr>
      <w:spacing w:line="360" w:lineRule="auto"/>
      <w:ind w:firstLine="629"/>
      <w:jc w:val="both"/>
      <w:textAlignment w:val="baseline"/>
    </w:pPr>
    <w:rPr>
      <w:rFonts w:ascii="仿宋_GB2312" w:hAnsi="Calisto MT" w:eastAsia="仿宋_GB2312" w:cs="Times New Roman"/>
      <w:color w:val="000000"/>
      <w:sz w:val="32"/>
      <w:szCs w:val="20"/>
      <w:lang w:val="en-US" w:eastAsia="zh-CN" w:bidi="ar-SA"/>
    </w:rPr>
  </w:style>
  <w:style w:type="paragraph" w:customStyle="1" w:styleId="138">
    <w:name w:val="UserStyle_75"/>
    <w:basedOn w:val="1"/>
    <w:qFormat/>
    <w:uiPriority w:val="0"/>
    <w:rPr>
      <w:rFonts w:ascii="Times New Roman" w:hAnsi="Times New Roman"/>
      <w:sz w:val="30"/>
      <w:szCs w:val="24"/>
    </w:rPr>
  </w:style>
  <w:style w:type="paragraph" w:customStyle="1" w:styleId="139">
    <w:name w:val="TOC2"/>
    <w:basedOn w:val="1"/>
    <w:next w:val="1"/>
    <w:qFormat/>
    <w:uiPriority w:val="0"/>
    <w:pPr>
      <w:tabs>
        <w:tab w:val="right" w:leader="dot" w:pos="9060"/>
      </w:tabs>
      <w:snapToGrid w:val="0"/>
      <w:spacing w:line="360" w:lineRule="auto"/>
      <w:ind w:left="200" w:leftChars="200"/>
      <w:jc w:val="left"/>
    </w:pPr>
    <w:rPr>
      <w:rFonts w:ascii="Times New Roman" w:hAnsi="Times New Roman"/>
      <w:sz w:val="24"/>
      <w:szCs w:val="24"/>
    </w:rPr>
  </w:style>
  <w:style w:type="paragraph" w:customStyle="1" w:styleId="140">
    <w:name w:val="UserStyle_69"/>
    <w:basedOn w:val="137"/>
    <w:qFormat/>
    <w:uiPriority w:val="0"/>
    <w:pPr>
      <w:ind w:left="4094" w:right="607" w:firstLine="0"/>
      <w:jc w:val="center"/>
    </w:pPr>
  </w:style>
  <w:style w:type="paragraph" w:customStyle="1" w:styleId="141">
    <w:name w:val="HtmlNormal"/>
    <w:basedOn w:val="1"/>
    <w:qFormat/>
    <w:uiPriority w:val="0"/>
    <w:rPr>
      <w:rFonts w:ascii="仿宋_GB2312" w:hAnsi="Times New Roman"/>
      <w:sz w:val="24"/>
      <w:szCs w:val="32"/>
    </w:rPr>
  </w:style>
  <w:style w:type="paragraph" w:customStyle="1" w:styleId="142">
    <w:name w:val="UserStyle_71"/>
    <w:qFormat/>
    <w:uiPriority w:val="0"/>
    <w:pPr>
      <w:textAlignment w:val="baseline"/>
    </w:pPr>
    <w:rPr>
      <w:rFonts w:ascii="Times New Roman" w:hAnsi="Times New Roman" w:eastAsia="宋体" w:cs="Times New Roman"/>
      <w:kern w:val="2"/>
      <w:sz w:val="21"/>
      <w:szCs w:val="20"/>
      <w:lang w:val="en-US" w:eastAsia="zh-CN" w:bidi="ar-SA"/>
    </w:rPr>
  </w:style>
  <w:style w:type="paragraph" w:customStyle="1" w:styleId="143">
    <w:name w:val="UserStyle_64"/>
    <w:basedOn w:val="1"/>
    <w:next w:val="1"/>
    <w:qFormat/>
    <w:uiPriority w:val="0"/>
    <w:pPr>
      <w:topLinePunct/>
      <w:snapToGrid w:val="0"/>
      <w:jc w:val="left"/>
    </w:pPr>
    <w:rPr>
      <w:rFonts w:ascii="黑体" w:hAnsi="宋体" w:eastAsia="黑体"/>
      <w:spacing w:val="4"/>
      <w:kern w:val="0"/>
      <w:sz w:val="24"/>
      <w:szCs w:val="24"/>
    </w:rPr>
  </w:style>
  <w:style w:type="paragraph" w:customStyle="1" w:styleId="144">
    <w:name w:val="UserStyle_74"/>
    <w:basedOn w:val="1"/>
    <w:qFormat/>
    <w:uiPriority w:val="0"/>
    <w:rPr>
      <w:rFonts w:ascii="Tahoma" w:hAnsi="Tahoma"/>
      <w:sz w:val="24"/>
      <w:szCs w:val="20"/>
    </w:rPr>
  </w:style>
  <w:style w:type="paragraph" w:customStyle="1" w:styleId="145">
    <w:name w:val="UserStyle_62"/>
    <w:basedOn w:val="89"/>
    <w:qFormat/>
    <w:uiPriority w:val="0"/>
    <w:pPr>
      <w:ind w:firstLine="0"/>
    </w:pPr>
    <w:rPr>
      <w:rFonts w:ascii="仿宋_GB2312" w:eastAsia="仿宋_GB2312"/>
      <w:sz w:val="30"/>
      <w:szCs w:val="24"/>
    </w:rPr>
  </w:style>
  <w:style w:type="paragraph" w:customStyle="1" w:styleId="146">
    <w:name w:val="封一"/>
    <w:basedOn w:val="46"/>
    <w:next w:val="46"/>
    <w:qFormat/>
    <w:uiPriority w:val="0"/>
    <w:pPr>
      <w:ind w:firstLine="0" w:firstLineChars="0"/>
      <w:jc w:val="center"/>
    </w:pPr>
    <w:rPr>
      <w:rFonts w:eastAsia="黑体"/>
      <w:b/>
      <w:sz w:val="84"/>
      <w:szCs w:val="84"/>
    </w:rPr>
  </w:style>
  <w:style w:type="paragraph" w:customStyle="1" w:styleId="147">
    <w:name w:val="Index1"/>
    <w:basedOn w:val="1"/>
    <w:next w:val="1"/>
    <w:qFormat/>
    <w:uiPriority w:val="0"/>
    <w:rPr>
      <w:rFonts w:ascii="Times New Roman" w:hAnsi="Times New Roman" w:eastAsia="仿宋_GB2312"/>
      <w:sz w:val="28"/>
      <w:szCs w:val="20"/>
    </w:rPr>
  </w:style>
  <w:style w:type="paragraph" w:customStyle="1" w:styleId="148">
    <w:name w:val="Heading5"/>
    <w:basedOn w:val="109"/>
    <w:next w:val="89"/>
    <w:qFormat/>
    <w:uiPriority w:val="0"/>
    <w:pPr>
      <w:numPr>
        <w:ilvl w:val="4"/>
        <w:numId w:val="1"/>
      </w:numPr>
      <w:spacing w:line="240" w:lineRule="exact"/>
    </w:pPr>
  </w:style>
  <w:style w:type="paragraph" w:styleId="149">
    <w:name w:val="List Paragraph"/>
    <w:basedOn w:val="1"/>
    <w:qFormat/>
    <w:uiPriority w:val="0"/>
    <w:pPr>
      <w:widowControl w:val="0"/>
      <w:ind w:firstLine="200" w:firstLineChars="200"/>
      <w:textAlignment w:val="auto"/>
    </w:pPr>
    <w:rPr>
      <w:rFonts w:ascii="Times New Roman" w:hAnsi="Times New Roman"/>
      <w:szCs w:val="20"/>
    </w:rPr>
  </w:style>
  <w:style w:type="character" w:customStyle="1" w:styleId="150">
    <w:name w:val="Char Char12"/>
    <w:qFormat/>
    <w:uiPriority w:val="0"/>
    <w:rPr>
      <w:rFonts w:ascii="Calibri" w:hAnsi="Calibri" w:eastAsia="宋体" w:cs="Times New Roman"/>
      <w:sz w:val="18"/>
      <w:lang w:bidi="ar-SA"/>
    </w:rPr>
  </w:style>
  <w:style w:type="character" w:customStyle="1" w:styleId="151">
    <w:name w:val="font11"/>
    <w:basedOn w:val="27"/>
    <w:qFormat/>
    <w:uiPriority w:val="0"/>
    <w:rPr>
      <w:rFonts w:ascii="等线" w:hAnsi="等线" w:eastAsia="等线" w:cs="等线"/>
      <w:color w:val="000000"/>
      <w:sz w:val="21"/>
      <w:szCs w:val="21"/>
      <w:u w:val="none"/>
    </w:rPr>
  </w:style>
  <w:style w:type="character" w:customStyle="1" w:styleId="152">
    <w:name w:val="font01"/>
    <w:basedOn w:val="27"/>
    <w:qFormat/>
    <w:uiPriority w:val="0"/>
    <w:rPr>
      <w:rFonts w:ascii="宋体" w:hAnsi="宋体" w:eastAsia="宋体" w:cs="宋体"/>
      <w:color w:val="000000"/>
      <w:sz w:val="21"/>
      <w:szCs w:val="21"/>
      <w:u w:val="none"/>
    </w:rPr>
  </w:style>
  <w:style w:type="paragraph" w:customStyle="1" w:styleId="153">
    <w:name w:val="修订2"/>
    <w:qFormat/>
    <w:uiPriority w:val="0"/>
    <w:rPr>
      <w:rFonts w:ascii="Calibri" w:hAnsi="Calibri" w:eastAsia="宋体" w:cs="Times New Roman"/>
      <w:kern w:val="2"/>
      <w:sz w:val="21"/>
      <w:szCs w:val="22"/>
      <w:lang w:val="en-US" w:eastAsia="zh-CN" w:bidi="ar-SA"/>
    </w:rPr>
  </w:style>
  <w:style w:type="character" w:customStyle="1" w:styleId="154">
    <w:name w:val="16"/>
    <w:qFormat/>
    <w:uiPriority w:val="0"/>
    <w:rPr>
      <w:rFonts w:ascii="Times New Roman" w:hAnsi="Times New Roman" w:cs="Times New Roman"/>
    </w:rPr>
  </w:style>
  <w:style w:type="character" w:customStyle="1" w:styleId="155">
    <w:name w:val="日期 Char1"/>
    <w:qFormat/>
    <w:uiPriority w:val="0"/>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3.png"/><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ap="flat" cmpd="sng">
          <a:solidFill>
            <a:schemeClr val="phClr">
              <a:shade val="95000"/>
              <a:satMod val="105000"/>
            </a:schemeClr>
          </a:solidFill>
          <a:prstDash val="solid"/>
          <a:round/>
        </a:ln>
        <a:ln w="25400" cap="flat" cmpd="sng">
          <a:solidFill>
            <a:schemeClr val="phClr"/>
          </a:solidFill>
          <a:prstDash val="solid"/>
          <a:round/>
        </a:ln>
        <a:ln w="38100" cap="flat" cmpd="sng">
          <a:solidFill>
            <a:schemeClr val="phClr"/>
          </a:solidFill>
          <a:prstDash val="solid"/>
          <a:round/>
        </a:ln>
      </a:lnStyleLst>
      <a:effectStyleLst>
        <a:effectStyle>
          <a:effectLst>
            <a:outerShdw blurRad="40000" dist="20000" dir="5400000" rotWithShape="0">
              <a:srgbClr val="000000">
                <a:alpha val="37647"/>
              </a:srgbClr>
            </a:outerShdw>
          </a:effectLst>
        </a:effectStyle>
        <a:effectStyle>
          <a:effectLst>
            <a:outerShdw blurRad="40000" dist="23000" dir="5400000" rotWithShape="0">
              <a:srgbClr val="000000">
                <a:alpha val="34509"/>
              </a:srgbClr>
            </a:outerShdw>
          </a:effectLst>
        </a:effectStyle>
        <a:effectStyle>
          <a:effectLst>
            <a:outerShdw blurRad="40000" dist="23000" dir="5400000" rotWithShape="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customData xmlns="http://www.yozosoft.com.cn/officeDocument/2016/customData">
  <customProps xmlns="http://www.yozosoft.com.cn/officeDocument/2016/customData">
    <docPr xmlns="http://www.yozosoft.com.cn/officeDocument/2016/customData" revisions="3 0 5 0 0 0 1 0 0 0 3000 0 1 1 1 1"/>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sectPr xmlns="http://www.yozosoft.com.cn/officeDocument/2016/customData"/>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C56BCA-80A1-45C5-8A04-88F2F7083181}">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65</Pages>
  <Words>40346</Words>
  <Characters>42699</Characters>
  <Lines>0</Lines>
  <Paragraphs>868</Paragraphs>
  <TotalTime>123</TotalTime>
  <ScaleCrop>false</ScaleCrop>
  <LinksUpToDate>false</LinksUpToDate>
  <CharactersWithSpaces>44133</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2023-06-10T18:21:00Z</dcterms:created>
  <dc:creator>Administrator</dc:creator>
  <cp:lastModifiedBy>HP</cp:lastModifiedBy>
  <cp:lastPrinted>2024-09-14T18:30:00Z</cp:lastPrinted>
  <dcterms:modified xsi:type="dcterms:W3CDTF">2024-09-14T07:34:49Z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D4FB7A4F761B4A47BBAA4DF98EB1CEF8</vt:lpwstr>
  </property>
</Properties>
</file>