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C5837C">
      <w:pPr>
        <w:pStyle w:val="3"/>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1"/>
          <w:szCs w:val="21"/>
          <w:highlight w:val="none"/>
          <w:lang w:val="en-US" w:eastAsia="zh-CN" w:bidi="ar"/>
        </w:rPr>
        <w:t>特别说明：中标人按两场馆（单个立项项目）分别签订合同</w:t>
      </w:r>
      <w:bookmarkStart w:id="0" w:name="_Toc522940803"/>
      <w:bookmarkEnd w:id="0"/>
      <w:bookmarkStart w:id="1" w:name="_Toc2071537"/>
      <w:bookmarkEnd w:id="1"/>
      <w:bookmarkStart w:id="2" w:name="_Toc1877127"/>
      <w:bookmarkEnd w:id="2"/>
      <w:bookmarkStart w:id="3" w:name="_Toc4051046"/>
      <w:bookmarkEnd w:id="3"/>
      <w:bookmarkStart w:id="4" w:name="_Toc2071540"/>
      <w:bookmarkEnd w:id="4"/>
      <w:bookmarkStart w:id="5" w:name="_Toc923750"/>
      <w:bookmarkEnd w:id="5"/>
      <w:bookmarkStart w:id="6" w:name="_Toc4071351"/>
      <w:bookmarkEnd w:id="6"/>
      <w:bookmarkStart w:id="7" w:name="_Toc522249982"/>
      <w:bookmarkEnd w:id="7"/>
      <w:bookmarkStart w:id="8" w:name="_Toc3633680"/>
      <w:bookmarkEnd w:id="8"/>
      <w:bookmarkStart w:id="9" w:name="_Toc3979678"/>
      <w:bookmarkEnd w:id="9"/>
      <w:bookmarkStart w:id="10" w:name="_Toc522866705"/>
      <w:bookmarkEnd w:id="10"/>
      <w:bookmarkStart w:id="11" w:name="_Toc122759215"/>
      <w:bookmarkEnd w:id="11"/>
      <w:bookmarkStart w:id="12" w:name="_Toc1876221"/>
      <w:bookmarkEnd w:id="12"/>
      <w:bookmarkStart w:id="13" w:name="_Toc2071541"/>
      <w:bookmarkEnd w:id="13"/>
      <w:bookmarkStart w:id="14" w:name="_Toc3831324"/>
      <w:bookmarkEnd w:id="14"/>
      <w:bookmarkStart w:id="15" w:name="_Toc521924603"/>
      <w:bookmarkEnd w:id="15"/>
      <w:bookmarkStart w:id="16" w:name="_Toc4071355"/>
      <w:bookmarkEnd w:id="16"/>
      <w:bookmarkStart w:id="17" w:name="_Toc523542708"/>
      <w:bookmarkEnd w:id="17"/>
      <w:bookmarkStart w:id="18" w:name="_Toc3979682"/>
      <w:bookmarkEnd w:id="18"/>
      <w:bookmarkStart w:id="19" w:name="_Toc1876222"/>
      <w:bookmarkEnd w:id="19"/>
      <w:bookmarkStart w:id="20" w:name="_Toc523825994"/>
      <w:bookmarkEnd w:id="20"/>
      <w:bookmarkStart w:id="21" w:name="_Toc3633678"/>
      <w:bookmarkEnd w:id="21"/>
      <w:bookmarkStart w:id="22" w:name="_Toc2071542"/>
      <w:bookmarkEnd w:id="22"/>
      <w:bookmarkStart w:id="23" w:name="_Toc1877122"/>
      <w:bookmarkEnd w:id="23"/>
      <w:bookmarkStart w:id="24" w:name="_Toc3908444"/>
      <w:bookmarkEnd w:id="24"/>
      <w:bookmarkStart w:id="25" w:name="_Toc3517702"/>
      <w:bookmarkEnd w:id="25"/>
      <w:bookmarkStart w:id="26" w:name="_Toc3633679"/>
      <w:bookmarkEnd w:id="26"/>
      <w:bookmarkStart w:id="27" w:name="_Toc3518178"/>
      <w:bookmarkEnd w:id="27"/>
      <w:bookmarkStart w:id="28" w:name="_Toc480258782"/>
      <w:bookmarkEnd w:id="28"/>
      <w:bookmarkStart w:id="29" w:name="_Toc4071356"/>
      <w:bookmarkEnd w:id="29"/>
      <w:bookmarkStart w:id="30" w:name="_Toc521924608"/>
      <w:bookmarkEnd w:id="30"/>
      <w:bookmarkStart w:id="31" w:name="_Toc480258781"/>
      <w:bookmarkEnd w:id="31"/>
      <w:bookmarkStart w:id="32" w:name="_Toc3831328"/>
      <w:bookmarkEnd w:id="32"/>
      <w:bookmarkStart w:id="33" w:name="_Toc535252420"/>
      <w:bookmarkEnd w:id="33"/>
      <w:bookmarkStart w:id="34" w:name="_Toc4051040"/>
      <w:bookmarkEnd w:id="34"/>
      <w:bookmarkStart w:id="35" w:name="_Toc3979681"/>
      <w:bookmarkEnd w:id="35"/>
      <w:bookmarkStart w:id="36" w:name="_Toc523825993"/>
      <w:bookmarkEnd w:id="36"/>
      <w:bookmarkStart w:id="37" w:name="_Toc3636824"/>
      <w:bookmarkEnd w:id="37"/>
      <w:bookmarkStart w:id="38" w:name="_Toc1877126"/>
      <w:bookmarkEnd w:id="38"/>
      <w:bookmarkStart w:id="39" w:name="_Toc522250426"/>
      <w:bookmarkEnd w:id="39"/>
      <w:bookmarkStart w:id="40" w:name="_Toc523825995"/>
      <w:bookmarkEnd w:id="40"/>
      <w:bookmarkStart w:id="41" w:name="_Toc522249977"/>
      <w:bookmarkEnd w:id="41"/>
      <w:bookmarkStart w:id="42" w:name="_Toc3517701"/>
      <w:bookmarkEnd w:id="42"/>
      <w:bookmarkStart w:id="43" w:name="_Toc3633675"/>
      <w:bookmarkEnd w:id="43"/>
      <w:bookmarkStart w:id="44" w:name="_Toc522940802"/>
      <w:bookmarkEnd w:id="44"/>
      <w:bookmarkStart w:id="45" w:name="_Toc1876220"/>
      <w:bookmarkEnd w:id="45"/>
      <w:bookmarkStart w:id="46" w:name="_Toc522250427"/>
      <w:bookmarkEnd w:id="46"/>
      <w:bookmarkStart w:id="47" w:name="_Toc114119682"/>
      <w:bookmarkEnd w:id="47"/>
      <w:bookmarkStart w:id="48" w:name="_Toc522940798"/>
      <w:bookmarkEnd w:id="48"/>
      <w:bookmarkStart w:id="49" w:name="_Toc3908439"/>
      <w:bookmarkEnd w:id="49"/>
      <w:bookmarkStart w:id="50" w:name="_Toc4051045"/>
      <w:bookmarkEnd w:id="50"/>
      <w:bookmarkStart w:id="51" w:name="_Toc3831327"/>
      <w:bookmarkEnd w:id="51"/>
      <w:bookmarkStart w:id="52" w:name="_Toc479500873"/>
      <w:bookmarkEnd w:id="52"/>
      <w:bookmarkStart w:id="53" w:name="_Toc3636827"/>
      <w:bookmarkEnd w:id="53"/>
      <w:bookmarkStart w:id="54" w:name="_Toc3518177"/>
      <w:bookmarkEnd w:id="54"/>
      <w:bookmarkStart w:id="55" w:name="_Toc3517698"/>
      <w:bookmarkEnd w:id="55"/>
      <w:bookmarkStart w:id="56" w:name="_Toc3518179"/>
      <w:bookmarkEnd w:id="56"/>
      <w:bookmarkStart w:id="57" w:name="_Toc1876217"/>
      <w:bookmarkEnd w:id="57"/>
      <w:bookmarkStart w:id="58" w:name="_Toc923755"/>
      <w:bookmarkEnd w:id="58"/>
      <w:bookmarkStart w:id="59" w:name="_Toc521924607"/>
      <w:bookmarkEnd w:id="59"/>
      <w:bookmarkStart w:id="60" w:name="_Toc3636829"/>
      <w:bookmarkEnd w:id="60"/>
      <w:bookmarkStart w:id="61" w:name="_Toc522940801"/>
      <w:bookmarkEnd w:id="61"/>
      <w:bookmarkStart w:id="62" w:name="_Toc4051044"/>
      <w:bookmarkEnd w:id="62"/>
      <w:bookmarkStart w:id="63" w:name="_Toc4071352"/>
      <w:bookmarkEnd w:id="63"/>
      <w:bookmarkStart w:id="64" w:name="_Toc521924606"/>
      <w:bookmarkEnd w:id="64"/>
      <w:bookmarkStart w:id="65" w:name="_Toc3636828"/>
      <w:bookmarkEnd w:id="65"/>
      <w:bookmarkStart w:id="66" w:name="_Toc522250423"/>
      <w:bookmarkEnd w:id="66"/>
      <w:bookmarkStart w:id="67" w:name="_Toc522866708"/>
      <w:bookmarkEnd w:id="67"/>
      <w:bookmarkStart w:id="68" w:name="_Toc3517697"/>
      <w:bookmarkEnd w:id="68"/>
      <w:bookmarkStart w:id="69" w:name="_Toc4051041"/>
      <w:bookmarkEnd w:id="69"/>
      <w:bookmarkStart w:id="70" w:name="_Toc3979683"/>
      <w:bookmarkEnd w:id="70"/>
      <w:bookmarkStart w:id="71" w:name="_Toc82141021"/>
      <w:bookmarkEnd w:id="71"/>
      <w:bookmarkStart w:id="72" w:name="_Toc523542709"/>
      <w:bookmarkEnd w:id="72"/>
      <w:bookmarkStart w:id="73" w:name="_Toc3908438"/>
      <w:bookmarkEnd w:id="73"/>
      <w:bookmarkStart w:id="74" w:name="_Toc479500871"/>
      <w:bookmarkEnd w:id="74"/>
      <w:bookmarkStart w:id="75" w:name="_Toc523542710"/>
      <w:bookmarkEnd w:id="75"/>
      <w:bookmarkStart w:id="76" w:name="_Toc3636823"/>
      <w:bookmarkEnd w:id="76"/>
      <w:bookmarkStart w:id="77" w:name="_Toc3831329"/>
      <w:bookmarkEnd w:id="77"/>
      <w:bookmarkStart w:id="78" w:name="_Toc3633674"/>
      <w:bookmarkEnd w:id="78"/>
      <w:bookmarkStart w:id="79" w:name="_Toc3831323"/>
      <w:bookmarkEnd w:id="79"/>
      <w:bookmarkStart w:id="80" w:name="_Toc923754"/>
      <w:bookmarkEnd w:id="80"/>
      <w:bookmarkStart w:id="81" w:name="_Toc480258777"/>
      <w:bookmarkEnd w:id="81"/>
      <w:bookmarkStart w:id="82" w:name="_Toc522866709"/>
      <w:bookmarkEnd w:id="82"/>
      <w:bookmarkStart w:id="83" w:name="_Toc479500872"/>
      <w:bookmarkEnd w:id="83"/>
      <w:bookmarkStart w:id="84" w:name="_Toc522866710"/>
      <w:bookmarkEnd w:id="84"/>
      <w:bookmarkStart w:id="85" w:name="_Toc523825990"/>
      <w:bookmarkEnd w:id="85"/>
      <w:bookmarkStart w:id="86" w:name="_Toc480258780"/>
      <w:bookmarkEnd w:id="86"/>
      <w:bookmarkStart w:id="87" w:name="_Toc523542705"/>
      <w:bookmarkEnd w:id="87"/>
      <w:bookmarkStart w:id="88" w:name="_Toc3518174"/>
      <w:bookmarkEnd w:id="88"/>
      <w:bookmarkStart w:id="89" w:name="_Toc923753"/>
      <w:bookmarkEnd w:id="89"/>
      <w:bookmarkStart w:id="90" w:name="_Toc3518173"/>
      <w:bookmarkEnd w:id="90"/>
      <w:bookmarkStart w:id="91" w:name="_Toc4071357"/>
      <w:bookmarkEnd w:id="91"/>
      <w:bookmarkStart w:id="92" w:name="_Toc3517703"/>
      <w:bookmarkEnd w:id="92"/>
      <w:bookmarkStart w:id="93" w:name="_Toc3979677"/>
      <w:bookmarkEnd w:id="93"/>
      <w:bookmarkStart w:id="94" w:name="_Toc3908443"/>
      <w:bookmarkEnd w:id="94"/>
      <w:bookmarkStart w:id="95" w:name="_Toc522249980"/>
      <w:bookmarkEnd w:id="95"/>
      <w:bookmarkStart w:id="96" w:name="_Toc522249981"/>
      <w:bookmarkEnd w:id="96"/>
      <w:bookmarkStart w:id="97" w:name="_Toc522250428"/>
      <w:bookmarkEnd w:id="97"/>
      <w:bookmarkStart w:id="98" w:name="_Toc1877125"/>
      <w:bookmarkEnd w:id="98"/>
      <w:bookmarkStart w:id="99" w:name="_Toc3908442"/>
      <w:bookmarkEnd w:id="99"/>
    </w:p>
    <w:p w14:paraId="0C168C1B">
      <w:pPr>
        <w:keepNext w:val="0"/>
        <w:keepLines w:val="0"/>
        <w:widowControl w:val="0"/>
        <w:suppressLineNumbers w:val="0"/>
        <w:spacing w:before="0" w:beforeAutospacing="0" w:after="0" w:afterAutospacing="0" w:line="480" w:lineRule="auto"/>
        <w:ind w:left="0" w:right="0"/>
        <w:jc w:val="center"/>
        <w:rPr>
          <w:rFonts w:hint="eastAsia" w:ascii="华文中宋" w:hAnsi="华文中宋" w:eastAsia="华文中宋" w:cs="华文中宋"/>
          <w:b/>
          <w:bCs w:val="0"/>
          <w:color w:val="auto"/>
          <w:spacing w:val="-20"/>
          <w:kern w:val="0"/>
          <w:sz w:val="44"/>
          <w:szCs w:val="44"/>
          <w:highlight w:val="none"/>
          <w:u w:val="single"/>
        </w:rPr>
      </w:pPr>
      <w:bookmarkStart w:id="100" w:name="_Toc122759216"/>
      <w:bookmarkEnd w:id="100"/>
      <w:bookmarkStart w:id="101" w:name="OLE_LINK4"/>
      <w:bookmarkEnd w:id="101"/>
      <w:bookmarkStart w:id="102" w:name="_Toc518402644"/>
      <w:bookmarkEnd w:id="102"/>
      <w:bookmarkStart w:id="103" w:name="_Toc115711031"/>
      <w:bookmarkEnd w:id="103"/>
      <w:bookmarkStart w:id="104" w:name="_Toc132199656"/>
      <w:bookmarkEnd w:id="104"/>
      <w:bookmarkStart w:id="105" w:name="_Toc518402643"/>
      <w:bookmarkEnd w:id="105"/>
      <w:bookmarkStart w:id="106" w:name="_Toc132199654"/>
      <w:bookmarkEnd w:id="106"/>
      <w:r>
        <w:rPr>
          <w:rFonts w:hint="eastAsia" w:ascii="华文中宋" w:hAnsi="华文中宋" w:eastAsia="华文中宋" w:cs="华文中宋"/>
          <w:b/>
          <w:bCs w:val="0"/>
          <w:color w:val="auto"/>
          <w:spacing w:val="-20"/>
          <w:sz w:val="44"/>
          <w:szCs w:val="44"/>
          <w:highlight w:val="none"/>
          <w:u w:val="single"/>
          <w:lang w:val="en-US" w:eastAsia="zh-CN" w:bidi="ar"/>
        </w:rPr>
        <w:t>第十五届全运会广东奥林匹克体育中心升级改</w:t>
      </w:r>
      <w:r>
        <w:rPr>
          <w:rFonts w:ascii="宋体" w:hAnsi="宋体" w:eastAsia="宋体" w:cs="宋体"/>
          <w:color w:val="auto"/>
          <w:sz w:val="24"/>
          <w:szCs w:val="24"/>
          <w:highlight w:val="none"/>
          <w:lang w:eastAsia="zh-CN"/>
        </w:rPr>
        <w:t xml:space="preserve"> </w:t>
      </w:r>
      <w:r>
        <w:rPr>
          <w:rFonts w:hint="eastAsia" w:ascii="华文中宋" w:hAnsi="华文中宋" w:eastAsia="华文中宋" w:cs="华文中宋"/>
          <w:b/>
          <w:bCs w:val="0"/>
          <w:color w:val="auto"/>
          <w:spacing w:val="-20"/>
          <w:kern w:val="0"/>
          <w:sz w:val="44"/>
          <w:szCs w:val="44"/>
          <w:highlight w:val="none"/>
          <w:u w:val="single"/>
          <w:lang w:val="en-US" w:eastAsia="zh-CN" w:bidi="ar"/>
        </w:rPr>
        <w:t>造项目、第十五届全运会广东省人民体育场改造项目体育工艺（设备类）</w:t>
      </w:r>
    </w:p>
    <w:p w14:paraId="55E876F4">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华文中宋" w:hAnsi="华文中宋" w:eastAsia="华文中宋" w:cs="华文中宋"/>
          <w:b/>
          <w:bCs w:val="0"/>
          <w:color w:val="auto"/>
          <w:spacing w:val="-20"/>
          <w:kern w:val="0"/>
          <w:sz w:val="44"/>
          <w:szCs w:val="44"/>
          <w:highlight w:val="none"/>
        </w:rPr>
      </w:pPr>
      <w:r>
        <w:rPr>
          <w:rFonts w:hint="eastAsia" w:ascii="华文中宋" w:hAnsi="华文中宋" w:eastAsia="华文中宋" w:cs="华文中宋"/>
          <w:b/>
          <w:bCs w:val="0"/>
          <w:color w:val="auto"/>
          <w:spacing w:val="-20"/>
          <w:kern w:val="0"/>
          <w:sz w:val="44"/>
          <w:szCs w:val="44"/>
          <w:highlight w:val="none"/>
          <w:lang w:val="en-US" w:eastAsia="zh-CN" w:bidi="ar"/>
        </w:rPr>
        <w:t xml:space="preserve"> </w:t>
      </w:r>
    </w:p>
    <w:p w14:paraId="39C2521E">
      <w:pPr>
        <w:keepNext w:val="0"/>
        <w:keepLines w:val="0"/>
        <w:widowControl w:val="0"/>
        <w:suppressLineNumbers w:val="0"/>
        <w:adjustRightInd w:val="0"/>
        <w:snapToGrid w:val="0"/>
        <w:spacing w:before="0" w:beforeAutospacing="0" w:after="0" w:afterAutospacing="0" w:line="360" w:lineRule="auto"/>
        <w:ind w:left="0" w:right="0"/>
        <w:jc w:val="center"/>
        <w:outlineLvl w:val="0"/>
        <w:rPr>
          <w:rFonts w:hint="eastAsia" w:ascii="华文中宋" w:hAnsi="华文中宋" w:eastAsia="华文中宋" w:cs="Times New Roman"/>
          <w:b/>
          <w:bCs w:val="0"/>
          <w:color w:val="auto"/>
          <w:spacing w:val="-20"/>
          <w:kern w:val="0"/>
          <w:sz w:val="84"/>
          <w:szCs w:val="84"/>
          <w:highlight w:val="none"/>
        </w:rPr>
      </w:pPr>
      <w:r>
        <w:rPr>
          <w:rFonts w:hint="eastAsia" w:ascii="华文中宋" w:hAnsi="华文中宋" w:eastAsia="华文中宋" w:cs="华文中宋"/>
          <w:b/>
          <w:bCs w:val="0"/>
          <w:color w:val="auto"/>
          <w:spacing w:val="-20"/>
          <w:kern w:val="0"/>
          <w:sz w:val="84"/>
          <w:szCs w:val="84"/>
          <w:highlight w:val="none"/>
          <w:lang w:val="en-US" w:eastAsia="zh-CN" w:bidi="ar"/>
        </w:rPr>
        <w:t>采购及相关服务合同</w:t>
      </w:r>
    </w:p>
    <w:p w14:paraId="363ADF24">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合同编号：</w:t>
      </w:r>
    </w:p>
    <w:p w14:paraId="4144551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7D9D8B9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7B1D1AB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1D47F60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0FD93F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298127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CECB3F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EA2611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F3DD5E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1226608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235DFC0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40C5852">
      <w:pPr>
        <w:keepNext w:val="0"/>
        <w:keepLines w:val="0"/>
        <w:widowControl w:val="0"/>
        <w:suppressLineNumbers w:val="0"/>
        <w:adjustRightInd w:val="0"/>
        <w:snapToGrid w:val="0"/>
        <w:spacing w:before="0" w:beforeAutospacing="0" w:after="0" w:afterAutospacing="0" w:line="360" w:lineRule="auto"/>
        <w:ind w:left="0" w:right="0" w:firstLine="900" w:firstLineChars="280"/>
        <w:jc w:val="both"/>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bidi="ar"/>
        </w:rPr>
        <w:t>发包人：广州市重点公共建设项目管理中心</w:t>
      </w:r>
    </w:p>
    <w:p w14:paraId="305D2ABD">
      <w:pPr>
        <w:keepNext w:val="0"/>
        <w:keepLines w:val="0"/>
        <w:widowControl w:val="0"/>
        <w:suppressLineNumbers w:val="0"/>
        <w:adjustRightInd w:val="0"/>
        <w:snapToGrid w:val="0"/>
        <w:spacing w:before="0" w:beforeAutospacing="0" w:after="0" w:afterAutospacing="0" w:line="360" w:lineRule="auto"/>
        <w:ind w:left="0" w:right="0" w:firstLine="900" w:firstLineChars="280"/>
        <w:jc w:val="both"/>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bidi="ar"/>
        </w:rPr>
        <w:t>承包人：中标赞助企业</w:t>
      </w:r>
    </w:p>
    <w:p w14:paraId="362A3A6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br w:type="page"/>
      </w:r>
    </w:p>
    <w:p w14:paraId="462BE8D6">
      <w:pPr>
        <w:keepNext w:val="0"/>
        <w:keepLines w:val="0"/>
        <w:widowControl w:val="0"/>
        <w:suppressLineNumbers w:val="0"/>
        <w:adjustRightInd w:val="0"/>
        <w:snapToGrid w:val="0"/>
        <w:spacing w:before="0" w:beforeAutospacing="0" w:after="0" w:afterAutospacing="0" w:line="360" w:lineRule="auto"/>
        <w:ind w:left="0" w:right="0"/>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val="en-US" w:eastAsia="zh-CN" w:bidi="ar"/>
        </w:rPr>
        <w:t>目  录</w:t>
      </w:r>
    </w:p>
    <w:p w14:paraId="07D9C534">
      <w:pPr>
        <w:keepNext w:val="0"/>
        <w:keepLines w:val="0"/>
        <w:widowControl w:val="0"/>
        <w:suppressLineNumbers w:val="0"/>
        <w:adjustRightInd w:val="0"/>
        <w:snapToGrid w:val="0"/>
        <w:spacing w:before="0" w:beforeAutospacing="0" w:after="0" w:afterAutospacing="0" w:line="360" w:lineRule="auto"/>
        <w:ind w:left="0" w:right="0"/>
        <w:jc w:val="distribute"/>
        <w:rPr>
          <w:rFonts w:hint="eastAsia" w:ascii="宋体" w:hAnsi="宋体" w:eastAsia="宋体" w:cs="宋体"/>
          <w:bCs/>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第一篇  合同协议书</w:t>
      </w:r>
      <w:r>
        <w:rPr>
          <w:rFonts w:hint="eastAsia" w:ascii="宋体" w:hAnsi="宋体" w:eastAsia="宋体" w:cs="宋体"/>
          <w:bCs/>
          <w:color w:val="auto"/>
          <w:kern w:val="0"/>
          <w:sz w:val="24"/>
          <w:szCs w:val="24"/>
          <w:highlight w:val="none"/>
          <w:lang w:val="en-US" w:eastAsia="zh-CN" w:bidi="ar"/>
        </w:rPr>
        <w:t>………………………………………………………………</w:t>
      </w:r>
    </w:p>
    <w:p w14:paraId="74AA36D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合同协议书附1：中标通知书</w:t>
      </w:r>
    </w:p>
    <w:p w14:paraId="77AE664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合同协议书附2：招标答疑及澄清文件</w:t>
      </w:r>
    </w:p>
    <w:p w14:paraId="744C5D4E">
      <w:pPr>
        <w:keepNext w:val="0"/>
        <w:keepLines w:val="0"/>
        <w:widowControl w:val="0"/>
        <w:suppressLineNumbers w:val="0"/>
        <w:adjustRightInd w:val="0"/>
        <w:snapToGrid w:val="0"/>
        <w:spacing w:before="0" w:beforeAutospacing="0" w:after="0" w:afterAutospacing="0" w:line="360" w:lineRule="auto"/>
        <w:ind w:left="0" w:right="0"/>
        <w:jc w:val="distribute"/>
        <w:rPr>
          <w:rFonts w:hint="eastAsia" w:ascii="宋体" w:hAnsi="宋体" w:eastAsia="宋体" w:cs="宋体"/>
          <w:bCs/>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第二篇  合同专用条款</w:t>
      </w:r>
      <w:r>
        <w:rPr>
          <w:rFonts w:hint="eastAsia" w:ascii="宋体" w:hAnsi="宋体" w:eastAsia="宋体" w:cs="宋体"/>
          <w:bCs/>
          <w:color w:val="auto"/>
          <w:kern w:val="0"/>
          <w:sz w:val="24"/>
          <w:szCs w:val="24"/>
          <w:highlight w:val="none"/>
          <w:lang w:val="en-US" w:eastAsia="zh-CN" w:bidi="ar"/>
        </w:rPr>
        <w:t>……………………………………………………………</w:t>
      </w:r>
    </w:p>
    <w:p w14:paraId="4A97D0E4">
      <w:pPr>
        <w:keepNext w:val="0"/>
        <w:keepLines w:val="0"/>
        <w:widowControl w:val="0"/>
        <w:suppressLineNumbers w:val="0"/>
        <w:adjustRightInd w:val="0"/>
        <w:snapToGrid w:val="0"/>
        <w:spacing w:before="0" w:beforeAutospacing="0" w:after="0" w:afterAutospacing="0" w:line="360" w:lineRule="auto"/>
        <w:ind w:left="0" w:right="0" w:firstLine="480" w:firstLineChars="200"/>
        <w:jc w:val="distribut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总则……………………………………………………………………………</w:t>
      </w:r>
    </w:p>
    <w:p w14:paraId="3FC08ADB">
      <w:pPr>
        <w:keepNext w:val="0"/>
        <w:keepLines w:val="0"/>
        <w:widowControl w:val="0"/>
        <w:suppressLineNumbers w:val="0"/>
        <w:adjustRightInd w:val="0"/>
        <w:snapToGrid w:val="0"/>
        <w:spacing w:before="0" w:beforeAutospacing="0" w:after="0" w:afterAutospacing="0" w:line="360" w:lineRule="auto"/>
        <w:ind w:left="0" w:right="0" w:firstLine="480" w:firstLineChars="200"/>
        <w:jc w:val="distribut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一、词语定义及合同文件………………………………………………………</w:t>
      </w:r>
    </w:p>
    <w:p w14:paraId="38D1BC99">
      <w:pPr>
        <w:keepNext w:val="0"/>
        <w:keepLines w:val="0"/>
        <w:widowControl w:val="0"/>
        <w:suppressLineNumbers w:val="0"/>
        <w:adjustRightInd w:val="0"/>
        <w:snapToGrid w:val="0"/>
        <w:spacing w:before="0" w:beforeAutospacing="0" w:after="0" w:afterAutospacing="0" w:line="360" w:lineRule="auto"/>
        <w:ind w:left="0" w:right="0" w:firstLine="480" w:firstLineChars="200"/>
        <w:jc w:val="distribut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二、双方一般权利和义务………………………………………………………</w:t>
      </w:r>
    </w:p>
    <w:p w14:paraId="336E641A">
      <w:pPr>
        <w:keepNext w:val="0"/>
        <w:keepLines w:val="0"/>
        <w:widowControl w:val="0"/>
        <w:suppressLineNumbers w:val="0"/>
        <w:adjustRightInd w:val="0"/>
        <w:snapToGrid w:val="0"/>
        <w:spacing w:before="0" w:beforeAutospacing="0" w:after="0" w:afterAutospacing="0" w:line="360" w:lineRule="auto"/>
        <w:ind w:left="0" w:right="0" w:firstLine="480" w:firstLineChars="200"/>
        <w:jc w:val="distribut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三、施工组织设计和工期………………………………………………………</w:t>
      </w:r>
    </w:p>
    <w:p w14:paraId="6BAD51A7">
      <w:pPr>
        <w:keepNext w:val="0"/>
        <w:keepLines w:val="0"/>
        <w:widowControl w:val="0"/>
        <w:suppressLineNumbers w:val="0"/>
        <w:adjustRightInd w:val="0"/>
        <w:snapToGrid w:val="0"/>
        <w:spacing w:before="0" w:beforeAutospacing="0" w:after="0" w:afterAutospacing="0" w:line="360" w:lineRule="auto"/>
        <w:ind w:left="0" w:right="0" w:firstLine="480" w:firstLineChars="200"/>
        <w:jc w:val="distribut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四、质量与检验…………………………………………………………………</w:t>
      </w:r>
    </w:p>
    <w:p w14:paraId="7967354B">
      <w:pPr>
        <w:keepNext w:val="0"/>
        <w:keepLines w:val="0"/>
        <w:widowControl w:val="0"/>
        <w:suppressLineNumbers w:val="0"/>
        <w:adjustRightInd w:val="0"/>
        <w:snapToGrid w:val="0"/>
        <w:spacing w:before="0" w:beforeAutospacing="0" w:after="0" w:afterAutospacing="0" w:line="360" w:lineRule="auto"/>
        <w:ind w:left="0" w:right="0" w:firstLine="480" w:firstLineChars="200"/>
        <w:jc w:val="distribut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五、安全文明施工………………………………………………………………</w:t>
      </w:r>
    </w:p>
    <w:p w14:paraId="1F4BA801">
      <w:pPr>
        <w:keepNext w:val="0"/>
        <w:keepLines w:val="0"/>
        <w:widowControl w:val="0"/>
        <w:suppressLineNumbers w:val="0"/>
        <w:adjustRightInd w:val="0"/>
        <w:snapToGrid w:val="0"/>
        <w:spacing w:before="0" w:beforeAutospacing="0" w:after="0" w:afterAutospacing="0" w:line="360" w:lineRule="auto"/>
        <w:ind w:left="0" w:right="0" w:firstLine="480" w:firstLineChars="200"/>
        <w:jc w:val="distribut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六、合同价款与支付……………………………………………………………</w:t>
      </w:r>
    </w:p>
    <w:p w14:paraId="674415A8">
      <w:pPr>
        <w:keepNext w:val="0"/>
        <w:keepLines w:val="0"/>
        <w:widowControl w:val="0"/>
        <w:suppressLineNumbers w:val="0"/>
        <w:adjustRightInd w:val="0"/>
        <w:snapToGrid w:val="0"/>
        <w:spacing w:before="0" w:beforeAutospacing="0" w:after="0" w:afterAutospacing="0" w:line="360" w:lineRule="auto"/>
        <w:ind w:left="0" w:right="0" w:firstLine="480" w:firstLineChars="200"/>
        <w:jc w:val="distribut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七、材料设备供应………………………………………………………………</w:t>
      </w:r>
    </w:p>
    <w:p w14:paraId="0FC6A242">
      <w:pPr>
        <w:keepNext w:val="0"/>
        <w:keepLines w:val="0"/>
        <w:widowControl w:val="0"/>
        <w:suppressLineNumbers w:val="0"/>
        <w:adjustRightInd w:val="0"/>
        <w:snapToGrid w:val="0"/>
        <w:spacing w:before="0" w:beforeAutospacing="0" w:after="0" w:afterAutospacing="0" w:line="360" w:lineRule="auto"/>
        <w:ind w:left="0" w:right="0" w:firstLine="480" w:firstLineChars="200"/>
        <w:jc w:val="distribut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八、工程变更……………………………………………………………………</w:t>
      </w:r>
    </w:p>
    <w:p w14:paraId="48CBAF97">
      <w:pPr>
        <w:keepNext w:val="0"/>
        <w:keepLines w:val="0"/>
        <w:widowControl w:val="0"/>
        <w:suppressLineNumbers w:val="0"/>
        <w:adjustRightInd w:val="0"/>
        <w:snapToGrid w:val="0"/>
        <w:spacing w:before="0" w:beforeAutospacing="0" w:after="0" w:afterAutospacing="0" w:line="360" w:lineRule="auto"/>
        <w:ind w:left="0" w:right="0" w:firstLine="480" w:firstLineChars="200"/>
        <w:jc w:val="distribut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九、竣工验收与结算……………………………………………………………</w:t>
      </w:r>
    </w:p>
    <w:p w14:paraId="5F819371">
      <w:pPr>
        <w:keepNext w:val="0"/>
        <w:keepLines w:val="0"/>
        <w:widowControl w:val="0"/>
        <w:suppressLineNumbers w:val="0"/>
        <w:adjustRightInd w:val="0"/>
        <w:snapToGrid w:val="0"/>
        <w:spacing w:before="0" w:beforeAutospacing="0" w:after="0" w:afterAutospacing="0" w:line="360" w:lineRule="auto"/>
        <w:ind w:left="0" w:right="0" w:firstLine="480" w:firstLineChars="200"/>
        <w:jc w:val="distribut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十、违约、索赔和争议…………………………………………………………</w:t>
      </w:r>
    </w:p>
    <w:p w14:paraId="40394BAA">
      <w:pPr>
        <w:keepNext w:val="0"/>
        <w:keepLines w:val="0"/>
        <w:widowControl w:val="0"/>
        <w:suppressLineNumbers w:val="0"/>
        <w:adjustRightInd w:val="0"/>
        <w:snapToGrid w:val="0"/>
        <w:spacing w:before="0" w:beforeAutospacing="0" w:after="0" w:afterAutospacing="0" w:line="360" w:lineRule="auto"/>
        <w:ind w:left="0" w:right="0" w:firstLine="480" w:firstLineChars="200"/>
        <w:jc w:val="distribute"/>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十一、其他……………………………………………………………………</w:t>
      </w:r>
    </w:p>
    <w:p w14:paraId="4DC99F69">
      <w:pPr>
        <w:keepNext w:val="0"/>
        <w:keepLines w:val="0"/>
        <w:widowControl w:val="0"/>
        <w:suppressLineNumbers w:val="0"/>
        <w:adjustRightInd w:val="0"/>
        <w:snapToGrid w:val="0"/>
        <w:spacing w:before="0" w:beforeAutospacing="0" w:after="0" w:afterAutospacing="0" w:line="360" w:lineRule="auto"/>
        <w:ind w:left="0" w:right="0"/>
        <w:jc w:val="distribute"/>
        <w:rPr>
          <w:rFonts w:hint="eastAsia" w:ascii="宋体" w:hAnsi="宋体" w:eastAsia="宋体" w:cs="宋体"/>
          <w:bCs/>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第三篇  合同通用条款</w:t>
      </w:r>
      <w:r>
        <w:rPr>
          <w:rFonts w:hint="eastAsia" w:ascii="宋体" w:hAnsi="宋体" w:eastAsia="宋体" w:cs="宋体"/>
          <w:bCs/>
          <w:color w:val="auto"/>
          <w:kern w:val="0"/>
          <w:sz w:val="24"/>
          <w:szCs w:val="24"/>
          <w:highlight w:val="none"/>
          <w:lang w:val="en-US" w:eastAsia="zh-CN" w:bidi="ar"/>
        </w:rPr>
        <w:t>……………………………………………………………</w:t>
      </w:r>
    </w:p>
    <w:p w14:paraId="0625723D">
      <w:pPr>
        <w:keepNext w:val="0"/>
        <w:keepLines w:val="0"/>
        <w:widowControl w:val="0"/>
        <w:suppressLineNumbers w:val="0"/>
        <w:adjustRightInd w:val="0"/>
        <w:snapToGrid w:val="0"/>
        <w:spacing w:before="0" w:beforeAutospacing="0" w:after="0" w:afterAutospacing="0" w:line="360" w:lineRule="auto"/>
        <w:ind w:left="0" w:right="0"/>
        <w:jc w:val="distribute"/>
        <w:rPr>
          <w:rFonts w:hint="eastAsia" w:ascii="宋体" w:hAnsi="宋体" w:eastAsia="宋体" w:cs="宋体"/>
          <w:bCs/>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第四篇  合同附件</w:t>
      </w:r>
      <w:r>
        <w:rPr>
          <w:rFonts w:hint="eastAsia" w:ascii="宋体" w:hAnsi="宋体" w:eastAsia="宋体" w:cs="宋体"/>
          <w:bCs/>
          <w:color w:val="auto"/>
          <w:kern w:val="0"/>
          <w:sz w:val="24"/>
          <w:szCs w:val="24"/>
          <w:highlight w:val="none"/>
          <w:lang w:val="en-US" w:eastAsia="zh-CN" w:bidi="ar"/>
        </w:rPr>
        <w:t>…………………………………………………………………</w:t>
      </w:r>
    </w:p>
    <w:p w14:paraId="0686643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附件1：工程质量保修书</w:t>
      </w:r>
    </w:p>
    <w:p w14:paraId="2FAFEEE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附件2：工程建设廉洁协议书</w:t>
      </w:r>
    </w:p>
    <w:p w14:paraId="5BF72A3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附件3：安全生产合同</w:t>
      </w:r>
    </w:p>
    <w:p w14:paraId="30A8FF5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附件4：广州市重点公共建设项目管理中心建设资金拨付监督管理办法（修订）</w:t>
      </w:r>
    </w:p>
    <w:p w14:paraId="742361C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附件5：</w:t>
      </w:r>
      <w:r>
        <w:rPr>
          <w:rFonts w:hint="eastAsia" w:ascii="宋体" w:hAnsi="宋体" w:eastAsia="宋体" w:cs="宋体"/>
          <w:color w:val="auto"/>
          <w:kern w:val="0"/>
          <w:sz w:val="24"/>
          <w:szCs w:val="24"/>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color w:val="auto"/>
          <w:kern w:val="0"/>
          <w:sz w:val="24"/>
          <w:szCs w:val="24"/>
          <w:highlight w:val="none"/>
          <w:lang w:val="en-US" w:eastAsia="zh-CN" w:bidi="ar"/>
        </w:rPr>
        <w:t>工程结算工作协议书（格式）</w:t>
      </w:r>
    </w:p>
    <w:p w14:paraId="6282810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附件6：</w:t>
      </w:r>
      <w:r>
        <w:rPr>
          <w:rFonts w:hint="eastAsia" w:ascii="宋体" w:hAnsi="宋体" w:eastAsia="宋体" w:cs="宋体"/>
          <w:color w:val="auto"/>
          <w:kern w:val="0"/>
          <w:sz w:val="24"/>
          <w:szCs w:val="24"/>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bCs/>
          <w:color w:val="auto"/>
          <w:kern w:val="0"/>
          <w:sz w:val="24"/>
          <w:szCs w:val="24"/>
          <w:highlight w:val="none"/>
          <w:lang w:val="en-US" w:eastAsia="zh-CN" w:bidi="ar"/>
        </w:rPr>
        <w:t>项目使用维护管理责任主体转移三方协议</w:t>
      </w:r>
      <w:r>
        <w:rPr>
          <w:rFonts w:hint="eastAsia" w:ascii="宋体" w:hAnsi="宋体" w:eastAsia="宋体" w:cs="宋体"/>
          <w:color w:val="auto"/>
          <w:kern w:val="0"/>
          <w:sz w:val="24"/>
          <w:szCs w:val="24"/>
          <w:highlight w:val="none"/>
          <w:lang w:val="en-US" w:eastAsia="zh-CN" w:bidi="ar"/>
        </w:rPr>
        <w:t>（格式）</w:t>
      </w:r>
    </w:p>
    <w:p w14:paraId="3D62E84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附件7：承包人履约担保（格式）及承诺书</w:t>
      </w:r>
    </w:p>
    <w:p w14:paraId="16F6C76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附件8：广州市重点公共建设项目管理中心项目建设资金监督管理协议及授权书（格式）</w:t>
      </w:r>
    </w:p>
    <w:p w14:paraId="6364D4B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附件9：广州市重点公共建设项目管理中心建设工程管理制度汇编（另册）</w:t>
      </w:r>
    </w:p>
    <w:p w14:paraId="5BA290C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附件10：广州市重点公共建设项目管理中心建设项目环境管理文明施工标准（另册）</w:t>
      </w:r>
    </w:p>
    <w:p w14:paraId="72A4638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附件11：广州市重点公共建设项目管理中心施工单位安全生产管理目标责任书</w:t>
      </w:r>
    </w:p>
    <w:p w14:paraId="31483BE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附件12：承包人法定代表人、项目经理（项目负责人）的身份证、职务、职称及通信联系方式</w:t>
      </w:r>
    </w:p>
    <w:p w14:paraId="2A69CB3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附件13：工程质量终身责任承诺书（含法定代表人授权书）</w:t>
      </w:r>
    </w:p>
    <w:p w14:paraId="0C4130B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bCs/>
          <w:color w:val="auto"/>
          <w:kern w:val="0"/>
          <w:sz w:val="24"/>
          <w:szCs w:val="24"/>
          <w:highlight w:val="none"/>
          <w:lang w:val="en-US" w:eastAsia="zh-CN" w:bidi="ar"/>
        </w:rPr>
        <w:t>附件14：</w:t>
      </w:r>
      <w:r>
        <w:rPr>
          <w:rFonts w:hint="eastAsia" w:ascii="宋体" w:hAnsi="宋体" w:eastAsia="宋体" w:cs="宋体"/>
          <w:color w:val="auto"/>
          <w:kern w:val="0"/>
          <w:sz w:val="24"/>
          <w:szCs w:val="24"/>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color w:val="auto"/>
          <w:kern w:val="2"/>
          <w:sz w:val="24"/>
          <w:szCs w:val="24"/>
          <w:highlight w:val="none"/>
          <w:lang w:val="en-US" w:eastAsia="zh-CN" w:bidi="ar"/>
        </w:rPr>
        <w:t>工程突发事件应急协议</w:t>
      </w:r>
    </w:p>
    <w:p w14:paraId="76E0746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附件15：</w:t>
      </w:r>
      <w:r>
        <w:rPr>
          <w:rFonts w:hint="eastAsia" w:ascii="宋体" w:hAnsi="宋体" w:eastAsia="宋体" w:cs="宋体"/>
          <w:color w:val="auto"/>
          <w:kern w:val="0"/>
          <w:sz w:val="24"/>
          <w:szCs w:val="24"/>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color w:val="auto"/>
          <w:kern w:val="2"/>
          <w:sz w:val="24"/>
          <w:szCs w:val="24"/>
          <w:highlight w:val="none"/>
          <w:lang w:val="en-US" w:eastAsia="zh-CN" w:bidi="ar"/>
        </w:rPr>
        <w:t>工程施工总承包管理协议书（格式）</w:t>
      </w:r>
    </w:p>
    <w:p w14:paraId="21B8B50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附件16：</w:t>
      </w:r>
      <w:r>
        <w:rPr>
          <w:rFonts w:hint="eastAsia" w:ascii="宋体" w:hAnsi="宋体" w:eastAsia="宋体" w:cs="宋体"/>
          <w:color w:val="auto"/>
          <w:kern w:val="0"/>
          <w:sz w:val="24"/>
          <w:szCs w:val="24"/>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color w:val="auto"/>
          <w:kern w:val="2"/>
          <w:sz w:val="24"/>
          <w:szCs w:val="24"/>
          <w:highlight w:val="none"/>
          <w:lang w:val="en-US" w:eastAsia="zh-CN" w:bidi="ar"/>
        </w:rPr>
        <w:t>工程施工组织架构图及投入主要人员汇总表（复印件）</w:t>
      </w:r>
    </w:p>
    <w:p w14:paraId="1064A8F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附件17：工程工人工资委托代发协议书（格式）</w:t>
      </w:r>
    </w:p>
    <w:p w14:paraId="283C886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附件18：质保期银行履约保函（格式）</w:t>
      </w:r>
    </w:p>
    <w:p w14:paraId="02C97FC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附件19：本项目《建设资金支付协议》</w:t>
      </w:r>
    </w:p>
    <w:p w14:paraId="2367160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附件20：《赞助协议》及赞助承诺函</w:t>
      </w:r>
    </w:p>
    <w:p w14:paraId="376022C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附件21：承包人营业执照（复印件）</w:t>
      </w:r>
    </w:p>
    <w:p w14:paraId="25804F4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3E330866">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lang w:val="en-US" w:eastAsia="zh-CN" w:bidi="ar"/>
        </w:rPr>
        <w:br w:type="page"/>
      </w:r>
    </w:p>
    <w:p w14:paraId="7FA0825E">
      <w:pPr>
        <w:keepNext w:val="0"/>
        <w:keepLines w:val="0"/>
        <w:widowControl w:val="0"/>
        <w:suppressLineNumbers w:val="0"/>
        <w:adjustRightInd w:val="0"/>
        <w:snapToGrid w:val="0"/>
        <w:spacing w:before="0" w:beforeAutospacing="0" w:after="0" w:afterAutospacing="0" w:line="360" w:lineRule="auto"/>
        <w:ind w:left="0" w:right="0"/>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val="en-US" w:eastAsia="zh-CN" w:bidi="ar"/>
        </w:rPr>
        <w:t>第一篇  合同协议书</w:t>
      </w:r>
    </w:p>
    <w:p w14:paraId="436FEE51">
      <w:pPr>
        <w:keepNext w:val="0"/>
        <w:keepLines w:val="0"/>
        <w:widowControl w:val="0"/>
        <w:suppressLineNumbers w:val="0"/>
        <w:spacing w:before="0" w:beforeAutospacing="0" w:after="0" w:afterAutospacing="0" w:line="360" w:lineRule="auto"/>
        <w:ind w:left="0" w:right="0" w:firstLine="482"/>
        <w:jc w:val="left"/>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广州市重点公共建设项目管理中心</w:t>
      </w:r>
      <w:r>
        <w:rPr>
          <w:rFonts w:hint="eastAsia" w:ascii="宋体" w:hAnsi="宋体" w:eastAsia="宋体" w:cs="宋体"/>
          <w:color w:val="auto"/>
          <w:kern w:val="0"/>
          <w:sz w:val="24"/>
          <w:szCs w:val="24"/>
          <w:highlight w:val="none"/>
          <w:lang w:val="en-US" w:eastAsia="zh-CN" w:bidi="ar"/>
        </w:rPr>
        <w:t>（以下称发包人）与</w:t>
      </w:r>
      <w:r>
        <w:rPr>
          <w:rFonts w:hint="eastAsia" w:ascii="宋体" w:hAnsi="宋体" w:eastAsia="宋体" w:cs="宋体"/>
          <w:bCs/>
          <w:color w:val="auto"/>
          <w:kern w:val="2"/>
          <w:sz w:val="24"/>
          <w:szCs w:val="24"/>
          <w:highlight w:val="none"/>
          <w:u w:val="single"/>
          <w:lang w:val="en-US" w:eastAsia="zh-CN" w:bidi="ar"/>
        </w:rPr>
        <w:t>中标赞助企业</w:t>
      </w:r>
      <w:r>
        <w:rPr>
          <w:rFonts w:hint="eastAsia" w:ascii="宋体" w:hAnsi="宋体" w:eastAsia="宋体" w:cs="宋体"/>
          <w:color w:val="auto"/>
          <w:kern w:val="0"/>
          <w:sz w:val="24"/>
          <w:szCs w:val="24"/>
          <w:highlight w:val="none"/>
          <w:lang w:val="en-US" w:eastAsia="zh-CN" w:bidi="ar"/>
        </w:rPr>
        <w:t>（以下称承包人）依照《中华人民共和国民法典》、《中华人民共和国建筑法》、《中华人民共和国招标投标法》及其他有关法律、行政法规、部门规章、地方性法规和规章，遵循平等、自愿、公平和诚实信用的原则，就</w:t>
      </w:r>
      <w:r>
        <w:rPr>
          <w:rFonts w:hint="eastAsia" w:ascii="宋体" w:hAnsi="宋体" w:eastAsia="宋体" w:cs="宋体"/>
          <w:color w:val="auto"/>
          <w:kern w:val="2"/>
          <w:sz w:val="24"/>
          <w:szCs w:val="24"/>
          <w:highlight w:val="none"/>
          <w:u w:val="single"/>
          <w:lang w:val="en-US" w:eastAsia="zh-CN" w:bidi="ar"/>
        </w:rPr>
        <w:t>第十五届全运会广东奥林匹克体育中心升级改造项目、第十五届全运会广东省人民体育场改造项目</w:t>
      </w:r>
      <w:r>
        <w:rPr>
          <w:rFonts w:hint="default" w:ascii="宋体" w:hAnsi="宋体" w:eastAsia="宋体" w:cs="宋体"/>
          <w:color w:val="auto"/>
          <w:kern w:val="2"/>
          <w:sz w:val="24"/>
          <w:szCs w:val="24"/>
          <w:highlight w:val="none"/>
          <w:u w:val="single"/>
          <w:lang w:eastAsia="zh-CN" w:bidi="ar"/>
        </w:rPr>
        <w:t>（以下称本项目）</w:t>
      </w:r>
      <w:r>
        <w:rPr>
          <w:rFonts w:hint="eastAsia" w:ascii="宋体" w:hAnsi="宋体" w:eastAsia="宋体" w:cs="宋体"/>
          <w:color w:val="auto"/>
          <w:kern w:val="2"/>
          <w:sz w:val="24"/>
          <w:szCs w:val="24"/>
          <w:highlight w:val="none"/>
          <w:u w:val="single"/>
          <w:lang w:val="en-US" w:eastAsia="zh-CN" w:bidi="ar"/>
        </w:rPr>
        <w:t>体育工艺（设备类）采购及相关服务</w:t>
      </w:r>
      <w:r>
        <w:rPr>
          <w:rFonts w:hint="eastAsia" w:ascii="宋体" w:hAnsi="宋体" w:eastAsia="宋体" w:cs="宋体"/>
          <w:color w:val="auto"/>
          <w:kern w:val="0"/>
          <w:sz w:val="24"/>
          <w:szCs w:val="24"/>
          <w:highlight w:val="none"/>
          <w:lang w:val="en-US" w:eastAsia="zh-CN" w:bidi="ar"/>
        </w:rPr>
        <w:t>事宜协商一致，订立本合同。</w:t>
      </w:r>
    </w:p>
    <w:p w14:paraId="451F3B7C">
      <w:pPr>
        <w:keepNext w:val="0"/>
        <w:keepLines w:val="0"/>
        <w:widowControl w:val="0"/>
        <w:suppressLineNumbers w:val="0"/>
        <w:spacing w:before="0" w:beforeAutospacing="0" w:after="0" w:afterAutospacing="0" w:line="360" w:lineRule="auto"/>
        <w:ind w:left="0" w:right="0" w:firstLine="482"/>
        <w:jc w:val="left"/>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1、工程概况</w:t>
      </w:r>
    </w:p>
    <w:p w14:paraId="22CC81D9">
      <w:pPr>
        <w:keepNext w:val="0"/>
        <w:keepLines w:val="0"/>
        <w:widowControl w:val="0"/>
        <w:suppressLineNumbers w:val="0"/>
        <w:spacing w:before="0" w:beforeAutospacing="0" w:after="0" w:afterAutospacing="0" w:line="360" w:lineRule="auto"/>
        <w:ind w:left="0" w:right="0" w:firstLine="48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（1）工程名称：</w:t>
      </w:r>
      <w:r>
        <w:rPr>
          <w:rFonts w:hint="eastAsia" w:ascii="宋体" w:hAnsi="宋体" w:eastAsia="宋体" w:cs="宋体"/>
          <w:color w:val="auto"/>
          <w:kern w:val="2"/>
          <w:sz w:val="24"/>
          <w:szCs w:val="24"/>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color w:val="auto"/>
          <w:kern w:val="0"/>
          <w:sz w:val="24"/>
          <w:szCs w:val="24"/>
          <w:highlight w:val="none"/>
          <w:lang w:val="en-US" w:eastAsia="zh-CN" w:bidi="ar"/>
        </w:rPr>
        <w:t>。</w:t>
      </w:r>
    </w:p>
    <w:p w14:paraId="7267AFCC">
      <w:pPr>
        <w:keepNext w:val="0"/>
        <w:keepLines w:val="0"/>
        <w:widowControl w:val="0"/>
        <w:suppressLineNumbers w:val="0"/>
        <w:spacing w:before="0" w:beforeAutospacing="0" w:after="0" w:afterAutospacing="0" w:line="360" w:lineRule="auto"/>
        <w:ind w:left="0" w:right="0" w:firstLine="48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（2）工程地点：</w:t>
      </w:r>
      <w:r>
        <w:rPr>
          <w:rFonts w:hint="eastAsia" w:ascii="宋体" w:hAnsi="宋体" w:eastAsia="宋体" w:cs="宋体"/>
          <w:color w:val="auto"/>
          <w:kern w:val="0"/>
          <w:sz w:val="24"/>
          <w:szCs w:val="24"/>
          <w:highlight w:val="none"/>
          <w:u w:val="single"/>
          <w:lang w:val="en-US" w:eastAsia="zh-CN" w:bidi="ar"/>
        </w:rPr>
        <w:t>广州市天河区、越秀区及</w:t>
      </w:r>
      <w:r>
        <w:rPr>
          <w:rFonts w:hint="default" w:ascii="宋体" w:hAnsi="宋体" w:eastAsia="宋体" w:cs="宋体"/>
          <w:color w:val="auto"/>
          <w:kern w:val="0"/>
          <w:sz w:val="24"/>
          <w:szCs w:val="24"/>
          <w:highlight w:val="none"/>
          <w:u w:val="single"/>
          <w:lang w:eastAsia="zh-CN" w:bidi="ar"/>
        </w:rPr>
        <w:t>发包</w:t>
      </w:r>
      <w:r>
        <w:rPr>
          <w:rFonts w:hint="eastAsia" w:ascii="宋体" w:hAnsi="宋体" w:eastAsia="宋体" w:cs="宋体"/>
          <w:color w:val="auto"/>
          <w:kern w:val="0"/>
          <w:sz w:val="24"/>
          <w:szCs w:val="24"/>
          <w:highlight w:val="none"/>
          <w:u w:val="single"/>
          <w:lang w:val="en-US" w:eastAsia="zh-CN" w:bidi="ar"/>
        </w:rPr>
        <w:t>人指定地点</w:t>
      </w:r>
      <w:r>
        <w:rPr>
          <w:rFonts w:hint="eastAsia" w:ascii="宋体" w:hAnsi="宋体" w:eastAsia="宋体" w:cs="宋体"/>
          <w:color w:val="auto"/>
          <w:kern w:val="2"/>
          <w:sz w:val="24"/>
          <w:szCs w:val="24"/>
          <w:highlight w:val="none"/>
          <w:lang w:val="en-US" w:eastAsia="zh-CN" w:bidi="ar"/>
        </w:rPr>
        <w:t>。</w:t>
      </w:r>
    </w:p>
    <w:p w14:paraId="1D49561E">
      <w:pPr>
        <w:keepNext w:val="0"/>
        <w:keepLines w:val="0"/>
        <w:widowControl w:val="0"/>
        <w:suppressLineNumbers w:val="0"/>
        <w:spacing w:before="0" w:beforeAutospacing="0" w:after="0" w:afterAutospacing="0" w:line="360" w:lineRule="auto"/>
        <w:ind w:left="0" w:right="0" w:firstLine="48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（3）工程立项批准文号：</w:t>
      </w:r>
      <w:r>
        <w:rPr>
          <w:rFonts w:hint="eastAsia" w:ascii="宋体" w:hAnsi="宋体" w:eastAsia="宋体" w:cs="宋体"/>
          <w:color w:val="auto"/>
          <w:kern w:val="0"/>
          <w:sz w:val="24"/>
          <w:szCs w:val="24"/>
          <w:highlight w:val="none"/>
          <w:u w:val="single"/>
          <w:lang w:val="en-US" w:eastAsia="zh-CN" w:bidi="ar"/>
        </w:rPr>
        <w:t>粤发改投审〔2024〕19号、粤发改投审〔2024〕18号</w:t>
      </w:r>
      <w:r>
        <w:rPr>
          <w:rFonts w:hint="eastAsia" w:ascii="宋体" w:hAnsi="宋体" w:eastAsia="宋体" w:cs="宋体"/>
          <w:color w:val="auto"/>
          <w:kern w:val="0"/>
          <w:sz w:val="24"/>
          <w:szCs w:val="24"/>
          <w:highlight w:val="none"/>
          <w:lang w:val="en-US" w:eastAsia="zh-CN" w:bidi="ar"/>
        </w:rPr>
        <w:t>。</w:t>
      </w:r>
    </w:p>
    <w:p w14:paraId="762F20CA">
      <w:pPr>
        <w:keepNext w:val="0"/>
        <w:keepLines w:val="0"/>
        <w:widowControl w:val="0"/>
        <w:suppressLineNumbers w:val="0"/>
        <w:spacing w:before="0" w:beforeAutospacing="0" w:after="0" w:afterAutospacing="0" w:line="360" w:lineRule="auto"/>
        <w:ind w:left="0" w:right="0" w:firstLine="482"/>
        <w:jc w:val="left"/>
        <w:rPr>
          <w:rFonts w:hint="eastAsia" w:ascii="宋体" w:hAnsi="宋体" w:eastAsia="宋体" w:cs="宋体"/>
          <w:b/>
          <w:bCs w:val="0"/>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（4）资金来源：</w:t>
      </w:r>
      <w:r>
        <w:rPr>
          <w:rFonts w:hint="eastAsia" w:ascii="宋体" w:hAnsi="宋体" w:eastAsia="宋体" w:cs="宋体"/>
          <w:color w:val="auto"/>
          <w:kern w:val="0"/>
          <w:sz w:val="24"/>
          <w:szCs w:val="24"/>
          <w:highlight w:val="none"/>
          <w:u w:val="single"/>
          <w:lang w:val="en-US" w:eastAsia="zh-CN" w:bidi="ar"/>
        </w:rPr>
        <w:t>财政资金</w:t>
      </w:r>
      <w:r>
        <w:rPr>
          <w:rFonts w:hint="eastAsia" w:ascii="宋体" w:hAnsi="宋体" w:eastAsia="宋体" w:cs="宋体"/>
          <w:color w:val="auto"/>
          <w:kern w:val="2"/>
          <w:sz w:val="24"/>
          <w:szCs w:val="24"/>
          <w:highlight w:val="none"/>
          <w:lang w:val="en-US" w:eastAsia="zh-CN" w:bidi="ar"/>
        </w:rPr>
        <w:t>。</w:t>
      </w:r>
    </w:p>
    <w:p w14:paraId="0276FBAA">
      <w:pPr>
        <w:keepNext w:val="0"/>
        <w:keepLines w:val="0"/>
        <w:widowControl w:val="0"/>
        <w:suppressLineNumbers w:val="0"/>
        <w:spacing w:before="0" w:beforeAutospacing="0" w:after="0" w:afterAutospacing="0" w:line="360" w:lineRule="auto"/>
        <w:ind w:left="0" w:right="0" w:firstLine="482"/>
        <w:jc w:val="left"/>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2、工程内容、承包范围和承包方式</w:t>
      </w:r>
    </w:p>
    <w:p w14:paraId="478EEEC8">
      <w:pPr>
        <w:keepNext w:val="0"/>
        <w:keepLines w:val="0"/>
        <w:widowControl w:val="0"/>
        <w:suppressLineNumbers w:val="0"/>
        <w:spacing w:before="0" w:beforeAutospacing="0" w:after="0" w:afterAutospacing="0" w:line="360" w:lineRule="auto"/>
        <w:ind w:left="0" w:right="0" w:firstLine="48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2.1工程内容：</w:t>
      </w:r>
    </w:p>
    <w:p w14:paraId="06CAF1D4">
      <w:pPr>
        <w:keepNext w:val="0"/>
        <w:keepLines w:val="0"/>
        <w:widowControl w:val="0"/>
        <w:suppressLineNumbers w:val="0"/>
        <w:spacing w:before="0" w:beforeAutospacing="0" w:after="0" w:afterAutospacing="0" w:line="360" w:lineRule="auto"/>
        <w:ind w:left="0" w:right="0" w:firstLine="482"/>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bidi="ar"/>
        </w:rPr>
        <w:t xml:space="preserve">第十五届全运会广东奥林匹克体育中心升级改造项目：本项目为升级改造工程，室外场地改造面积345864平方米；新建及改造建筑工程面积183101平方米，其中新建部分为副场竞赛功能用房及全运会总指挥中心用房共8000平方米，改造部分包括主体育场改造建筑面积141434平方米、副场改造建筑面积725平方米、跳水馆改造建筑面积32942平方米；附属场馆外立面改造工程面积65137平方米，包括网球中心外立面及屋面、曲棍球场功能用房和棒球场功能用房外立面和游泳跳水馆南立面改造；夜景照明工程面积183311平方米。 </w:t>
      </w:r>
    </w:p>
    <w:p w14:paraId="7B475575">
      <w:pPr>
        <w:keepNext w:val="0"/>
        <w:keepLines w:val="0"/>
        <w:widowControl w:val="0"/>
        <w:suppressLineNumbers w:val="0"/>
        <w:spacing w:before="0" w:beforeAutospacing="0" w:after="0" w:afterAutospacing="0" w:line="360" w:lineRule="auto"/>
        <w:ind w:left="0" w:right="0" w:firstLine="482"/>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bidi="ar"/>
        </w:rPr>
        <w:t>第十五届全运会广东省人民体育场改造项目：省人民体育场项目总用地面积30558平方米，体育场内原有建筑面积17759.54平方米、钢结构雨棚建筑面积6800平方米。建设内容包括拆除钢结构雨棚、体育场内北侧电房、卫生间等，加固装修改造现状建筑用于赛时功能用房，加固改造北侧建筑用于改扩建体育博物馆，新建雨棚（轻型钢桁架结构），原有外立面装修，室外工程等。改造后建筑面积约18351.1平方米（其中体育场内建筑面积约11063.81面积平方米，博物馆建筑面积约7287.28平方米）、雨棚（轻型钢桁架结构）面积约7374平方米。建筑主体结构最大跨度约8米，建筑高度约为41米。</w:t>
      </w:r>
    </w:p>
    <w:p w14:paraId="4621FA1D">
      <w:pPr>
        <w:keepNext w:val="0"/>
        <w:keepLines w:val="0"/>
        <w:widowControl w:val="0"/>
        <w:suppressLineNumbers w:val="0"/>
        <w:spacing w:before="0" w:beforeAutospacing="0" w:after="0" w:afterAutospacing="0" w:line="360" w:lineRule="auto"/>
        <w:ind w:left="0" w:right="0" w:firstLine="482"/>
        <w:jc w:val="left"/>
        <w:rPr>
          <w:rFonts w:hint="default" w:ascii="Times New Roman" w:hAnsi="Times New Roman" w:cs="Times New Roman"/>
          <w:color w:val="auto"/>
          <w:kern w:val="2"/>
          <w:sz w:val="24"/>
          <w:szCs w:val="24"/>
          <w:highlight w:val="none"/>
          <w:u w:val="single"/>
        </w:rPr>
      </w:pPr>
      <w:r>
        <w:rPr>
          <w:rFonts w:hint="eastAsia" w:ascii="宋体" w:hAnsi="宋体" w:eastAsia="宋体" w:cs="宋体"/>
          <w:color w:val="auto"/>
          <w:kern w:val="0"/>
          <w:sz w:val="24"/>
          <w:szCs w:val="24"/>
          <w:highlight w:val="none"/>
          <w:lang w:val="en-US" w:eastAsia="zh-CN" w:bidi="ar"/>
        </w:rPr>
        <w:t>2.2承包范围：</w:t>
      </w:r>
    </w:p>
    <w:p w14:paraId="5BFA2708">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2.2.1合同工程承包范围为</w:t>
      </w:r>
      <w:r>
        <w:rPr>
          <w:rFonts w:hint="eastAsia" w:ascii="宋体" w:hAnsi="宋体" w:eastAsia="宋体" w:cs="宋体"/>
          <w:color w:val="auto"/>
          <w:kern w:val="2"/>
          <w:sz w:val="24"/>
          <w:szCs w:val="24"/>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color w:val="auto"/>
          <w:kern w:val="2"/>
          <w:sz w:val="24"/>
          <w:szCs w:val="24"/>
          <w:highlight w:val="none"/>
          <w:lang w:val="en-US" w:eastAsia="zh-CN" w:bidi="ar"/>
        </w:rPr>
        <w:t>，主要内容如下（包括但不限于）：</w:t>
      </w:r>
    </w:p>
    <w:p w14:paraId="1067D340">
      <w:pPr>
        <w:keepNext w:val="0"/>
        <w:keepLines w:val="0"/>
        <w:widowControl w:val="0"/>
        <w:suppressLineNumbers w:val="0"/>
        <w:spacing w:before="0" w:beforeAutospacing="0" w:after="0" w:afterAutospacing="0" w:line="360" w:lineRule="auto"/>
        <w:ind w:left="0" w:right="0" w:firstLine="482"/>
        <w:jc w:val="left"/>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bidi="ar"/>
        </w:rPr>
        <w:t>拟对第十五届全运会广东奥林匹克体育中心升级改造项目、第十五届全运会广东省人民体育场改造项目场地设施中的声光屏设备进行采购及配套服务，包括但不限于：场地扩声系统、场地照明系统、LED大屏幕显示系统、自动升旗系统、标准时钟系统、计时计分系统、赛时集成系统等体育工艺设备、系统及相应辅助配件的深化设计、制造、供货、运输、装卸、搬运、到货验收、组装、安装、集成、调试、试运行、检验、验收及质保期内的售后服务等相关工作，具体以招标文件、招标图纸、工程量清单及有关资料说明为准。</w:t>
      </w:r>
    </w:p>
    <w:p w14:paraId="59B43781">
      <w:pPr>
        <w:keepNext w:val="0"/>
        <w:keepLines w:val="0"/>
        <w:widowControl w:val="0"/>
        <w:suppressLineNumbers w:val="0"/>
        <w:adjustRightInd w:val="0"/>
        <w:snapToGrid w:val="0"/>
        <w:spacing w:before="0" w:beforeAutospacing="0" w:after="0" w:afterAutospacing="0" w:line="360" w:lineRule="auto"/>
        <w:ind w:left="0" w:right="11" w:firstLine="438" w:firstLineChars="177"/>
        <w:jc w:val="both"/>
        <w:rPr>
          <w:rFonts w:hint="eastAsia" w:ascii="宋体" w:hAnsi="宋体" w:eastAsia="宋体" w:cs="宋体"/>
          <w:bCs/>
          <w:color w:val="auto"/>
          <w:kern w:val="2"/>
          <w:sz w:val="24"/>
          <w:szCs w:val="24"/>
          <w:highlight w:val="none"/>
          <w:u w:val="single"/>
        </w:rPr>
      </w:pPr>
      <w:r>
        <w:rPr>
          <w:rFonts w:hint="eastAsia" w:ascii="宋体" w:hAnsi="宋体" w:eastAsia="宋体" w:cs="宋体"/>
          <w:color w:val="auto"/>
          <w:spacing w:val="4"/>
          <w:kern w:val="2"/>
          <w:sz w:val="24"/>
          <w:szCs w:val="24"/>
          <w:highlight w:val="none"/>
          <w:u w:val="single"/>
          <w:lang w:val="en-US" w:eastAsia="zh-CN" w:bidi="ar"/>
        </w:rPr>
        <w:t>2.2.2</w:t>
      </w:r>
      <w:r>
        <w:rPr>
          <w:rFonts w:hint="eastAsia" w:ascii="宋体" w:hAnsi="宋体" w:eastAsia="宋体" w:cs="宋体"/>
          <w:bCs/>
          <w:color w:val="auto"/>
          <w:kern w:val="2"/>
          <w:sz w:val="24"/>
          <w:szCs w:val="24"/>
          <w:highlight w:val="none"/>
          <w:u w:val="single"/>
          <w:lang w:val="en-US" w:eastAsia="zh-CN" w:bidi="ar"/>
        </w:rPr>
        <w:t>承包人在上述承包范围内须负责本项目的质量保证和售后服务，相关内容包括但不限于：</w:t>
      </w:r>
    </w:p>
    <w:p w14:paraId="02B39431">
      <w:pPr>
        <w:keepNext w:val="0"/>
        <w:keepLines w:val="0"/>
        <w:widowControl w:val="0"/>
        <w:suppressLineNumbers w:val="0"/>
        <w:adjustRightInd w:val="0"/>
        <w:snapToGrid w:val="0"/>
        <w:spacing w:before="0" w:beforeAutospacing="0" w:after="0" w:afterAutospacing="0" w:line="360" w:lineRule="auto"/>
        <w:ind w:left="0" w:right="11" w:firstLine="424" w:firstLineChars="177"/>
        <w:jc w:val="both"/>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u w:val="single"/>
          <w:lang w:val="en-US" w:eastAsia="zh-CN" w:bidi="ar"/>
        </w:rPr>
        <w:t>（1）验收合格后半年内，须针对本项目特点及项目实际情况编制使用手册、培训手册以及培训计划，并对项目发包人及业主单位相关人员的培训。</w:t>
      </w:r>
    </w:p>
    <w:p w14:paraId="6D9EC5C2">
      <w:pPr>
        <w:keepNext w:val="0"/>
        <w:keepLines w:val="0"/>
        <w:widowControl w:val="0"/>
        <w:suppressLineNumbers w:val="0"/>
        <w:adjustRightInd w:val="0"/>
        <w:snapToGrid w:val="0"/>
        <w:spacing w:before="0" w:beforeAutospacing="0" w:after="0" w:afterAutospacing="0" w:line="360" w:lineRule="auto"/>
        <w:ind w:left="0" w:right="11" w:firstLine="424" w:firstLineChars="177"/>
        <w:jc w:val="both"/>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u w:val="single"/>
          <w:lang w:val="en-US" w:eastAsia="zh-CN" w:bidi="ar"/>
        </w:rPr>
        <w:t>（2）质保期内须免费提供设备的维修及保养服务，定期派工程师到现场巡查，并每年一次的年检且提供年检报告。</w:t>
      </w:r>
    </w:p>
    <w:p w14:paraId="7727BF4F">
      <w:pPr>
        <w:keepNext w:val="0"/>
        <w:keepLines w:val="0"/>
        <w:widowControl w:val="0"/>
        <w:suppressLineNumbers w:val="0"/>
        <w:adjustRightInd w:val="0"/>
        <w:snapToGrid w:val="0"/>
        <w:spacing w:before="0" w:beforeAutospacing="0" w:after="0" w:afterAutospacing="0" w:line="360" w:lineRule="auto"/>
        <w:ind w:left="0" w:right="11" w:firstLine="424" w:firstLineChars="177"/>
        <w:jc w:val="both"/>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u w:val="single"/>
          <w:lang w:val="en-US" w:eastAsia="zh-CN" w:bidi="ar"/>
        </w:rPr>
        <w:t>（3）质保期内设备本身质量出现问题或由于设备本身质量原因造成的任何损伤或损坏，应及时给予免费维修或免费更换，由此引起的施工费、人工费、材料费等其他一切费用由承包人负责。新更换的零部件的质保期则从更换之日起计。</w:t>
      </w:r>
    </w:p>
    <w:p w14:paraId="430915F1">
      <w:pPr>
        <w:keepNext w:val="0"/>
        <w:keepLines w:val="0"/>
        <w:widowControl w:val="0"/>
        <w:suppressLineNumbers w:val="0"/>
        <w:adjustRightInd w:val="0"/>
        <w:snapToGrid w:val="0"/>
        <w:spacing w:before="0" w:beforeAutospacing="0" w:after="0" w:afterAutospacing="0" w:line="360" w:lineRule="auto"/>
        <w:ind w:left="0" w:right="11" w:firstLine="424" w:firstLineChars="177"/>
        <w:jc w:val="both"/>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u w:val="single"/>
          <w:lang w:val="en-US" w:eastAsia="zh-CN" w:bidi="ar"/>
        </w:rPr>
        <w:t>（4）从验收合格正式运行之日起的质量保修期（含潜在缺陷质量保证期）内，由于设备材料因素造成的损坏，均由承包人免费维修、更换，由于人为（非承包人人员）和自然灾害造成的损坏，收取成本费用。</w:t>
      </w:r>
    </w:p>
    <w:p w14:paraId="79F4993A">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spacing w:val="4"/>
          <w:kern w:val="2"/>
          <w:sz w:val="24"/>
          <w:szCs w:val="24"/>
          <w:highlight w:val="none"/>
          <w:u w:val="single"/>
        </w:rPr>
      </w:pPr>
      <w:r>
        <w:rPr>
          <w:rFonts w:hint="eastAsia" w:ascii="宋体" w:hAnsi="宋体" w:eastAsia="宋体" w:cs="宋体"/>
          <w:bCs/>
          <w:color w:val="auto"/>
          <w:kern w:val="2"/>
          <w:sz w:val="24"/>
          <w:szCs w:val="24"/>
          <w:highlight w:val="none"/>
          <w:u w:val="single"/>
          <w:lang w:val="en-US" w:eastAsia="zh-CN" w:bidi="ar"/>
        </w:rPr>
        <w:t>（5）在质量保修期结束前，承包人须与发包人代表对合同项下设备进行全面的检查，对任何缺陷由承包人负责修理。在修理之后，承包人须将缺陷原因、修理的内容、完成修理及恢复正常的时间和日期等情况报告给发包人。</w:t>
      </w:r>
      <w:r>
        <w:rPr>
          <w:rFonts w:hint="eastAsia" w:ascii="宋体" w:hAnsi="宋体" w:eastAsia="宋体" w:cs="宋体"/>
          <w:color w:val="auto"/>
          <w:spacing w:val="4"/>
          <w:kern w:val="2"/>
          <w:sz w:val="24"/>
          <w:szCs w:val="24"/>
          <w:highlight w:val="none"/>
          <w:u w:val="single"/>
          <w:lang w:val="en-US" w:eastAsia="zh-CN" w:bidi="ar"/>
        </w:rPr>
        <w:t xml:space="preserve"> </w:t>
      </w:r>
    </w:p>
    <w:p w14:paraId="7505E94A">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2.3承包方式：</w:t>
      </w:r>
      <w:r>
        <w:rPr>
          <w:rFonts w:hint="eastAsia" w:ascii="宋体" w:hAnsi="宋体" w:eastAsia="宋体" w:cs="宋体"/>
          <w:color w:val="auto"/>
          <w:kern w:val="0"/>
          <w:sz w:val="24"/>
          <w:szCs w:val="24"/>
          <w:highlight w:val="none"/>
          <w:lang w:val="en-US" w:eastAsia="zh-CN" w:bidi="ar"/>
        </w:rPr>
        <w:tab/>
      </w:r>
    </w:p>
    <w:p w14:paraId="6E36547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bidi="ar"/>
        </w:rPr>
        <w:t>由承包人按照本合同约定范围和图纸内容实行工程专业承包，包括但不限于</w:t>
      </w:r>
      <w:r>
        <w:rPr>
          <w:rFonts w:hint="eastAsia" w:ascii="宋体" w:hAnsi="宋体" w:eastAsia="宋体" w:cs="宋体"/>
          <w:color w:val="auto"/>
          <w:kern w:val="2"/>
          <w:sz w:val="24"/>
          <w:szCs w:val="24"/>
          <w:highlight w:val="none"/>
          <w:u w:val="single"/>
          <w:lang w:val="en-US" w:eastAsia="zh-CN" w:bidi="ar"/>
        </w:rPr>
        <w:t>包深化设计服务、包各种协调服务，包工、包材料、包工期、包质量、包安全生产、包文明施工、包调试和联合调试、包运行维护管理，包招标范围内工程竣工验收、包移交、包结算的组织和资料整理、包服从施工总承包管理单位的施工总承包管理、</w:t>
      </w:r>
      <w:r>
        <w:rPr>
          <w:rFonts w:hint="eastAsia" w:ascii="宋体" w:hAnsi="宋体" w:eastAsia="宋体" w:cs="宋体"/>
          <w:b/>
          <w:bCs w:val="0"/>
          <w:color w:val="auto"/>
          <w:kern w:val="2"/>
          <w:sz w:val="24"/>
          <w:szCs w:val="24"/>
          <w:highlight w:val="none"/>
          <w:u w:val="single"/>
          <w:lang w:val="en-US" w:eastAsia="zh-CN" w:bidi="ar"/>
        </w:rPr>
        <w:t>包工程保险（含建筑（安装）工程一切险、安全生产责任险及其他保险）、</w:t>
      </w:r>
      <w:r>
        <w:rPr>
          <w:rFonts w:hint="eastAsia" w:ascii="宋体" w:hAnsi="宋体" w:eastAsia="宋体" w:cs="宋体"/>
          <w:color w:val="auto"/>
          <w:kern w:val="2"/>
          <w:sz w:val="24"/>
          <w:szCs w:val="24"/>
          <w:highlight w:val="none"/>
          <w:u w:val="single"/>
          <w:lang w:val="en-US" w:eastAsia="zh-CN" w:bidi="ar"/>
        </w:rPr>
        <w:t>包竣工图编制（须满足规划等各专项验收要求）等</w:t>
      </w:r>
      <w:r>
        <w:rPr>
          <w:rFonts w:hint="eastAsia" w:ascii="宋体" w:hAnsi="宋体" w:eastAsia="宋体" w:cs="宋体"/>
          <w:color w:val="auto"/>
          <w:kern w:val="0"/>
          <w:sz w:val="24"/>
          <w:szCs w:val="24"/>
          <w:highlight w:val="none"/>
          <w:u w:val="single"/>
          <w:lang w:val="en-US" w:eastAsia="zh-CN" w:bidi="ar"/>
        </w:rPr>
        <w:t>。合同价款按如下约定执行</w:t>
      </w:r>
      <w:r>
        <w:rPr>
          <w:rFonts w:hint="eastAsia" w:ascii="宋体" w:hAnsi="宋体" w:eastAsia="宋体" w:cs="宋体"/>
          <w:color w:val="auto"/>
          <w:kern w:val="0"/>
          <w:sz w:val="24"/>
          <w:szCs w:val="24"/>
          <w:highlight w:val="none"/>
          <w:lang w:val="en-US" w:eastAsia="zh-CN" w:bidi="ar"/>
        </w:rPr>
        <w:t>：</w:t>
      </w:r>
    </w:p>
    <w:p w14:paraId="535B1661">
      <w:pPr>
        <w:keepNext w:val="0"/>
        <w:keepLines w:val="0"/>
        <w:widowControl w:val="0"/>
        <w:suppressLineNumbers w:val="0"/>
        <w:adjustRightInd w:val="0"/>
        <w:snapToGrid w:val="0"/>
        <w:spacing w:before="0" w:beforeAutospacing="0" w:after="0" w:afterAutospacing="0" w:line="360" w:lineRule="auto"/>
        <w:ind w:left="0" w:right="11" w:firstLine="42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（1）合同价款固定不变，结算价即为合同价（暂列金额除外）。</w:t>
      </w:r>
    </w:p>
    <w:p w14:paraId="21E61E30">
      <w:pPr>
        <w:keepNext w:val="0"/>
        <w:keepLines w:val="0"/>
        <w:widowControl w:val="0"/>
        <w:suppressLineNumbers w:val="0"/>
        <w:adjustRightInd w:val="0"/>
        <w:snapToGrid w:val="0"/>
        <w:spacing w:before="0" w:beforeAutospacing="0" w:after="0" w:afterAutospacing="0" w:line="360" w:lineRule="auto"/>
        <w:ind w:left="0" w:right="11" w:firstLine="42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（2）合同价款总价包干，若招标范围和承包内容不发生变化，则本工程结算价即为合同价（招标文件及本合同另有约定可以调整的项目除外）。</w:t>
      </w:r>
    </w:p>
    <w:p w14:paraId="44F67704">
      <w:pPr>
        <w:keepNext w:val="0"/>
        <w:keepLines w:val="0"/>
        <w:widowControl w:val="0"/>
        <w:suppressLineNumbers w:val="0"/>
        <w:adjustRightInd w:val="0"/>
        <w:snapToGrid w:val="0"/>
        <w:spacing w:before="0" w:beforeAutospacing="0" w:after="0" w:afterAutospacing="0" w:line="360" w:lineRule="auto"/>
        <w:ind w:left="0" w:right="11" w:firstLine="42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3）工程量清单综合单价包干和综合合价项目包干且不因施工期间人工、材料及机械价格变化、施工条件、工程规模的变化和政府造价管理部门调整各项收费等而调整，招标文件及本合同另有约定的除外。赞助权益回报金额固定不变，不因项目规模、工程内容、承包范围调整而调整。工程结算最终以有权结算终审部门审定金额扣除赞助权益回报中标金额后的费用作为结算费用。</w:t>
      </w:r>
    </w:p>
    <w:p w14:paraId="00E94E3F">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（4）其他：</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27C68CB9">
      <w:pPr>
        <w:keepNext w:val="0"/>
        <w:keepLines w:val="0"/>
        <w:widowControl w:val="0"/>
        <w:suppressLineNumbers w:val="0"/>
        <w:spacing w:before="0" w:beforeAutospacing="0" w:after="0" w:afterAutospacing="0" w:line="360" w:lineRule="auto"/>
        <w:ind w:left="0" w:right="0" w:firstLine="564" w:firstLineChars="23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2.4发包人根据工程实施情况，有权对承包人的承包范围及内容进行适当调整，并按合同专用条款第50.4（2）款的约定处理，承包人必须无条件服从。</w:t>
      </w:r>
    </w:p>
    <w:p w14:paraId="47173CD4">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 xml:space="preserve"> </w:t>
      </w:r>
    </w:p>
    <w:p w14:paraId="51FB14C5">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3、合同工期</w:t>
      </w:r>
    </w:p>
    <w:p w14:paraId="67DD2E10">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3.1本工程总工期为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个日历天，计划</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日开工，</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日</w:t>
      </w:r>
      <w:r>
        <w:rPr>
          <w:rFonts w:hint="eastAsia" w:ascii="宋体" w:hAnsi="宋体" w:eastAsia="宋体" w:cs="宋体"/>
          <w:color w:val="auto"/>
          <w:kern w:val="0"/>
          <w:sz w:val="24"/>
          <w:szCs w:val="24"/>
          <w:highlight w:val="none"/>
          <w:lang w:val="en-US" w:eastAsia="zh-CN" w:bidi="ar"/>
        </w:rPr>
        <w:t>竣工验收，具体开工日期以总监理工程师发出的开工令为准。</w:t>
      </w:r>
    </w:p>
    <w:p w14:paraId="45FD4A06">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3.2关键节点工期要求：</w:t>
      </w:r>
    </w:p>
    <w:p w14:paraId="2798CF7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4104B21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15324F1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5E012F6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（4）</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55D3696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（5）</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1495277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（6）</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56DDA743">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3.3发包人根据工程实施情况，有权对本合同工程工期（包括关键节点工期和竣工日期）进行适当调整，并按合同专用条款第50.4（1）款的约定处理，承包人必须采取一切有效措施保证竣工日期，不得延误，并不得要求另行增加费用；如不能按经发包人批准或下达的计划完成任务，由承包人按合同专用条款第38.8（5）款的约定承担违约责任。</w:t>
      </w:r>
    </w:p>
    <w:p w14:paraId="2218D38C">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4、质量标准和目标（如有更新则按更新后的执行，下同）</w:t>
      </w:r>
    </w:p>
    <w:p w14:paraId="3A5EE062">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（1）质量标准：</w:t>
      </w:r>
    </w:p>
    <w:p w14:paraId="01E3559D">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1）《建筑工程施工质量验收统一标准》（GB50300-2013）及相应配套的各专业验收规范等。</w:t>
      </w:r>
    </w:p>
    <w:p w14:paraId="07461B75">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2）《城镇道路工程施工与质量验收规范》（CJJ1-2008）、《城市桥梁工程施工与质量验收规范》（CJJ2-2008）、《给水排水管道工程施工及验收规范》（GB 50268-2008）及相应配套的各专业验收规范等。</w:t>
      </w:r>
    </w:p>
    <w:p w14:paraId="1566A828">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3）《园林绿化工程施工及验收规范》（CJJ82-2012）、《城市绿化工程施工及验收规范》（DB440100/T114-2007）及相应配套的各专业验收规范等。</w:t>
      </w:r>
    </w:p>
    <w:p w14:paraId="6CFF57D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（2）质量目标：</w:t>
      </w:r>
    </w:p>
    <w:p w14:paraId="049D00E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Tahoma"/>
          <w:b/>
          <w:bCs w:val="0"/>
          <w:color w:val="auto"/>
          <w:kern w:val="0"/>
          <w:sz w:val="24"/>
          <w:szCs w:val="24"/>
          <w:highlight w:val="none"/>
        </w:rPr>
      </w:pPr>
      <w:r>
        <w:rPr>
          <w:rFonts w:hint="eastAsia" w:ascii="宋体" w:hAnsi="宋体" w:eastAsia="宋体" w:cs="宋体"/>
          <w:bCs/>
          <w:color w:val="auto"/>
          <w:kern w:val="2"/>
          <w:sz w:val="24"/>
          <w:szCs w:val="24"/>
          <w:highlight w:val="none"/>
          <w:lang w:val="en-US" w:eastAsia="zh-CN" w:bidi="ar"/>
        </w:rPr>
        <w:t>一次竣工验收合格</w:t>
      </w:r>
      <w:r>
        <w:rPr>
          <w:rFonts w:hint="eastAsia" w:ascii="宋体" w:hAnsi="宋体" w:eastAsia="宋体" w:cs="宋体"/>
          <w:color w:val="auto"/>
          <w:kern w:val="0"/>
          <w:sz w:val="24"/>
          <w:szCs w:val="24"/>
          <w:highlight w:val="none"/>
          <w:lang w:val="en-US" w:eastAsia="zh-CN" w:bidi="ar"/>
        </w:rPr>
        <w:t>，且</w:t>
      </w:r>
    </w:p>
    <w:p w14:paraId="4EA99A5A">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必须取得广州市建设工程优质奖。</w:t>
      </w:r>
    </w:p>
    <w:p w14:paraId="13B583F1">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必须取得广州市建设工程优质奖，争创广东省建设工程优质奖。</w:t>
      </w:r>
    </w:p>
    <w:p w14:paraId="45A37F12">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必须取得广东省建设工程优质奖，争创国家优质工程奖。</w:t>
      </w:r>
    </w:p>
    <w:p w14:paraId="48F0BFDB">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default"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其他：</w:t>
      </w:r>
      <w:r>
        <w:rPr>
          <w:rFonts w:hint="eastAsia" w:ascii="宋体" w:hAnsi="宋体" w:eastAsia="宋体" w:cs="宋体"/>
          <w:color w:val="auto"/>
          <w:kern w:val="0"/>
          <w:sz w:val="24"/>
          <w:szCs w:val="24"/>
          <w:highlight w:val="none"/>
          <w:u w:val="single"/>
          <w:lang w:val="en-US" w:eastAsia="zh-CN" w:bidi="ar"/>
        </w:rPr>
        <w:t>质量验收一次性达到合格或以上验收标准，确保项目满足承办全运会的赛事要求，满足相关体育工艺验收及认证要求（如有）</w:t>
      </w:r>
      <w:r>
        <w:rPr>
          <w:rFonts w:hint="default" w:ascii="宋体" w:hAnsi="宋体" w:eastAsia="宋体" w:cs="宋体"/>
          <w:color w:val="auto"/>
          <w:kern w:val="0"/>
          <w:sz w:val="24"/>
          <w:szCs w:val="24"/>
          <w:highlight w:val="none"/>
          <w:u w:val="single"/>
          <w:lang w:eastAsia="zh-CN" w:bidi="ar"/>
        </w:rPr>
        <w:t>)，并无条件配合施工总承包单位确保本工程整体达到质量目标。</w:t>
      </w:r>
    </w:p>
    <w:p w14:paraId="050F2DA3">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5、职业健康安全管理目标和环境管理目标</w:t>
      </w:r>
    </w:p>
    <w:p w14:paraId="644E925A">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（1）职业健康安全管理目标：事故隐患排查治理覆盖率100%，一般事故隐患整改率100%，重大事故隐患挂牌督办率100%、整改率100%；安全生产非法违法行为举报投诉查办率达到100%。</w:t>
      </w:r>
    </w:p>
    <w:p w14:paraId="31B29292">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1）杜绝发生一般事故等级及以上的伤亡事故且工伤责任事故死亡人数为零。</w:t>
      </w:r>
    </w:p>
    <w:p w14:paraId="50C5953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2）确保</w:t>
      </w:r>
    </w:p>
    <w:p w14:paraId="392C5A85">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达到广州市安全文明样板工地标准。</w:t>
      </w:r>
    </w:p>
    <w:p w14:paraId="30E6380C">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广州市安全文明样板工地，争创广东省安全文明样板工地。</w:t>
      </w:r>
    </w:p>
    <w:p w14:paraId="43571758">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其他：</w:t>
      </w:r>
      <w:r>
        <w:rPr>
          <w:rFonts w:hint="default" w:ascii="宋体" w:hAnsi="宋体" w:eastAsia="宋体" w:cs="宋体"/>
          <w:color w:val="auto"/>
          <w:kern w:val="0"/>
          <w:sz w:val="24"/>
          <w:szCs w:val="24"/>
          <w:highlight w:val="none"/>
          <w:u w:val="single"/>
          <w:lang w:eastAsia="zh-CN" w:bidi="ar"/>
        </w:rPr>
        <w:t>无条件配合施工总承包单位确保本工程整体达到安全文明目标</w:t>
      </w:r>
      <w:r>
        <w:rPr>
          <w:rFonts w:hint="eastAsia" w:ascii="宋体" w:hAnsi="宋体" w:eastAsia="宋体" w:cs="宋体"/>
          <w:color w:val="auto"/>
          <w:kern w:val="0"/>
          <w:sz w:val="24"/>
          <w:szCs w:val="24"/>
          <w:highlight w:val="none"/>
          <w:lang w:val="en-US" w:eastAsia="zh-CN" w:bidi="ar"/>
        </w:rPr>
        <w:t>。</w:t>
      </w:r>
    </w:p>
    <w:p w14:paraId="71CA3B56">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（2）环境管理目标：</w:t>
      </w:r>
    </w:p>
    <w:p w14:paraId="29D5286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严格执行《广州市重点公共建设项目管理办公室建设项目环境管理规定》、《广州市重点公共建设项目管理办公室建设项目环境管理文明施工标准》、《广州市建设工程现场文明施工管理办法》（穗建质〔2008〕937号）、《广州市城乡建设委员会关于印发广州市加强建筑工地环保管理工作方案的通知》(穗建质〔2014〕754号) 、《广州市提升建设工程安全文明施工管理水平的工作指引》（穗建质〔2017〕815号）、《广州市建设工程安全文明施工规程（试行版）》（穗建质〔2021) 316 号）、《危险性较大的分部分项工程安全管理规定》(中华人民共和国住房和城乡建设部令第37号)、《关于加强建设工程安全生产管理 落实建设各方主体责任的暂行规定》（穗建规字〔</w:t>
      </w:r>
      <w:r>
        <w:rPr>
          <w:rFonts w:hint="eastAsia" w:ascii="宋体" w:hAnsi="宋体" w:eastAsia="宋体" w:cs="宋体"/>
          <w:color w:val="auto"/>
          <w:spacing w:val="4"/>
          <w:kern w:val="0"/>
          <w:sz w:val="24"/>
          <w:szCs w:val="24"/>
          <w:highlight w:val="none"/>
          <w:lang w:val="en-US" w:eastAsia="zh-CN" w:bidi="ar"/>
        </w:rPr>
        <w:t>2020〕34号）</w:t>
      </w:r>
      <w:r>
        <w:rPr>
          <w:rFonts w:hint="eastAsia" w:ascii="宋体" w:hAnsi="宋体" w:eastAsia="宋体" w:cs="宋体"/>
          <w:color w:val="auto"/>
          <w:kern w:val="0"/>
          <w:sz w:val="24"/>
          <w:szCs w:val="24"/>
          <w:highlight w:val="none"/>
          <w:lang w:val="en-US" w:eastAsia="zh-CN" w:bidi="ar"/>
        </w:rPr>
        <w:t>、《广州市住</w:t>
      </w:r>
    </w:p>
    <w:p w14:paraId="6A4A4B1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房和城乡建设局等 8 部门关于印发建设工程扬尘防治“6 个 100%”管理标准图集（V2.0版）的通知》《广州市住房和城乡建设委员会关于印发建设工程扬尘防治“6个100%”管理标准细化措施的通知》（穗建质〔2018〕1394号）、</w:t>
      </w:r>
      <w:r>
        <w:rPr>
          <w:rFonts w:hint="eastAsia" w:ascii="宋体" w:hAnsi="宋体" w:eastAsia="宋体" w:cs="宋体"/>
          <w:color w:val="auto"/>
          <w:kern w:val="2"/>
          <w:sz w:val="24"/>
          <w:szCs w:val="24"/>
          <w:highlight w:val="none"/>
          <w:lang w:val="en-US" w:eastAsia="zh-CN" w:bidi="ar"/>
        </w:rPr>
        <w:t>广州市住房和城乡建设局关于印发广州市房屋建筑工程安全防护指导图集（防高坠篇）的通知、《广州市建设工程绿色施工围蔽指导图集（V2.0版）》（穗建质</w:t>
      </w:r>
      <w:r>
        <w:rPr>
          <w:rFonts w:hint="eastAsia" w:ascii="宋体" w:hAnsi="宋体" w:eastAsia="宋体" w:cs="宋体"/>
          <w:color w:val="auto"/>
          <w:kern w:val="0"/>
          <w:sz w:val="24"/>
          <w:szCs w:val="24"/>
          <w:highlight w:val="none"/>
          <w:lang w:val="en-US" w:eastAsia="zh-CN" w:bidi="ar"/>
        </w:rPr>
        <w:t>〔2020〕1号</w:t>
      </w:r>
      <w:r>
        <w:rPr>
          <w:rFonts w:hint="eastAsia" w:ascii="宋体" w:hAnsi="宋体" w:eastAsia="宋体" w:cs="宋体"/>
          <w:color w:val="auto"/>
          <w:kern w:val="2"/>
          <w:sz w:val="24"/>
          <w:szCs w:val="24"/>
          <w:highlight w:val="none"/>
          <w:lang w:val="en-US" w:eastAsia="zh-CN" w:bidi="ar"/>
        </w:rPr>
        <w:t>）和《广东省建筑垃圾管理条例》（广东省第十三届人民代表大会常务委员会公告第126号）</w:t>
      </w:r>
      <w:r>
        <w:rPr>
          <w:rFonts w:hint="eastAsia" w:ascii="宋体" w:hAnsi="宋体" w:eastAsia="宋体" w:cs="宋体"/>
          <w:color w:val="auto"/>
          <w:kern w:val="0"/>
          <w:sz w:val="24"/>
          <w:szCs w:val="24"/>
          <w:highlight w:val="none"/>
          <w:lang w:val="en-US" w:eastAsia="zh-CN" w:bidi="ar"/>
        </w:rPr>
        <w:t>等国家、省、市现行标准、规定和文件要求，确保噪声污染、扬尘污染等环境污染问题零投诉。</w:t>
      </w:r>
    </w:p>
    <w:p w14:paraId="19B59F9E">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6、合同价款</w:t>
      </w:r>
    </w:p>
    <w:p w14:paraId="4ADD681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6.1本合同以人民币为报价和结算货币，除非发包人、承包人双方另有约定。</w:t>
      </w:r>
    </w:p>
    <w:p w14:paraId="26DD23D5">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6.2本合同价款为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bCs/>
          <w:color w:val="auto"/>
          <w:kern w:val="0"/>
          <w:sz w:val="24"/>
          <w:szCs w:val="24"/>
          <w:highlight w:val="none"/>
          <w:lang w:val="en-US" w:eastAsia="zh-CN" w:bidi="ar"/>
        </w:rPr>
        <w:t>元（</w:t>
      </w:r>
      <w:r>
        <w:rPr>
          <w:rFonts w:hint="eastAsia" w:ascii="宋体" w:hAnsi="宋体" w:eastAsia="宋体" w:cs="宋体"/>
          <w:color w:val="auto"/>
          <w:kern w:val="0"/>
          <w:sz w:val="24"/>
          <w:szCs w:val="24"/>
          <w:highlight w:val="none"/>
          <w:lang w:val="en-US" w:eastAsia="zh-CN" w:bidi="ar"/>
        </w:rPr>
        <w:t>大写</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）（其中，现金支付部分中标金额为     ，占本合同价款    %；赞助权益回报部分中标金额为     ，占本合同价款的    %），具体由以下四部分费用组成：</w:t>
      </w:r>
    </w:p>
    <w:p w14:paraId="5C9A1B2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（1）分部分项工程量清单计价汇总合计</w:t>
      </w:r>
      <w:r>
        <w:rPr>
          <w:rFonts w:hint="eastAsia" w:ascii="宋体" w:hAnsi="宋体" w:eastAsia="宋体" w:cs="宋体"/>
          <w:color w:val="auto"/>
          <w:kern w:val="0"/>
          <w:sz w:val="24"/>
          <w:szCs w:val="24"/>
          <w:highlight w:val="none"/>
          <w:u w:val="single"/>
          <w:lang w:val="en-US" w:eastAsia="zh-CN" w:bidi="ar"/>
        </w:rPr>
        <w:t xml:space="preserve">          元</w:t>
      </w:r>
      <w:r>
        <w:rPr>
          <w:rFonts w:hint="eastAsia" w:ascii="宋体" w:hAnsi="宋体" w:eastAsia="宋体" w:cs="宋体"/>
          <w:color w:val="auto"/>
          <w:kern w:val="0"/>
          <w:sz w:val="24"/>
          <w:szCs w:val="24"/>
          <w:highlight w:val="none"/>
          <w:lang w:val="en-US" w:eastAsia="zh-CN" w:bidi="ar"/>
        </w:rPr>
        <w:t>；</w:t>
      </w:r>
    </w:p>
    <w:p w14:paraId="0F06142A">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（2）措施项目清单计价汇总合计</w:t>
      </w:r>
      <w:r>
        <w:rPr>
          <w:rFonts w:hint="eastAsia" w:ascii="宋体" w:hAnsi="宋体" w:eastAsia="宋体" w:cs="宋体"/>
          <w:color w:val="auto"/>
          <w:kern w:val="0"/>
          <w:sz w:val="24"/>
          <w:szCs w:val="24"/>
          <w:highlight w:val="none"/>
          <w:u w:val="single"/>
          <w:lang w:val="en-US" w:eastAsia="zh-CN" w:bidi="ar"/>
        </w:rPr>
        <w:t xml:space="preserve">       元</w:t>
      </w:r>
      <w:r>
        <w:rPr>
          <w:rFonts w:hint="eastAsia" w:ascii="宋体" w:hAnsi="宋体" w:eastAsia="宋体" w:cs="宋体"/>
          <w:color w:val="auto"/>
          <w:kern w:val="0"/>
          <w:sz w:val="24"/>
          <w:szCs w:val="24"/>
          <w:highlight w:val="none"/>
          <w:lang w:val="en-US" w:eastAsia="zh-CN" w:bidi="ar"/>
        </w:rPr>
        <w:t>，其中，绿色施工安全防护措施费</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15403A6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（3）其他项目清单计价汇总合计</w:t>
      </w:r>
      <w:r>
        <w:rPr>
          <w:rFonts w:hint="eastAsia" w:ascii="宋体" w:hAnsi="宋体" w:eastAsia="宋体" w:cs="宋体"/>
          <w:color w:val="auto"/>
          <w:kern w:val="0"/>
          <w:sz w:val="24"/>
          <w:szCs w:val="24"/>
          <w:highlight w:val="none"/>
          <w:u w:val="single"/>
          <w:lang w:val="en-US" w:eastAsia="zh-CN" w:bidi="ar"/>
        </w:rPr>
        <w:t xml:space="preserve">       元</w:t>
      </w:r>
      <w:r>
        <w:rPr>
          <w:rFonts w:hint="eastAsia" w:ascii="宋体" w:hAnsi="宋体" w:eastAsia="宋体" w:cs="宋体"/>
          <w:color w:val="auto"/>
          <w:kern w:val="0"/>
          <w:sz w:val="24"/>
          <w:szCs w:val="24"/>
          <w:highlight w:val="none"/>
          <w:lang w:val="en-US" w:eastAsia="zh-CN" w:bidi="ar"/>
        </w:rPr>
        <w:t>，其中，暂列金额</w:t>
      </w:r>
      <w:r>
        <w:rPr>
          <w:rFonts w:hint="eastAsia" w:ascii="宋体" w:hAnsi="宋体" w:eastAsia="宋体" w:cs="宋体"/>
          <w:color w:val="auto"/>
          <w:kern w:val="0"/>
          <w:sz w:val="24"/>
          <w:szCs w:val="24"/>
          <w:highlight w:val="none"/>
          <w:u w:val="single"/>
          <w:lang w:val="en-US" w:eastAsia="zh-CN" w:bidi="ar"/>
        </w:rPr>
        <w:t xml:space="preserve">     元</w:t>
      </w:r>
      <w:r>
        <w:rPr>
          <w:rFonts w:hint="eastAsia" w:ascii="宋体" w:hAnsi="宋体" w:eastAsia="宋体" w:cs="宋体"/>
          <w:color w:val="auto"/>
          <w:kern w:val="0"/>
          <w:sz w:val="24"/>
          <w:szCs w:val="24"/>
          <w:highlight w:val="none"/>
          <w:lang w:val="en-US" w:eastAsia="zh-CN" w:bidi="ar"/>
        </w:rPr>
        <w:t>；</w:t>
      </w:r>
    </w:p>
    <w:p w14:paraId="4D9299F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（4）税金项目计价汇总合计</w:t>
      </w:r>
      <w:r>
        <w:rPr>
          <w:rFonts w:hint="eastAsia" w:ascii="宋体" w:hAnsi="宋体" w:eastAsia="宋体" w:cs="宋体"/>
          <w:color w:val="auto"/>
          <w:kern w:val="0"/>
          <w:sz w:val="24"/>
          <w:szCs w:val="24"/>
          <w:highlight w:val="none"/>
          <w:u w:val="single"/>
          <w:lang w:val="en-US" w:eastAsia="zh-CN" w:bidi="ar"/>
        </w:rPr>
        <w:t xml:space="preserve">         元</w:t>
      </w:r>
      <w:r>
        <w:rPr>
          <w:rFonts w:hint="eastAsia" w:ascii="宋体" w:hAnsi="宋体" w:eastAsia="宋体" w:cs="宋体"/>
          <w:color w:val="auto"/>
          <w:kern w:val="0"/>
          <w:sz w:val="24"/>
          <w:szCs w:val="24"/>
          <w:highlight w:val="none"/>
          <w:lang w:val="en-US" w:eastAsia="zh-CN" w:bidi="ar"/>
        </w:rPr>
        <w:t>。</w:t>
      </w:r>
    </w:p>
    <w:p w14:paraId="0EE8A49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6.3本工程执行《建设工程工程量清单计价规范（GB50500-2013）》、《广东省建设工程计价依据的通知（2018）》（粤建市〔2019〕6号）的相关规定。国家及广东省、广州市有最新规定的，从其规定。</w:t>
      </w:r>
    </w:p>
    <w:p w14:paraId="23E2694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6.4承包人应在本工程开工前按《关于印发广东省工伤保险基金省级统筹实施方案的通知》（粤人社规﹝2019﹞20号）和《关于进一步做好我省建筑业工伤保险工作的实施意见》（粤人社规﹝2015﹞5号）的规定缴纳工伤保险费；按照《广州市住房和城乡建设局关于全面推进房屋建筑工程安全生产责任保险工作的通知》（穗建质[2023]689号）足额投保安全生产责任险。如因承包人未按规定缴纳</w:t>
      </w:r>
      <w:r>
        <w:rPr>
          <w:rFonts w:hint="eastAsia" w:ascii="宋体" w:hAnsi="宋体" w:eastAsia="宋体" w:cs="宋体"/>
          <w:b w:val="0"/>
          <w:color w:val="auto"/>
          <w:kern w:val="0"/>
          <w:sz w:val="24"/>
          <w:szCs w:val="24"/>
          <w:highlight w:val="none"/>
          <w:lang w:val="en-US" w:eastAsia="zh-CN" w:bidi="ar"/>
        </w:rPr>
        <w:t>以上</w:t>
      </w:r>
      <w:r>
        <w:rPr>
          <w:rFonts w:hint="eastAsia" w:ascii="宋体" w:hAnsi="宋体" w:eastAsia="宋体" w:cs="宋体"/>
          <w:color w:val="auto"/>
          <w:kern w:val="0"/>
          <w:sz w:val="24"/>
          <w:szCs w:val="24"/>
          <w:highlight w:val="none"/>
          <w:lang w:val="en-US" w:eastAsia="zh-CN" w:bidi="ar"/>
        </w:rPr>
        <w:t>保险费或投保导致本工程施工许可证未能如期取得的，由此引起的相关责任全部由承包人承担。</w:t>
      </w:r>
    </w:p>
    <w:p w14:paraId="4DC755C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default" w:ascii="Times New Roman" w:hAnsi="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6.5本项目</w:t>
      </w:r>
      <w:r>
        <w:rPr>
          <w:rFonts w:hint="eastAsia" w:ascii="宋体" w:hAnsi="宋体" w:eastAsia="宋体" w:cs="宋体"/>
          <w:color w:val="auto"/>
          <w:kern w:val="0"/>
          <w:sz w:val="24"/>
          <w:szCs w:val="24"/>
          <w:highlight w:val="none"/>
          <w:shd w:val="clear" w:fill="FFFFFF"/>
          <w:lang w:val="en-US" w:eastAsia="zh-CN" w:bidi="ar"/>
        </w:rPr>
        <w:t>工程进度款中的工人工资款比例按照本项目中标通知书中单列的人工费金额除以中标金额计算，工人工资款直接拨付至</w:t>
      </w:r>
      <w:r>
        <w:rPr>
          <w:rFonts w:hint="eastAsia" w:ascii="宋体" w:hAnsi="宋体" w:eastAsia="宋体" w:cs="宋体"/>
          <w:color w:val="auto"/>
          <w:kern w:val="0"/>
          <w:sz w:val="24"/>
          <w:szCs w:val="24"/>
          <w:highlight w:val="none"/>
          <w:lang w:val="en-US" w:eastAsia="zh-CN" w:bidi="ar"/>
        </w:rPr>
        <w:t>施工总承包管理单位按《广州市建设领域工人工资支付分账管理实施细则》（穗建规字〔2020〕37号）的规定开立工人工资支付专用账户，并由施工总承包管理单位通过工人工资支付专用账户代为支付，承包人需与施工总承包管理单位签订附件《工人工资委托代发协议书协议》约定相关支付责任，并按《广州市住房和城乡建设局 广州市人力资源和社会保障局关于加强房屋建筑工程实名制管理保障农民工工资的通知》（穗建筑〔2024〕263号）的要求保障工人工资发放。</w:t>
      </w:r>
    </w:p>
    <w:p w14:paraId="75B479D3">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default" w:ascii="微软雅黑" w:hAnsi="微软雅黑" w:eastAsia="微软雅黑" w:cs="微软雅黑"/>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6.6承包人应当按照</w:t>
      </w:r>
      <w:r>
        <w:rPr>
          <w:rFonts w:hint="eastAsia" w:ascii="宋体" w:hAnsi="宋体" w:eastAsia="宋体" w:cs="宋体"/>
          <w:color w:val="auto"/>
          <w:kern w:val="2"/>
          <w:sz w:val="24"/>
          <w:szCs w:val="24"/>
          <w:highlight w:val="none"/>
          <w:lang w:val="en-US" w:eastAsia="zh-CN" w:bidi="ar"/>
        </w:rPr>
        <w:t>《广州市住房和城乡建设局关于印发&lt;广州市建筑施工实名制管理办法&gt;的通知》（穗建规字〔2020〕18号）和《广州市住房和城乡建设局 广州市人力资源和社会保障局关于加强房屋建筑工程实名制管理保障农民工工资的通知》（穗建筑〔2024〕263号）等文件</w:t>
      </w:r>
      <w:r>
        <w:rPr>
          <w:rFonts w:hint="eastAsia" w:ascii="宋体" w:hAnsi="宋体" w:eastAsia="宋体" w:cs="宋体"/>
          <w:color w:val="auto"/>
          <w:kern w:val="0"/>
          <w:sz w:val="24"/>
          <w:szCs w:val="24"/>
          <w:highlight w:val="none"/>
          <w:lang w:val="en-US" w:eastAsia="zh-CN" w:bidi="ar"/>
        </w:rPr>
        <w:t>的有关要求，利用信息技术手段，为施工现场人员（即实名管理对象，指建筑项目负责人、现场管理人员和作业工人）建立实名制管理机构，建立健全实名制信息采集、登记、报送、审核和档案管理的有关制度，落实实名管理制度。如</w:t>
      </w:r>
      <w:r>
        <w:rPr>
          <w:rFonts w:hint="eastAsia" w:ascii="宋体" w:hAnsi="宋体" w:eastAsia="宋体" w:cs="宋体"/>
          <w:color w:val="auto"/>
          <w:kern w:val="2"/>
          <w:sz w:val="24"/>
          <w:szCs w:val="24"/>
          <w:highlight w:val="none"/>
          <w:lang w:val="en-US" w:eastAsia="zh-CN" w:bidi="ar"/>
        </w:rPr>
        <w:t>未按规定建立建筑施工实名制信息登记档案或档案不符合规定标准的，由此引起的一切责任和后果（包括不限于被纳入企业“黑名单”、按招标及合同文件规定被发包人拒绝参与其后续工程招标项目投标等）均由承包人自行承担。</w:t>
      </w:r>
    </w:p>
    <w:p w14:paraId="4339ACD5">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发包人直接发包的专业承包单位应按照其与施工总承包管理单位签订的附件《施工总承包管理协议书》的约定和施工总承包管理单位的要求开展实名管理的相关工作。</w:t>
      </w:r>
    </w:p>
    <w:p w14:paraId="5059D600">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6.7</w:t>
      </w:r>
      <w:r>
        <w:rPr>
          <w:rFonts w:hint="eastAsia" w:ascii="宋体" w:hAnsi="宋体" w:eastAsia="宋体" w:cs="宋体"/>
          <w:color w:val="auto"/>
          <w:kern w:val="2"/>
          <w:sz w:val="24"/>
          <w:szCs w:val="24"/>
          <w:highlight w:val="none"/>
          <w:lang w:val="en-US" w:eastAsia="zh-CN" w:bidi="ar"/>
        </w:rPr>
        <w:t>发包人、承包人双方一致同意，</w:t>
      </w:r>
      <w:r>
        <w:rPr>
          <w:rFonts w:hint="eastAsia" w:ascii="宋体" w:hAnsi="宋体" w:eastAsia="宋体" w:cs="宋体"/>
          <w:color w:val="auto"/>
          <w:kern w:val="0"/>
          <w:sz w:val="24"/>
          <w:szCs w:val="24"/>
          <w:highlight w:val="none"/>
          <w:lang w:val="en-US" w:eastAsia="zh-CN" w:bidi="ar"/>
        </w:rPr>
        <w:t>如本合同工程纳入广州市年度审计项目计划，且审计机关对于结算评审提出修正意见的，双方应当本着实事求是的原则予以纠正。</w:t>
      </w:r>
    </w:p>
    <w:p w14:paraId="565450B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6.8</w:t>
      </w:r>
      <w:r>
        <w:rPr>
          <w:rFonts w:hint="eastAsia" w:ascii="宋体" w:hAnsi="宋体" w:eastAsia="宋体" w:cs="宋体"/>
          <w:bCs/>
          <w:color w:val="auto"/>
          <w:kern w:val="0"/>
          <w:sz w:val="24"/>
          <w:szCs w:val="24"/>
          <w:highlight w:val="none"/>
          <w:lang w:val="en-US" w:eastAsia="zh-CN" w:bidi="ar"/>
        </w:rPr>
        <w:t>发包人受项目业主单位委托，实施本项目建设管理，项目建设资金由项目业主单位负责落实，本合同款项以现金支付方式及赞助权益回报方式支付。</w:t>
      </w:r>
    </w:p>
    <w:p w14:paraId="4FD91275">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（1）现金支付部分支付方式如下：</w:t>
      </w:r>
    </w:p>
    <w:p w14:paraId="361DBA4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承包人在达到本合同付款条件并按照合同约定申请支付本合同款项的现金支付部分时，应向发包人提交相应合法有效的支付申请材料和收款票据（票据类型包括但不限于发票，下同；由承包人向项目业主单位开具，即付款方名称为“</w:t>
      </w:r>
      <w:r>
        <w:rPr>
          <w:rFonts w:hint="eastAsia" w:ascii="宋体" w:hAnsi="宋体" w:eastAsia="宋体" w:cs="宋体"/>
          <w:b/>
          <w:color w:val="auto"/>
          <w:kern w:val="0"/>
          <w:sz w:val="24"/>
          <w:szCs w:val="24"/>
          <w:highlight w:val="none"/>
          <w:lang w:val="en-US" w:eastAsia="zh-CN" w:bidi="ar"/>
        </w:rPr>
        <w:t xml:space="preserve"> </w:t>
      </w:r>
      <w:r>
        <w:rPr>
          <w:rFonts w:hint="eastAsia" w:ascii="宋体" w:hAnsi="宋体" w:eastAsia="宋体" w:cs="宋体"/>
          <w:bCs/>
          <w:color w:val="auto"/>
          <w:kern w:val="0"/>
          <w:sz w:val="24"/>
          <w:szCs w:val="24"/>
          <w:highlight w:val="none"/>
          <w:lang w:val="en-US" w:eastAsia="zh-CN" w:bidi="ar"/>
        </w:rPr>
        <w:t>”）。</w:t>
      </w:r>
    </w:p>
    <w:p w14:paraId="6B74E7C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承包人按相关规定及财务制度（含发包人的财务管理制度）提交完备且无误的支付申请材料后，发包人对承包人提交的支付申请材料进行审核，发包人在审核确定且项目资金到位后把相关资料连同承包人提交的发票向资金核拨管理部门申请拨付有关款项至承包人，具体支付时间以资金核拨管理部门实际支付时间为准。承包人承诺不因财政或上级主管部门等原因导致的支付延迟而向发包人及项目业主单位索赔费用或主张相关违约责任，并且此情况不能成为承包人中止或拒绝履行合同约定义务的理由。</w:t>
      </w:r>
    </w:p>
    <w:p w14:paraId="29AAFAA3">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具体要求按发包人与项目业主单位签订的《建设资金支付协议》（详见附件19）执行。</w:t>
      </w:r>
    </w:p>
    <w:p w14:paraId="61727EBC">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（2）赞助权益回报部分按承包人与省执委会签订的《赞助协议》执行。承包人向第十五届全国运动会广东赛区执行委员会（以下简称十五运会省执委会）交付现金等价物【</w:t>
      </w:r>
      <w:r>
        <w:rPr>
          <w:rFonts w:hint="eastAsia" w:ascii="宋体" w:hAnsi="宋体" w:eastAsia="宋体" w:cs="宋体"/>
          <w:bCs/>
          <w:strike/>
          <w:color w:val="auto"/>
          <w:kern w:val="0"/>
          <w:sz w:val="24"/>
          <w:szCs w:val="24"/>
          <w:highlight w:val="none"/>
          <w:lang w:val="en-US" w:eastAsia="zh-CN" w:bidi="ar"/>
        </w:rPr>
        <w:t>赞助物资</w:t>
      </w:r>
      <w:r>
        <w:rPr>
          <w:rFonts w:hint="eastAsia" w:ascii="宋体" w:hAnsi="宋体" w:eastAsia="宋体" w:cs="宋体"/>
          <w:bCs/>
          <w:color w:val="auto"/>
          <w:kern w:val="0"/>
          <w:sz w:val="24"/>
          <w:szCs w:val="24"/>
          <w:highlight w:val="none"/>
          <w:lang w:val="en-US" w:eastAsia="zh-CN" w:bidi="ar"/>
        </w:rPr>
        <w:t>】后五个工作日内，向十五运会省执委会开具相应的增值税专用发票。十五运会省执委会在收到承包人开具的增值税发票，并将交付的现金等价物经验收合格、办理完资产(物资)登记的有关手续后五个工作日内，向承包人开具同等金额的增值税发票。</w:t>
      </w:r>
    </w:p>
    <w:p w14:paraId="7A1B8CA8">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6.9本工程竣工验收且移交给项目业主单位使用管理后，本合同项下属于发包人在工程质量保修阶段所涉及的权利和义务即由项目业主单位享有和承担，即：由项目业主单位牵头组织完成项目合同约定范围内的工程质量保修期服务，发包人负责监督协调，承包人在本合同中约定的工程质量保修所涉及的权利和义务不变。</w:t>
      </w:r>
    </w:p>
    <w:p w14:paraId="26B9099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本工程的工程质量保证金，由承包人向项目业主单位提交申请支付资料，项目业主单位按相关审批手续组织审核后，由项目业主单位将相关付款资料和承包人提交的发票送资金核拨管理部门办理拨款手续。</w:t>
      </w:r>
    </w:p>
    <w:p w14:paraId="7279D123">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7、组成合同的文件</w:t>
      </w:r>
    </w:p>
    <w:p w14:paraId="218C9015">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下列文件应被认为是组成本合同的一部分，并互为补充和解释，如各文件存在冲突之处，以如下排列次序在前者优先适用：</w:t>
      </w:r>
    </w:p>
    <w:p w14:paraId="25C6CCEA">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（1）相关政府主管部门关于本工程的有关文件；</w:t>
      </w:r>
    </w:p>
    <w:p w14:paraId="6D8BACA3">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（2）本合同履行期间发包人与承包人双方签订的补充合同（协议）或修正文件；</w:t>
      </w:r>
    </w:p>
    <w:p w14:paraId="02098A43">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（3）合同协议书；</w:t>
      </w:r>
    </w:p>
    <w:p w14:paraId="0DEDEC06">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（4）中标通知书；</w:t>
      </w:r>
    </w:p>
    <w:p w14:paraId="2E94B04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（5）合同专用条款、赞助协议；</w:t>
      </w:r>
    </w:p>
    <w:p w14:paraId="64797A2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（6）发包人针对工程管理的各项制度、规定，包括继续沿用发包人更名前相关制度、规定（如有更新则按更新后的执行，下同）；</w:t>
      </w:r>
    </w:p>
    <w:p w14:paraId="5146E00A">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（7）合同附件[属本条第（1）项和第（6）项内容的除外]；</w:t>
      </w:r>
    </w:p>
    <w:p w14:paraId="2505AA8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（8）合同通用条款；</w:t>
      </w:r>
    </w:p>
    <w:p w14:paraId="6E9B9FA5">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（9）招标文件[含招标文件补充文件、澄清文件、答疑文件、招标图等，属本条第（7）项内容的除外]；</w:t>
      </w:r>
    </w:p>
    <w:p w14:paraId="7DACD46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（10）承包人投标文件及其附件[含投标文件澄清等，属本条第（7）项内容的除外]；</w:t>
      </w:r>
    </w:p>
    <w:p w14:paraId="4B7D34B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（11）国家及广东省、广州市的标准、规范及有关技术文件；</w:t>
      </w:r>
    </w:p>
    <w:p w14:paraId="4E0B885B">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（12）组成合同的其他文件。</w:t>
      </w:r>
    </w:p>
    <w:p w14:paraId="67CAFC4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通过上述顺序解释仍无法明确的事项，由发包人与承包人协商解决；如协商不成，由发包人按照公平合理和有利于本工程建设的原则作出决定，如承包人对此决定不服的，应在接到发包人决定之日起三日内提出书面异议。如期满不提出书面异议的，视为同意发包人的决定。发包人收到承包人的书面异议后应作出进一步的决定。如承包人还不服的，可按合同专用条款第40条的约定处理，但在有关部门作出正式裁决之前，承包人必须无条件先行执行发包人的决定。</w:t>
      </w:r>
    </w:p>
    <w:p w14:paraId="7B6917AB">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8、</w:t>
      </w:r>
      <w:r>
        <w:rPr>
          <w:rFonts w:hint="eastAsia" w:ascii="宋体" w:hAnsi="宋体" w:eastAsia="宋体" w:cs="宋体"/>
          <w:color w:val="auto"/>
          <w:kern w:val="0"/>
          <w:sz w:val="24"/>
          <w:szCs w:val="24"/>
          <w:highlight w:val="none"/>
          <w:lang w:val="en-US" w:eastAsia="zh-CN" w:bidi="ar"/>
        </w:rPr>
        <w:t>承包人应在收到中标通知书之日起5日内以书面形式向发包人提交其法定代表人、本工程项目经理（项目负责人）的姓名、身份证复印件、职务、职称、联系方式（包括办公电话、手机、传真号码）、通信地址等信息作为合同附件。</w:t>
      </w:r>
    </w:p>
    <w:p w14:paraId="2F217EA5">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9、</w:t>
      </w:r>
      <w:r>
        <w:rPr>
          <w:rFonts w:hint="eastAsia" w:ascii="宋体" w:hAnsi="宋体" w:eastAsia="宋体" w:cs="宋体"/>
          <w:color w:val="auto"/>
          <w:kern w:val="0"/>
          <w:sz w:val="24"/>
          <w:szCs w:val="24"/>
          <w:highlight w:val="none"/>
          <w:lang w:val="en-US" w:eastAsia="zh-CN" w:bidi="ar"/>
        </w:rPr>
        <w:t>在本合同有效期内，承包人的单位名称变更的，应及时以书面形式通知发包人并附上变更登记资料；法定代表人变更的，应在变更后15日内向发包人提交新法定代表人的姓名、身份证复印件、职务、职称、联系电话、通信地址等信息。</w:t>
      </w:r>
    </w:p>
    <w:p w14:paraId="71AB177A">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在本合同有效期内，现场管理机构各部主要组织管理人员[包括但不限于工程项目经理（项目负责人）、技术负责人]应与投标文件保持一致，且需常驻工地。发包人不要求更换时不得更换。因特殊情况需要更换的，承包人应以书面形式向监理单位提出意向（附前任和后任人员的详细履历资料），经总监理工程师签署意见后向发包人提出申请，征得发包人及项目业主同意后方可更换。出现前述情形，承包人除按合同专用条款的有关约定承担违约责任外，还应在更换后7日内将新项目经理（项目负责人）的姓名、职务、职称、联系电话、通信地址等信息提交给发包人。</w:t>
      </w:r>
    </w:p>
    <w:p w14:paraId="64A6F745">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发包人已建立工程项目信息管理系统，承包人应投入足够的人员并配备足够的设备与该系统连接，确保及时准确地按发包人要求进行信息沟通及管理。</w:t>
      </w:r>
    </w:p>
    <w:p w14:paraId="456E5EF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应就本合同在发包人工程项目信息管理系统开通账号，账号操作人在该系统上的所有操作行为均视为承包人行为、已获得承包人授权及认可；通过该账号提交的信息、文件与资料，无论是否加盖承包人公章，均视为已获得承包人认可并属承包人向发包人提交的正式文件与资料。与该账号操作相关的行为与内容，其法律效果和法律责任一律由承包人承受及承担。前述信息、文件与资料如有需要形成纸质文件并加盖公章的，承包人必须按发包人要求提供。</w:t>
      </w:r>
    </w:p>
    <w:p w14:paraId="6F49C8B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val="en-US" w:eastAsia="zh-CN" w:bidi="ar"/>
        </w:rPr>
        <w:t>合同协议书中有关词语含义与合同通用条款、合同专用条款中分别赋予它们的定义相同。</w:t>
      </w:r>
    </w:p>
    <w:p w14:paraId="7DFC4375">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13、承包人向发包人承诺按照合同约定进行采购、施工、竣工验收、移交、结算、管理及配合服务，并在缺陷责任期及质量保修期内承担相应的工程维修责任。</w:t>
      </w:r>
    </w:p>
    <w:p w14:paraId="61C7655B">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14、</w:t>
      </w:r>
      <w:r>
        <w:rPr>
          <w:rFonts w:hint="eastAsia" w:ascii="宋体" w:hAnsi="宋体" w:eastAsia="宋体" w:cs="宋体"/>
          <w:color w:val="auto"/>
          <w:kern w:val="0"/>
          <w:sz w:val="24"/>
          <w:szCs w:val="24"/>
          <w:highlight w:val="none"/>
          <w:lang w:val="en-US" w:eastAsia="zh-CN" w:bidi="ar"/>
        </w:rPr>
        <w:t>发包人向承包人承诺按照合同约定的期限和方式支付合同价款及按合同约定应支付的其他款项。</w:t>
      </w:r>
    </w:p>
    <w:p w14:paraId="788258BB">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15、在出现以下情况时，发包人有权拒绝承包人参与发包人后续招标项目的投标，同时发包人有权提请十五运会省执委会撤销赞助权益授予、上报省、市行业主管部门进行诚信扣分或限制投标资格等处理，并予以通报：</w:t>
      </w:r>
    </w:p>
    <w:p w14:paraId="56158408">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（1）承包人因过错行为被生效法律文书认定承担违约或侵权责任的；</w:t>
      </w:r>
    </w:p>
    <w:p w14:paraId="6ECB6CE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（2）承包人就其与发包人之间的争议问题向人民法院提起诉讼或向仲裁机构提请仲裁，且该诉讼（或仲裁）案件尚未审理终结的；</w:t>
      </w:r>
    </w:p>
    <w:p w14:paraId="73EFDB1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（3）承包人不按合同及有关规定按时、足额支付分包单位合同价款及工人工资被投诉，经发包人查证属实的，或因此致使工人集体上访、集聚围阻而造成社会不良影响的；</w:t>
      </w:r>
    </w:p>
    <w:p w14:paraId="793C19AC">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因承包人原因导致发包人被其他单位或个人以诉讼或仲裁方式追索工程款或其他费用，但承包人未按照合同约定承担发包人由此产生的一切经济损失（包括但不限于发包人由此支出的所有诉讼或仲裁费用、律师代理费及其他费用），在收到发包人赔付通知后拒绝赔付的；</w:t>
      </w:r>
    </w:p>
    <w:p w14:paraId="57A9D575">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（5）承包人违反合同约定应承担两次以上严重违约责任的；</w:t>
      </w:r>
    </w:p>
    <w:p w14:paraId="1156092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（6）承包人自行调换或未按照发包人要求及时更换项目经理的。经发包人同意撤换的项目经理，该项目经理自撤换之日起半年内不允许其参加发包人后续工程项目的投标；</w:t>
      </w:r>
    </w:p>
    <w:p w14:paraId="09AAA179">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（7）承包人委派的项目经理长期不到位（即连续三个月或以上达不到合同约定的出勤率）。</w:t>
      </w:r>
    </w:p>
    <w:p w14:paraId="002CF4EB">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16、合同生效</w:t>
      </w:r>
    </w:p>
    <w:p w14:paraId="7B12C469">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本合同自发包人、承包人双方签字盖章（公章或合同专用章）之日起生效，委托代理人签字的需经另一方书面同意。本合同有效期至本工程质量保修期满且竣工结算满60日及双方的责任、义务履行完毕时终止。</w:t>
      </w:r>
    </w:p>
    <w:p w14:paraId="1B8DAFBC">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1"/>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17、合同份数</w:t>
      </w:r>
    </w:p>
    <w:p w14:paraId="02213036">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本合同正本一式两份，发包人、承包人各执一份；副本八份，其中发包人执六份，承包人执两份。合同正、副本具有同等效力，但当合同正本与副本的表述不一致时，以合同正本为准。</w:t>
      </w:r>
    </w:p>
    <w:p w14:paraId="26FBF6E9">
      <w:pPr>
        <w:keepNext w:val="0"/>
        <w:keepLines w:val="0"/>
        <w:widowControl w:val="0"/>
        <w:suppressLineNumbers w:val="0"/>
        <w:adjustRightInd w:val="0"/>
        <w:snapToGrid w:val="0"/>
        <w:spacing w:before="0" w:beforeAutospacing="0" w:after="0" w:afterAutospacing="0" w:line="360" w:lineRule="auto"/>
        <w:ind w:left="0" w:right="11" w:firstLine="424" w:firstLineChars="17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18、</w:t>
      </w:r>
      <w:r>
        <w:rPr>
          <w:rFonts w:hint="eastAsia" w:ascii="宋体" w:hAnsi="宋体" w:eastAsia="宋体" w:cs="宋体"/>
          <w:color w:val="auto"/>
          <w:kern w:val="0"/>
          <w:sz w:val="24"/>
          <w:szCs w:val="24"/>
          <w:highlight w:val="none"/>
          <w:lang w:val="en-US" w:eastAsia="zh-CN" w:bidi="ar"/>
        </w:rPr>
        <w:t>中标通知书和招标答疑及澄清文件附在合同协议书后。</w:t>
      </w:r>
    </w:p>
    <w:p w14:paraId="13412028">
      <w:pPr>
        <w:keepNext w:val="0"/>
        <w:keepLines w:val="0"/>
        <w:widowControl w:val="0"/>
        <w:suppressLineNumbers w:val="0"/>
        <w:adjustRightInd w:val="0"/>
        <w:snapToGrid w:val="0"/>
        <w:spacing w:before="0" w:beforeAutospacing="0" w:after="0" w:afterAutospacing="0" w:line="360" w:lineRule="auto"/>
        <w:ind w:left="0" w:right="11" w:firstLine="422" w:firstLineChars="176"/>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0F9964D4">
      <w:pPr>
        <w:keepNext w:val="0"/>
        <w:keepLines w:val="0"/>
        <w:widowControl w:val="0"/>
        <w:suppressLineNumbers w:val="0"/>
        <w:adjustRightInd w:val="0"/>
        <w:snapToGrid w:val="0"/>
        <w:spacing w:before="0" w:beforeAutospacing="0" w:after="0" w:afterAutospacing="0" w:line="360" w:lineRule="auto"/>
        <w:ind w:left="0" w:right="11" w:firstLine="422" w:firstLineChars="176"/>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 xml:space="preserve"> </w:t>
      </w:r>
    </w:p>
    <w:p w14:paraId="66B0B518">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lang w:val="en-US" w:eastAsia="zh-CN" w:bidi="ar"/>
        </w:rPr>
        <w:t>发包人：</w:t>
      </w:r>
      <w:r>
        <w:rPr>
          <w:rFonts w:hint="eastAsia" w:ascii="宋体" w:hAnsi="宋体" w:eastAsia="宋体" w:cs="宋体"/>
          <w:b/>
          <w:color w:val="auto"/>
          <w:spacing w:val="-12"/>
          <w:kern w:val="0"/>
          <w:sz w:val="24"/>
          <w:szCs w:val="24"/>
          <w:highlight w:val="none"/>
          <w:lang w:val="en-US" w:eastAsia="zh-CN" w:bidi="ar"/>
        </w:rPr>
        <w:t>广州市重点公共建设项目管理中心</w:t>
      </w:r>
      <w:r>
        <w:rPr>
          <w:rFonts w:hint="eastAsia" w:ascii="宋体" w:hAnsi="宋体" w:eastAsia="宋体" w:cs="宋体"/>
          <w:color w:val="auto"/>
          <w:spacing w:val="-12"/>
          <w:kern w:val="0"/>
          <w:sz w:val="24"/>
          <w:szCs w:val="24"/>
          <w:highlight w:val="none"/>
          <w:lang w:val="en-US" w:eastAsia="zh-CN" w:bidi="ar"/>
        </w:rPr>
        <w:t xml:space="preserve">   </w:t>
      </w:r>
      <w:r>
        <w:rPr>
          <w:rFonts w:hint="eastAsia" w:ascii="宋体" w:hAnsi="宋体" w:eastAsia="宋体" w:cs="宋体"/>
          <w:color w:val="auto"/>
          <w:spacing w:val="-20"/>
          <w:kern w:val="0"/>
          <w:sz w:val="24"/>
          <w:szCs w:val="24"/>
          <w:highlight w:val="none"/>
          <w:lang w:val="en-US" w:eastAsia="zh-CN" w:bidi="ar"/>
        </w:rPr>
        <w:t xml:space="preserve">    承包人：</w:t>
      </w:r>
      <w:r>
        <w:rPr>
          <w:rFonts w:hint="eastAsia" w:ascii="宋体" w:hAnsi="宋体" w:eastAsia="宋体" w:cs="宋体"/>
          <w:b/>
          <w:color w:val="auto"/>
          <w:kern w:val="2"/>
          <w:sz w:val="24"/>
          <w:szCs w:val="24"/>
          <w:highlight w:val="none"/>
          <w:lang w:val="en-US" w:eastAsia="zh-CN" w:bidi="ar"/>
        </w:rPr>
        <w:t>中标赞助企业</w:t>
      </w:r>
    </w:p>
    <w:p w14:paraId="0ACCCABC">
      <w:pPr>
        <w:keepNext w:val="0"/>
        <w:keepLines w:val="0"/>
        <w:widowControl w:val="0"/>
        <w:suppressLineNumbers w:val="0"/>
        <w:adjustRightInd w:val="0"/>
        <w:snapToGrid w:val="0"/>
        <w:spacing w:before="0" w:beforeAutospacing="0" w:after="0" w:afterAutospacing="0" w:line="360" w:lineRule="auto"/>
        <w:ind w:left="0" w:right="11" w:firstLine="2760" w:firstLineChars="1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（盖章）                    （盖章）</w:t>
      </w:r>
    </w:p>
    <w:p w14:paraId="23993411">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法定代表人：                           法定代表人：</w:t>
      </w:r>
    </w:p>
    <w:p w14:paraId="0E2CE7B7">
      <w:pPr>
        <w:keepNext w:val="0"/>
        <w:keepLines w:val="0"/>
        <w:widowControl w:val="0"/>
        <w:suppressLineNumbers w:val="0"/>
        <w:adjustRightInd w:val="0"/>
        <w:snapToGrid w:val="0"/>
        <w:spacing w:before="0" w:beforeAutospacing="0" w:after="0" w:afterAutospacing="0" w:line="360" w:lineRule="auto"/>
        <w:ind w:left="-2" w:leftChars="-1"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63858FB">
      <w:pPr>
        <w:pStyle w:val="3"/>
        <w:keepNext w:val="0"/>
        <w:keepLines w:val="0"/>
        <w:widowControl w:val="0"/>
        <w:suppressLineNumbers w:val="0"/>
        <w:spacing w:before="0" w:beforeAutospacing="0" w:after="0" w:afterAutospacing="0"/>
        <w:ind w:left="0" w:right="0"/>
        <w:jc w:val="both"/>
        <w:rPr>
          <w:rFonts w:hint="eastAsia" w:ascii="宋体" w:hAnsi="Courier New" w:eastAsia="宋体" w:cs="宋体"/>
          <w:color w:val="auto"/>
          <w:kern w:val="2"/>
          <w:sz w:val="21"/>
          <w:szCs w:val="21"/>
          <w:highlight w:val="none"/>
        </w:rPr>
      </w:pPr>
      <w:r>
        <w:rPr>
          <w:rFonts w:hint="eastAsia" w:ascii="宋体" w:hAnsi="Courier New" w:eastAsia="宋体" w:cs="宋体"/>
          <w:color w:val="auto"/>
          <w:kern w:val="2"/>
          <w:sz w:val="21"/>
          <w:szCs w:val="21"/>
          <w:highlight w:val="none"/>
          <w:lang w:val="en-US" w:eastAsia="zh-CN" w:bidi="ar"/>
        </w:rPr>
        <w:t xml:space="preserve"> </w:t>
      </w:r>
    </w:p>
    <w:p w14:paraId="52FE61BD">
      <w:pPr>
        <w:keepNext w:val="0"/>
        <w:keepLines w:val="0"/>
        <w:widowControl w:val="0"/>
        <w:suppressLineNumbers w:val="0"/>
        <w:adjustRightInd w:val="0"/>
        <w:snapToGrid w:val="0"/>
        <w:spacing w:before="0" w:beforeAutospacing="0" w:after="0" w:afterAutospacing="0" w:line="360" w:lineRule="auto"/>
        <w:ind w:left="-2" w:leftChars="-1"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委托代理人：                           委托代理人：</w:t>
      </w:r>
    </w:p>
    <w:p w14:paraId="3E88530F">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30D91981">
      <w:pPr>
        <w:keepNext w:val="0"/>
        <w:keepLines w:val="0"/>
        <w:widowControl w:val="0"/>
        <w:suppressLineNumbers w:val="0"/>
        <w:adjustRightInd w:val="0"/>
        <w:snapToGrid w:val="0"/>
        <w:spacing w:before="0" w:beforeAutospacing="0" w:after="0" w:afterAutospacing="0" w:line="360" w:lineRule="auto"/>
        <w:ind w:left="4800" w:right="11" w:hanging="4800" w:hangingChars="20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地址：广州大学城内环东星运路1号       地址： </w:t>
      </w:r>
    </w:p>
    <w:p w14:paraId="5852FFF2">
      <w:pPr>
        <w:keepNext w:val="0"/>
        <w:keepLines w:val="0"/>
        <w:widowControl w:val="0"/>
        <w:suppressLineNumbers w:val="0"/>
        <w:adjustRightInd w:val="0"/>
        <w:snapToGrid w:val="0"/>
        <w:spacing w:before="0" w:beforeAutospacing="0" w:after="0" w:afterAutospacing="0" w:line="360" w:lineRule="auto"/>
        <w:ind w:left="4800" w:right="11" w:hanging="4800" w:hangingChars="20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邮政编码：510006                       邮政编码：</w:t>
      </w:r>
    </w:p>
    <w:p w14:paraId="495249DD">
      <w:pPr>
        <w:keepNext w:val="0"/>
        <w:keepLines w:val="0"/>
        <w:widowControl w:val="0"/>
        <w:suppressLineNumbers w:val="0"/>
        <w:adjustRightInd w:val="0"/>
        <w:snapToGrid w:val="0"/>
        <w:spacing w:before="0" w:beforeAutospacing="0" w:after="0" w:afterAutospacing="0" w:line="360" w:lineRule="auto"/>
        <w:ind w:left="4800" w:right="11" w:hanging="4800" w:hangingChars="20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电话：                                 电话：</w:t>
      </w:r>
    </w:p>
    <w:p w14:paraId="46B4F4E7">
      <w:pPr>
        <w:keepNext w:val="0"/>
        <w:keepLines w:val="0"/>
        <w:widowControl w:val="0"/>
        <w:suppressLineNumbers w:val="0"/>
        <w:adjustRightInd w:val="0"/>
        <w:snapToGrid w:val="0"/>
        <w:spacing w:before="0" w:beforeAutospacing="0" w:after="0" w:afterAutospacing="0" w:line="360" w:lineRule="auto"/>
        <w:ind w:left="4800" w:right="11" w:hanging="4800" w:hangingChars="20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传真：                                 传真：</w:t>
      </w:r>
    </w:p>
    <w:p w14:paraId="08B3876C">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签订时间：    年  月  日               开户银行：</w:t>
      </w:r>
    </w:p>
    <w:p w14:paraId="705549F8">
      <w:pPr>
        <w:keepNext w:val="0"/>
        <w:keepLines w:val="0"/>
        <w:widowControl w:val="0"/>
        <w:suppressLineNumbers w:val="0"/>
        <w:adjustRightInd w:val="0"/>
        <w:snapToGrid w:val="0"/>
        <w:spacing w:before="0" w:beforeAutospacing="0" w:after="0" w:afterAutospacing="0" w:line="360" w:lineRule="auto"/>
        <w:ind w:left="4800" w:right="11" w:hanging="4800" w:hangingChars="20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银行账号： </w:t>
      </w:r>
    </w:p>
    <w:p w14:paraId="6193AE24">
      <w:pPr>
        <w:keepNext w:val="0"/>
        <w:keepLines w:val="0"/>
        <w:widowControl w:val="0"/>
        <w:suppressLineNumbers w:val="0"/>
        <w:adjustRightInd w:val="0"/>
        <w:snapToGrid w:val="0"/>
        <w:spacing w:before="0" w:beforeAutospacing="0" w:after="0" w:afterAutospacing="0" w:line="360" w:lineRule="auto"/>
        <w:ind w:left="4800" w:right="11" w:hanging="4800" w:hangingChars="20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纳税人识别号：</w:t>
      </w:r>
    </w:p>
    <w:p w14:paraId="4C88185C">
      <w:pPr>
        <w:keepNext w:val="0"/>
        <w:keepLines w:val="0"/>
        <w:widowControl w:val="0"/>
        <w:suppressLineNumbers w:val="0"/>
        <w:adjustRightInd w:val="0"/>
        <w:snapToGrid w:val="0"/>
        <w:spacing w:before="0" w:beforeAutospacing="0" w:after="0" w:afterAutospacing="0" w:line="360" w:lineRule="auto"/>
        <w:ind w:left="-2" w:leftChars="-1"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签订时间：    年  月  日</w:t>
      </w:r>
    </w:p>
    <w:p w14:paraId="7D63EA34">
      <w:pPr>
        <w:keepNext w:val="0"/>
        <w:keepLines w:val="0"/>
        <w:widowControl w:val="0"/>
        <w:suppressLineNumbers w:val="0"/>
        <w:adjustRightInd w:val="0"/>
        <w:snapToGrid w:val="0"/>
        <w:spacing w:before="0" w:beforeAutospacing="0" w:after="0" w:afterAutospacing="0" w:line="360" w:lineRule="auto"/>
        <w:ind w:left="-2" w:leftChars="-1"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BBE4C9C">
      <w:pPr>
        <w:keepNext w:val="0"/>
        <w:keepLines w:val="0"/>
        <w:widowControl w:val="0"/>
        <w:suppressLineNumbers w:val="0"/>
        <w:adjustRightInd w:val="0"/>
        <w:snapToGrid w:val="0"/>
        <w:spacing w:before="0" w:beforeAutospacing="0" w:after="0" w:afterAutospacing="0" w:line="360" w:lineRule="auto"/>
        <w:ind w:left="-2" w:leftChars="-1" w:right="11"/>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合同订立地点：广东省广州市番禺区。</w:t>
      </w:r>
    </w:p>
    <w:p w14:paraId="18836A8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br w:type="page"/>
      </w:r>
      <w:r>
        <w:rPr>
          <w:rFonts w:hint="eastAsia" w:ascii="宋体" w:hAnsi="宋体" w:eastAsia="宋体" w:cs="宋体"/>
          <w:color w:val="auto"/>
          <w:kern w:val="0"/>
          <w:sz w:val="24"/>
          <w:szCs w:val="24"/>
          <w:highlight w:val="none"/>
          <w:lang w:val="en-US" w:eastAsia="zh-CN" w:bidi="ar"/>
        </w:rPr>
        <w:t>合同协议书附1：中标通知书</w:t>
      </w:r>
    </w:p>
    <w:p w14:paraId="666AD726">
      <w:pPr>
        <w:keepNext w:val="0"/>
        <w:keepLines w:val="0"/>
        <w:widowControl w:val="0"/>
        <w:suppressLineNumbers w:val="0"/>
        <w:adjustRightInd w:val="0"/>
        <w:snapToGrid w:val="0"/>
        <w:spacing w:before="0" w:beforeAutospacing="0" w:after="0" w:afterAutospacing="0" w:line="360" w:lineRule="auto"/>
        <w:ind w:left="-2" w:leftChars="-1"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28D03B3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br w:type="page"/>
      </w:r>
      <w:r>
        <w:rPr>
          <w:rFonts w:hint="eastAsia" w:ascii="宋体" w:hAnsi="宋体" w:eastAsia="宋体" w:cs="宋体"/>
          <w:color w:val="auto"/>
          <w:kern w:val="0"/>
          <w:sz w:val="24"/>
          <w:szCs w:val="24"/>
          <w:highlight w:val="none"/>
          <w:lang w:val="en-US" w:eastAsia="zh-CN" w:bidi="ar"/>
        </w:rPr>
        <w:t>合同协议书附2：招标澄清及答疑文件</w:t>
      </w:r>
    </w:p>
    <w:p w14:paraId="1B6CF4E3">
      <w:pPr>
        <w:keepNext w:val="0"/>
        <w:keepLines w:val="0"/>
        <w:widowControl w:val="0"/>
        <w:suppressLineNumbers w:val="0"/>
        <w:adjustRightInd w:val="0"/>
        <w:snapToGrid w:val="0"/>
        <w:spacing w:before="0" w:beforeAutospacing="0" w:after="0" w:afterAutospacing="0" w:line="360" w:lineRule="auto"/>
        <w:ind w:left="-2" w:leftChars="-1"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465AAA3">
      <w:pPr>
        <w:keepNext w:val="0"/>
        <w:keepLines w:val="0"/>
        <w:widowControl w:val="0"/>
        <w:suppressLineNumbers w:val="0"/>
        <w:adjustRightInd w:val="0"/>
        <w:snapToGrid w:val="0"/>
        <w:spacing w:before="0" w:beforeAutospacing="0" w:after="0" w:afterAutospacing="0" w:line="360" w:lineRule="auto"/>
        <w:ind w:left="-2" w:leftChars="-1"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F9238A6">
      <w:pPr>
        <w:keepNext w:val="0"/>
        <w:keepLines w:val="0"/>
        <w:widowControl w:val="0"/>
        <w:suppressLineNumbers w:val="0"/>
        <w:adjustRightInd w:val="0"/>
        <w:snapToGrid w:val="0"/>
        <w:spacing w:before="0" w:beforeAutospacing="0" w:after="0" w:afterAutospacing="0" w:line="360" w:lineRule="auto"/>
        <w:ind w:left="-2" w:leftChars="-1" w:right="11"/>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79A87417">
      <w:pPr>
        <w:keepNext w:val="0"/>
        <w:keepLines w:val="0"/>
        <w:widowControl w:val="0"/>
        <w:suppressLineNumbers w:val="0"/>
        <w:adjustRightInd w:val="0"/>
        <w:snapToGrid w:val="0"/>
        <w:spacing w:before="0" w:beforeAutospacing="0" w:after="0" w:afterAutospacing="0" w:line="360" w:lineRule="auto"/>
        <w:ind w:left="0" w:right="11"/>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val="en-US" w:eastAsia="zh-CN" w:bidi="ar"/>
        </w:rPr>
        <w:br w:type="page"/>
      </w:r>
      <w:r>
        <w:rPr>
          <w:rFonts w:hint="eastAsia" w:ascii="宋体" w:hAnsi="宋体" w:eastAsia="宋体" w:cs="宋体"/>
          <w:b/>
          <w:color w:val="auto"/>
          <w:kern w:val="0"/>
          <w:sz w:val="44"/>
          <w:szCs w:val="44"/>
          <w:highlight w:val="none"/>
          <w:lang w:val="en-US" w:eastAsia="zh-CN" w:bidi="ar"/>
        </w:rPr>
        <w:t>第二篇  合同专用条款</w:t>
      </w:r>
    </w:p>
    <w:p w14:paraId="745CB81D">
      <w:pPr>
        <w:pStyle w:val="3"/>
        <w:keepNext w:val="0"/>
        <w:keepLines w:val="0"/>
        <w:widowControl w:val="0"/>
        <w:suppressLineNumbers w:val="0"/>
        <w:adjustRightInd w:val="0"/>
        <w:snapToGrid w:val="0"/>
        <w:spacing w:before="0" w:beforeAutospacing="0" w:after="0" w:afterAutospacing="0" w:line="360" w:lineRule="auto"/>
        <w:ind w:left="0" w:right="0"/>
        <w:jc w:val="center"/>
        <w:rPr>
          <w:rFonts w:hint="eastAsia" w:ascii="楷体_GB2312" w:hAnsi="宋体" w:eastAsia="楷体_GB2312" w:cs="楷体_GB2312"/>
          <w:color w:val="auto"/>
          <w:kern w:val="0"/>
          <w:sz w:val="24"/>
          <w:szCs w:val="24"/>
          <w:highlight w:val="none"/>
        </w:rPr>
      </w:pPr>
      <w:r>
        <w:rPr>
          <w:rFonts w:hint="eastAsia" w:ascii="楷体_GB2312" w:hAnsi="宋体" w:eastAsia="楷体_GB2312" w:cs="楷体_GB2312"/>
          <w:color w:val="auto"/>
          <w:kern w:val="0"/>
          <w:sz w:val="24"/>
          <w:szCs w:val="24"/>
          <w:highlight w:val="none"/>
          <w:lang w:val="en-US" w:eastAsia="zh-CN" w:bidi="ar"/>
        </w:rPr>
        <w:t>（本部分条款的序号与合同通用条款的序号相对应，是根据本工程的实际情况</w:t>
      </w:r>
    </w:p>
    <w:p w14:paraId="61A5F4AF">
      <w:pPr>
        <w:pStyle w:val="3"/>
        <w:keepNext w:val="0"/>
        <w:keepLines w:val="0"/>
        <w:widowControl w:val="0"/>
        <w:suppressLineNumbers w:val="0"/>
        <w:adjustRightInd w:val="0"/>
        <w:snapToGrid w:val="0"/>
        <w:spacing w:before="0" w:beforeAutospacing="0" w:after="0" w:afterAutospacing="0" w:line="360" w:lineRule="auto"/>
        <w:ind w:left="0" w:right="0"/>
        <w:jc w:val="center"/>
        <w:rPr>
          <w:rFonts w:hint="eastAsia" w:ascii="楷体_GB2312" w:hAnsi="宋体" w:eastAsia="楷体_GB2312" w:cs="楷体_GB2312"/>
          <w:color w:val="auto"/>
          <w:kern w:val="0"/>
          <w:sz w:val="24"/>
          <w:szCs w:val="24"/>
          <w:highlight w:val="none"/>
        </w:rPr>
      </w:pPr>
      <w:r>
        <w:rPr>
          <w:rFonts w:hint="eastAsia" w:ascii="楷体_GB2312" w:hAnsi="宋体" w:eastAsia="楷体_GB2312" w:cs="楷体_GB2312"/>
          <w:color w:val="auto"/>
          <w:kern w:val="0"/>
          <w:sz w:val="24"/>
          <w:szCs w:val="24"/>
          <w:highlight w:val="none"/>
          <w:lang w:val="en-US" w:eastAsia="zh-CN" w:bidi="ar"/>
        </w:rPr>
        <w:t>对合同通用条款中相对应条款进行修改、补充或否定，其适用顺序优先于合同</w:t>
      </w:r>
    </w:p>
    <w:p w14:paraId="4C7BD546">
      <w:pPr>
        <w:pStyle w:val="3"/>
        <w:keepNext w:val="0"/>
        <w:keepLines w:val="0"/>
        <w:widowControl w:val="0"/>
        <w:suppressLineNumbers w:val="0"/>
        <w:adjustRightInd w:val="0"/>
        <w:snapToGrid w:val="0"/>
        <w:spacing w:before="0" w:beforeAutospacing="0" w:after="0" w:afterAutospacing="0" w:line="360" w:lineRule="auto"/>
        <w:ind w:left="0" w:right="0"/>
        <w:jc w:val="center"/>
        <w:rPr>
          <w:rFonts w:hint="eastAsia" w:ascii="楷体_GB2312" w:hAnsi="宋体" w:eastAsia="楷体_GB2312" w:cs="楷体_GB2312"/>
          <w:color w:val="auto"/>
          <w:kern w:val="0"/>
          <w:sz w:val="24"/>
          <w:szCs w:val="24"/>
          <w:highlight w:val="none"/>
        </w:rPr>
      </w:pPr>
      <w:r>
        <w:rPr>
          <w:rFonts w:hint="eastAsia" w:ascii="楷体_GB2312" w:hAnsi="宋体" w:eastAsia="楷体_GB2312" w:cs="楷体_GB2312"/>
          <w:color w:val="auto"/>
          <w:kern w:val="0"/>
          <w:sz w:val="24"/>
          <w:szCs w:val="24"/>
          <w:highlight w:val="none"/>
          <w:lang w:val="en-US" w:eastAsia="zh-CN" w:bidi="ar"/>
        </w:rPr>
        <w:t>通用条款。本部分条款未阐明的内容，则按合同通用条款的有关约定执行）</w:t>
      </w:r>
    </w:p>
    <w:p w14:paraId="6CE303AB">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 xml:space="preserve"> </w:t>
      </w:r>
    </w:p>
    <w:p w14:paraId="27432B3F">
      <w:pPr>
        <w:keepNext w:val="0"/>
        <w:keepLines w:val="0"/>
        <w:widowControl w:val="0"/>
        <w:suppressLineNumbers w:val="0"/>
        <w:adjustRightInd w:val="0"/>
        <w:snapToGrid w:val="0"/>
        <w:spacing w:before="0" w:beforeAutospacing="0" w:after="0" w:afterAutospacing="0" w:line="360" w:lineRule="auto"/>
        <w:ind w:left="0" w:right="0"/>
        <w:jc w:val="center"/>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总  则</w:t>
      </w:r>
    </w:p>
    <w:p w14:paraId="128FD68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根据建设项目管理规范和本工程管理实际，本合同工程将实行社会化、专业化的管理模式。发包人将授权监理单位依据有关法律法规、规范和合同，充分行使其严格控制工程进度与投资以及进行合同、信息管理和协调处理现场等有关工程问题的权力，确保工程质量与安全。</w:t>
      </w:r>
    </w:p>
    <w:p w14:paraId="75528AF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2、发包人通过监理单位下达指令，监督承包人履约行为，承包人所有请求事项由监理单位协调并一般均通过监理单位接受或提出处理意见（发包人有特别要求和规定的除外）。</w:t>
      </w:r>
    </w:p>
    <w:p w14:paraId="2BD606F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3、考虑到本工程的重要性，发包人将采取较为严密的组织管理形式，承包人需投入有别于其他项目的人力、物力，以满足本工程施工需要。</w:t>
      </w:r>
    </w:p>
    <w:p w14:paraId="50E7120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4、发包人根据工程推进实际情况，有权要求承包人的法定代表人或总经理必须常驻施工现场，协调各种事项。</w:t>
      </w:r>
    </w:p>
    <w:p w14:paraId="055E430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为保证本工程建设有序、规范和顺利进行，承包人必须主动支持发包人工作，对发包人的指令和书面通知，若无正当理由又未提前向发包人报告并得到书面认可，而公开或变相拒不执行的，应按合同专用条款第38.7（1）款的约定承担违约责任并赔偿由此造成发包人的一切经济损失。</w:t>
      </w:r>
    </w:p>
    <w:p w14:paraId="5E0FA6B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6、承包人承诺遵守发包人所制定的针对本工程管理的各项制度、规定，这些管理制度、规定必须符合下列原则：</w:t>
      </w:r>
    </w:p>
    <w:p w14:paraId="57BB029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（1）符合国家、广东省、广州市的有关法律法规、规范和标准；</w:t>
      </w:r>
    </w:p>
    <w:p w14:paraId="47032B9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（2）符合对本工程进行有效管理的基本精神和要求；</w:t>
      </w:r>
    </w:p>
    <w:p w14:paraId="72575651">
      <w:pPr>
        <w:keepNext w:val="0"/>
        <w:keepLines w:val="0"/>
        <w:widowControl w:val="0"/>
        <w:suppressLineNumbers w:val="0"/>
        <w:adjustRightInd w:val="0"/>
        <w:snapToGrid w:val="0"/>
        <w:spacing w:before="0" w:beforeAutospacing="0" w:after="0" w:afterAutospacing="0" w:line="360" w:lineRule="auto"/>
        <w:ind w:left="0" w:right="0"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（3）为确保工程质量、进度、安全文明施工管理所必须；</w:t>
      </w:r>
    </w:p>
    <w:p w14:paraId="41348C0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（4）不是针对某一特定的承包人。</w:t>
      </w:r>
    </w:p>
    <w:p w14:paraId="670AF7B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1647D730">
      <w:pPr>
        <w:keepNext w:val="0"/>
        <w:keepLines w:val="0"/>
        <w:widowControl w:val="0"/>
        <w:suppressLineNumbers w:val="0"/>
        <w:adjustRightInd w:val="0"/>
        <w:snapToGrid w:val="0"/>
        <w:spacing w:before="0" w:beforeAutospacing="0" w:after="0" w:afterAutospacing="0" w:line="360" w:lineRule="auto"/>
        <w:ind w:left="0" w:right="0"/>
        <w:jc w:val="center"/>
        <w:outlineLvl w:val="1"/>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一、词语定义及合同文件</w:t>
      </w:r>
    </w:p>
    <w:p w14:paraId="55C4FCD8">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1、词语定义</w:t>
      </w:r>
    </w:p>
    <w:p w14:paraId="5DD9757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1.3发包人</w:t>
      </w:r>
    </w:p>
    <w:p w14:paraId="18A666E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（1）发包人</w:t>
      </w:r>
      <w:r>
        <w:rPr>
          <w:rFonts w:hint="eastAsia" w:ascii="宋体" w:hAnsi="宋体" w:eastAsia="宋体" w:cs="宋体"/>
          <w:color w:val="auto"/>
          <w:kern w:val="0"/>
          <w:sz w:val="24"/>
          <w:szCs w:val="24"/>
          <w:highlight w:val="none"/>
          <w:lang w:val="en-US" w:eastAsia="zh-CN" w:bidi="ar"/>
        </w:rPr>
        <w:t>：在本合同中特指</w:t>
      </w:r>
      <w:r>
        <w:rPr>
          <w:rFonts w:hint="eastAsia" w:ascii="宋体" w:hAnsi="宋体" w:eastAsia="宋体" w:cs="宋体"/>
          <w:bCs/>
          <w:color w:val="auto"/>
          <w:kern w:val="0"/>
          <w:sz w:val="24"/>
          <w:szCs w:val="24"/>
          <w:highlight w:val="none"/>
          <w:lang w:val="en-US" w:eastAsia="zh-CN" w:bidi="ar"/>
        </w:rPr>
        <w:t>广州市重点公共建设项目管理中心</w:t>
      </w:r>
      <w:r>
        <w:rPr>
          <w:rFonts w:hint="eastAsia" w:ascii="宋体" w:hAnsi="宋体" w:eastAsia="宋体" w:cs="宋体"/>
          <w:color w:val="auto"/>
          <w:kern w:val="0"/>
          <w:sz w:val="24"/>
          <w:szCs w:val="24"/>
          <w:highlight w:val="none"/>
          <w:lang w:val="en-US" w:eastAsia="zh-CN" w:bidi="ar"/>
        </w:rPr>
        <w:t>。</w:t>
      </w:r>
    </w:p>
    <w:p w14:paraId="5209E61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合法继承人：指工程竣工验收合格后，发包人依据广州市人民政府的规定或者相关合同（协议）约定，将工程移交给其承接使用的产权管理单位。在继承生效后，合法继承人享有发包人在本合同中的一切权利及承担相应的义务。</w:t>
      </w:r>
    </w:p>
    <w:p w14:paraId="3922D63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1.6设计单位</w:t>
      </w:r>
    </w:p>
    <w:p w14:paraId="4474A3A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本工程的设计单位是：华南理工大学建筑设计研究院有限公司、广东省建筑设计研究院有限公司。</w:t>
      </w:r>
    </w:p>
    <w:p w14:paraId="692B2BC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1.7监理单位</w:t>
      </w:r>
    </w:p>
    <w:p w14:paraId="12518DE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本工程的</w:t>
      </w:r>
      <w:r>
        <w:rPr>
          <w:rFonts w:hint="eastAsia" w:ascii="宋体" w:hAnsi="宋体" w:eastAsia="宋体" w:cs="宋体"/>
          <w:bCs/>
          <w:color w:val="auto"/>
          <w:kern w:val="0"/>
          <w:sz w:val="24"/>
          <w:szCs w:val="24"/>
          <w:highlight w:val="none"/>
          <w:lang w:val="en-US" w:eastAsia="zh-CN" w:bidi="ar"/>
        </w:rPr>
        <w:t>监理单位</w:t>
      </w:r>
      <w:r>
        <w:rPr>
          <w:rFonts w:hint="eastAsia" w:ascii="宋体" w:hAnsi="宋体" w:eastAsia="宋体" w:cs="宋体"/>
          <w:color w:val="auto"/>
          <w:kern w:val="0"/>
          <w:sz w:val="24"/>
          <w:szCs w:val="24"/>
          <w:highlight w:val="none"/>
          <w:lang w:val="en-US" w:eastAsia="zh-CN" w:bidi="ar"/>
        </w:rPr>
        <w:t>是：广州珠江监理咨询集团有限公司、广州市广州工程建设监理有限公司</w:t>
      </w:r>
      <w:r>
        <w:rPr>
          <w:rFonts w:hint="eastAsia" w:ascii="宋体" w:hAnsi="宋体" w:eastAsia="宋体" w:cs="宋体"/>
          <w:color w:val="auto"/>
          <w:kern w:val="0"/>
          <w:sz w:val="24"/>
          <w:szCs w:val="24"/>
          <w:highlight w:val="none"/>
          <w:lang w:val="en-US" w:eastAsia="zh-CN" w:bidi="ar"/>
        </w:rPr>
        <w:tab/>
      </w:r>
      <w:r>
        <w:rPr>
          <w:rFonts w:hint="eastAsia" w:ascii="宋体" w:hAnsi="宋体" w:eastAsia="宋体" w:cs="宋体"/>
          <w:color w:val="auto"/>
          <w:kern w:val="0"/>
          <w:sz w:val="24"/>
          <w:szCs w:val="24"/>
          <w:highlight w:val="none"/>
          <w:lang w:val="en-US" w:eastAsia="zh-CN" w:bidi="ar"/>
        </w:rPr>
        <w:t>。</w:t>
      </w:r>
    </w:p>
    <w:p w14:paraId="21E674F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1.8工程师</w:t>
      </w:r>
    </w:p>
    <w:p w14:paraId="11D2B30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合同通用条款中的工程师，如无特别注明，均是指监理等单位派驻本工程施工场地的现场工作机构的负责人。</w:t>
      </w:r>
    </w:p>
    <w:p w14:paraId="548005F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1.14工期</w:t>
      </w:r>
    </w:p>
    <w:p w14:paraId="229F35C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节点工期：指在经发包人和总监理工程师批准的施工组织设计或者工程工期网络计划中载明的承包人按总日历天数（包括法定节假日）计算完成某一阶段或某一工序的承包天数。按工期网络计划的一般线路和关键线路分为一般节点工期和关键节点工期。</w:t>
      </w:r>
    </w:p>
    <w:p w14:paraId="4CA1261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1.20违约责任：指合同任何一方不履行或不完全履行合同约定的义务或者履行义务不符合合同约定所应承担的责任。</w:t>
      </w:r>
    </w:p>
    <w:p w14:paraId="109BD9D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（1）一般违约责任：指虽然违反本合同的约定，但其违约行为不对本合同的履行造成严重影响而应承担的责任。</w:t>
      </w:r>
    </w:p>
    <w:p w14:paraId="69C1E57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（2）严重违约责任。指违反本合同的约定且其违约行为足以对本合同的履行造成严重或实质性的影响而应承担的责任。</w:t>
      </w:r>
    </w:p>
    <w:p w14:paraId="767E978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1.24通知：指合同中所提及的各方之间传达意思表示的方式，包括但不限于申请、报告、同意、答复、批准、指令、证书、决定等。除合同专用条款有特别约定外，只有采用书面形式的通知才有效。</w:t>
      </w:r>
    </w:p>
    <w:p w14:paraId="440B062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1.25安全事故等级[《安全生产事故报告和调查处理条例》]：</w:t>
      </w:r>
    </w:p>
    <w:p w14:paraId="690630E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（1）特别重大事故，是指造成30人以上死亡，或者100人以上重伤（包括急性工业中毒，下同），或者1亿元以上直接经济损失的事故；</w:t>
      </w:r>
    </w:p>
    <w:p w14:paraId="266CB5D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（2）重大事故，是指造成10人以上30人以下死亡，或者50人以上100人以下重伤，或者5000万元以上1亿元以下直接经济损失的事故；</w:t>
      </w:r>
    </w:p>
    <w:p w14:paraId="40884AC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（3）较大事故，是指造成3人以上10人以下死亡，或者10人以上50人以下重伤，或者1000万元以上5000万元以下直接经济损失的事故；</w:t>
      </w:r>
    </w:p>
    <w:p w14:paraId="196C1F2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（4）一般事故，是指造成3人以下死亡，或者10人以下重伤，或者1000万元以下直接经济损失的事故。</w:t>
      </w:r>
    </w:p>
    <w:p w14:paraId="58137E7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上述所称的“以上”包括本数，所称的“以下”不包括本数。</w:t>
      </w:r>
    </w:p>
    <w:p w14:paraId="211390F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1.26质量事故等级[《关于做好房屋建筑和市政基础设施工程质量事故报告和调查处理工作的通知》（建质[2010]111号）]：</w:t>
      </w:r>
    </w:p>
    <w:p w14:paraId="49DD434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根据工程质量事故造成的人员伤亡或者直接经济损失，工程质量事故分为4个等级：</w:t>
      </w:r>
    </w:p>
    <w:p w14:paraId="3334ACB3">
      <w:pPr>
        <w:keepNext w:val="0"/>
        <w:keepLines w:val="0"/>
        <w:widowControl w:val="0"/>
        <w:suppressLineNumbers w:val="0"/>
        <w:adjustRightInd w:val="0"/>
        <w:snapToGrid w:val="0"/>
        <w:spacing w:before="0" w:beforeAutospacing="0" w:after="0" w:afterAutospacing="0" w:line="360" w:lineRule="auto"/>
        <w:ind w:left="0" w:right="0" w:firstLine="360" w:firstLineChars="15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（1）特别重大事故，是指造成30人以上死亡，或者100人以上重伤，或者1亿元以上直接经济损失的事故；</w:t>
      </w:r>
    </w:p>
    <w:p w14:paraId="1B2A46AB">
      <w:pPr>
        <w:keepNext w:val="0"/>
        <w:keepLines w:val="0"/>
        <w:widowControl w:val="0"/>
        <w:suppressLineNumbers w:val="0"/>
        <w:adjustRightInd w:val="0"/>
        <w:snapToGrid w:val="0"/>
        <w:spacing w:before="0" w:beforeAutospacing="0" w:after="0" w:afterAutospacing="0" w:line="360" w:lineRule="auto"/>
        <w:ind w:left="0" w:right="0" w:firstLine="360" w:firstLineChars="15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（2）重大事故，是指造成10人以上30人以下死亡，或者50人以上100人以下重伤，或者5000万元以上1亿元以下直接经济损失的事故；</w:t>
      </w:r>
    </w:p>
    <w:p w14:paraId="41849D5C">
      <w:pPr>
        <w:keepNext w:val="0"/>
        <w:keepLines w:val="0"/>
        <w:widowControl w:val="0"/>
        <w:suppressLineNumbers w:val="0"/>
        <w:adjustRightInd w:val="0"/>
        <w:snapToGrid w:val="0"/>
        <w:spacing w:before="0" w:beforeAutospacing="0" w:after="0" w:afterAutospacing="0" w:line="360" w:lineRule="auto"/>
        <w:ind w:left="0" w:right="0" w:firstLine="360" w:firstLineChars="15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（3）较大事故，是指造成3人以上10人以下死亡，或者10人以上50人以下重伤，或者1000万元以上5000万元以下直接经济损失的事故；</w:t>
      </w:r>
    </w:p>
    <w:p w14:paraId="098AAF22">
      <w:pPr>
        <w:keepNext w:val="0"/>
        <w:keepLines w:val="0"/>
        <w:widowControl w:val="0"/>
        <w:suppressLineNumbers w:val="0"/>
        <w:adjustRightInd w:val="0"/>
        <w:snapToGrid w:val="0"/>
        <w:spacing w:before="0" w:beforeAutospacing="0" w:after="0" w:afterAutospacing="0" w:line="360" w:lineRule="auto"/>
        <w:ind w:left="0" w:right="0" w:firstLine="360" w:firstLineChars="15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（4）一般事故，是指造成3人以下死亡，或者10人以下重伤，或者100万元以上1000万元以下直接经济损失的事故。</w:t>
      </w:r>
    </w:p>
    <w:p w14:paraId="041E0A1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本等级划分所称的“以上”包括本数，所称的“以下”不包括本数。</w:t>
      </w:r>
    </w:p>
    <w:p w14:paraId="7E7B133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1.27“综合单价（合价）包干项目”、“分部分项工程量清单计价”、“措施项目清单计价”、“其他项目清单计价”、“安全防护、文明施工措施费”、“暂列金额”等费用项目以招标文件的定义为准。</w:t>
      </w:r>
    </w:p>
    <w:p w14:paraId="7B645B0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1.28元：指人民币元。</w:t>
      </w:r>
    </w:p>
    <w:p w14:paraId="2146142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1.29变更工程和新增工程：包括合同专用条款及通用条款第31条所定义的工程设计变更和第32条所定义的其他变更，由于设计需要或项目建设实际需要，这些变更会引致工程量清单内数量发生变化、或工程量清单内项目的局部内容发生变化、或新增了工程量清单内没有的项目。</w:t>
      </w:r>
    </w:p>
    <w:p w14:paraId="74A444A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1.30单项工程：指具备独立施工条件并能形成独立使用功能的建筑物及构筑物。</w:t>
      </w:r>
    </w:p>
    <w:p w14:paraId="4249C95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1.31单位工程：指一个独立建筑物或构筑物中的每个专业工程，如：建筑工程、土建工程、安装工程等。</w:t>
      </w:r>
    </w:p>
    <w:p w14:paraId="79404F4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1.32专业承包单位：指与发包人直接签订专业工程施工承包合同具有相应施工承包资格和资质的承包单位。</w:t>
      </w:r>
    </w:p>
    <w:p w14:paraId="586A73B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1.33施工图审查单位</w:t>
      </w:r>
    </w:p>
    <w:p w14:paraId="0398817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本工程的施工图审查单位是：另行通知。</w:t>
      </w:r>
    </w:p>
    <w:p w14:paraId="17B71D2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1.34设计咨询单位</w:t>
      </w:r>
    </w:p>
    <w:p w14:paraId="40E848D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本工程的设计咨询单位是：另行通知。</w:t>
      </w:r>
    </w:p>
    <w:p w14:paraId="7ABA805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1.35技术督导单位</w:t>
      </w:r>
    </w:p>
    <w:p w14:paraId="5E15894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本工程的技术督导单位是：</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0"/>
          <w:sz w:val="24"/>
          <w:szCs w:val="24"/>
          <w:highlight w:val="none"/>
          <w:lang w:val="en-US" w:eastAsia="zh-CN" w:bidi="ar"/>
        </w:rPr>
        <w:t>。</w:t>
      </w:r>
    </w:p>
    <w:p w14:paraId="5D47DCE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1.36施工总承包管理单位：在本合同中特指中国建筑第八工程局有限公司、中建三局集团有限公司。</w:t>
      </w:r>
    </w:p>
    <w:p w14:paraId="71AAC4D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1.37施工总承包管理和配合服务</w:t>
      </w:r>
    </w:p>
    <w:p w14:paraId="61B126D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指施工总承包单位根据发包人的要求和合同约定对发包人另行发包的专业承包单位进行统一管理和配合服务，包括施工总承包管理和专业工程配合服务。</w:t>
      </w:r>
    </w:p>
    <w:p w14:paraId="6C95C81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施工总承包管理包括但不限于以下工作内容：项目总进度计划管理和协调；信息管理；公共临时设施管理；公共文明施工和安全生产设施管理；现场综合管理；总体协调配合；提供标高基准点、平面控制轴线、墨线；提供工作面；成品保护；组织项目竣工验收、竣工结算、竣工资料和竣工备案及其他管理工作。</w:t>
      </w:r>
    </w:p>
    <w:p w14:paraId="7DEB62F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专业工程配合服务包括但不限于以下工作内容：为发包人另行发包的专业承包单位提供生产、生活用设施搭建场地；提供现有运输道路和通道；提供施工用水、用电的接驳点；提供现有公共临时设施；提供现有水平、垂直运输设施；提供现有脚手架以及其他配合服务。</w:t>
      </w:r>
    </w:p>
    <w:p w14:paraId="74C8F3F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1.38施工总承包管理和配合服务费</w:t>
      </w:r>
    </w:p>
    <w:p w14:paraId="4C519C5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指施工总承包单位根据发包人的要求和合同约定对发包人另行发包的专业承包单位进行统一管理和配合服务所发生的费用，包括施工总承包管理费和专业工程配合服务费。</w:t>
      </w:r>
    </w:p>
    <w:p w14:paraId="5286E41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施工总承包管理费包括但不限于：项目总进度计划管理和协调费；信息管理费；公共临时设施管理费；公共文明施工和安全生产设施管理费；现场综合管理费；总体协调配合费；提供标高基准点、平面控制轴线、墨线的费用；提供工作面的费用；成品保护费；组织项目竣工验收、竣工结算、竣工资料和竣工备案的费用以及其他管理费。</w:t>
      </w:r>
    </w:p>
    <w:p w14:paraId="01B789A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专业工程配合服务费包括但不限于：为发包人另行发包的专业承包单位提供生产、生活用设施搭建场地费；现有运输道路和通道使用费；提供施工用水、用电的接驳点的费用；现有公共临时设施使用费；现有水平、垂直运输设施使用费；现有脚手架使用费以及其他配合服务费。</w:t>
      </w:r>
    </w:p>
    <w:p w14:paraId="41BA638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施工总承包管理费和专业工程配合服务费已含在合同总价中，发包人不再另行支付。</w:t>
      </w:r>
    </w:p>
    <w:p w14:paraId="79C8898E">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1.39甲供材料设备管理费</w:t>
      </w:r>
    </w:p>
    <w:p w14:paraId="68FF940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指承包人为配合发包人进行甲供材料设备采购、供货、验收和保管所需的费用。投标时按发包人提供的的暂定价为计算基础乘以承包人投标自报费率计算（自报费率须在发包人给定费率范围内），结算时按甲供材料设备合同价扣除其中单套（台）主材单价大于5000元的设备价款后的余额乘以合同约定的费率计算。</w:t>
      </w:r>
    </w:p>
    <w:p w14:paraId="0F2DB556">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1.40甲招乙供材料设备管理费</w:t>
      </w:r>
    </w:p>
    <w:p w14:paraId="61A3E7F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指承包人为配合发包人进行甲招乙供材料设备采购、供货、验收和保管所需的费用。投标时按发包人提供的的暂定价为计算基础乘以承包人投标自报费率计算（自报费率须在发包人给定费率范围内），结算时按甲招乙供材料设备合同价扣除其中单套（台）主材单价大于5000元的设备价款后的余额乘以合同约定的费率计算。</w:t>
      </w:r>
    </w:p>
    <w:p w14:paraId="43D3DE4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1.41暂列金额：指发包人在工程量清单中暂定并包括在合同价款中的一笔款项，用于施工合同签订时尚未确定或者不可预见的所需材料、设备、服务的采购，施工中可能发生的工程变更、合同约定调整因素出现时的工程价款调整以及发生的索赔、现场签证确认等的费用。暂列金额在投标报价时，以发包人正式公布的固定金额进行填报，计量支付时，以合同计列的暂列金额为限额，按合同约定和承包人实际完成的工作量依据合同变更计价原则计量支付，未使用部分仍归发包人所有。</w:t>
      </w:r>
    </w:p>
    <w:p w14:paraId="3115A10D">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bCs/>
          <w:color w:val="auto"/>
          <w:kern w:val="0"/>
          <w:sz w:val="24"/>
          <w:szCs w:val="24"/>
          <w:highlight w:val="none"/>
          <w:lang w:val="en-US" w:eastAsia="zh-CN" w:bidi="ar"/>
        </w:rPr>
        <w:t>1.42本工程综合考评委员会：指在本工程建设期间，由发包人组建的、代表发包人对各参建单位合同履约情况进行考核的机构。</w:t>
      </w:r>
    </w:p>
    <w:p w14:paraId="65C309BB">
      <w:pPr>
        <w:keepNext w:val="0"/>
        <w:keepLines w:val="0"/>
        <w:widowControl w:val="0"/>
        <w:suppressLineNumbers w:val="0"/>
        <w:adjustRightInd w:val="0"/>
        <w:snapToGrid w:val="0"/>
        <w:spacing w:before="0" w:beforeAutospacing="0" w:after="0" w:afterAutospacing="0" w:line="360" w:lineRule="auto"/>
        <w:ind w:left="0" w:right="11" w:firstLine="460" w:firstLineChars="192"/>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1.43招标当期：《广州地区建设工程常用材料税前综合价格》指</w:t>
      </w:r>
      <w:r>
        <w:rPr>
          <w:rFonts w:hint="default" w:ascii="宋体" w:hAnsi="宋体" w:eastAsia="宋体" w:cs="宋体"/>
          <w:bCs/>
          <w:color w:val="auto"/>
          <w:kern w:val="0"/>
          <w:sz w:val="24"/>
          <w:szCs w:val="24"/>
          <w:highlight w:val="none"/>
          <w:lang w:eastAsia="zh-CN" w:bidi="ar"/>
        </w:rPr>
        <w:t>2024</w:t>
      </w:r>
      <w:r>
        <w:rPr>
          <w:rFonts w:hint="eastAsia" w:ascii="宋体" w:hAnsi="宋体" w:eastAsia="宋体" w:cs="宋体"/>
          <w:bCs/>
          <w:color w:val="auto"/>
          <w:kern w:val="0"/>
          <w:sz w:val="24"/>
          <w:szCs w:val="24"/>
          <w:highlight w:val="none"/>
          <w:lang w:val="en-US" w:eastAsia="zh-CN" w:bidi="ar"/>
        </w:rPr>
        <w:t>年</w:t>
      </w:r>
      <w:r>
        <w:rPr>
          <w:rFonts w:hint="default" w:ascii="宋体" w:hAnsi="宋体" w:eastAsia="宋体" w:cs="宋体"/>
          <w:bCs/>
          <w:color w:val="auto"/>
          <w:kern w:val="0"/>
          <w:sz w:val="24"/>
          <w:szCs w:val="24"/>
          <w:highlight w:val="none"/>
          <w:lang w:eastAsia="zh-CN" w:bidi="ar"/>
        </w:rPr>
        <w:t>6</w:t>
      </w:r>
      <w:r>
        <w:rPr>
          <w:rFonts w:hint="eastAsia" w:ascii="宋体" w:hAnsi="宋体" w:eastAsia="宋体" w:cs="宋体"/>
          <w:bCs/>
          <w:color w:val="auto"/>
          <w:kern w:val="0"/>
          <w:sz w:val="24"/>
          <w:szCs w:val="24"/>
          <w:highlight w:val="none"/>
          <w:lang w:val="en-US" w:eastAsia="zh-CN" w:bidi="ar"/>
        </w:rPr>
        <w:t>月份，《广州地区建设工程材料（设备）厂商价格信息》指</w:t>
      </w:r>
      <w:r>
        <w:rPr>
          <w:rFonts w:hint="default" w:ascii="宋体" w:hAnsi="宋体" w:eastAsia="宋体" w:cs="宋体"/>
          <w:bCs/>
          <w:color w:val="auto"/>
          <w:kern w:val="0"/>
          <w:sz w:val="24"/>
          <w:szCs w:val="24"/>
          <w:highlight w:val="none"/>
          <w:lang w:eastAsia="zh-CN" w:bidi="ar"/>
        </w:rPr>
        <w:t>2024</w:t>
      </w:r>
      <w:r>
        <w:rPr>
          <w:rFonts w:hint="eastAsia" w:ascii="宋体" w:hAnsi="宋体" w:eastAsia="宋体" w:cs="宋体"/>
          <w:bCs/>
          <w:color w:val="auto"/>
          <w:kern w:val="0"/>
          <w:sz w:val="24"/>
          <w:szCs w:val="24"/>
          <w:highlight w:val="none"/>
          <w:lang w:val="en-US" w:eastAsia="zh-CN" w:bidi="ar"/>
        </w:rPr>
        <w:t>年第</w:t>
      </w:r>
      <w:r>
        <w:rPr>
          <w:rFonts w:hint="default" w:ascii="宋体" w:hAnsi="宋体" w:eastAsia="宋体" w:cs="宋体"/>
          <w:bCs/>
          <w:color w:val="auto"/>
          <w:kern w:val="0"/>
          <w:sz w:val="24"/>
          <w:szCs w:val="24"/>
          <w:highlight w:val="none"/>
          <w:lang w:eastAsia="zh-CN" w:bidi="ar"/>
        </w:rPr>
        <w:t>一</w:t>
      </w:r>
      <w:r>
        <w:rPr>
          <w:rFonts w:hint="eastAsia" w:ascii="宋体" w:hAnsi="宋体" w:eastAsia="宋体" w:cs="宋体"/>
          <w:bCs/>
          <w:color w:val="auto"/>
          <w:kern w:val="0"/>
          <w:sz w:val="24"/>
          <w:szCs w:val="24"/>
          <w:highlight w:val="none"/>
          <w:lang w:val="en-US" w:eastAsia="zh-CN" w:bidi="ar"/>
        </w:rPr>
        <w:t>季度。</w:t>
      </w:r>
    </w:p>
    <w:p w14:paraId="1B283CA1">
      <w:pPr>
        <w:keepNext w:val="0"/>
        <w:keepLines w:val="0"/>
        <w:widowControl w:val="0"/>
        <w:suppressLineNumbers w:val="0"/>
        <w:adjustRightInd w:val="0"/>
        <w:snapToGrid w:val="0"/>
        <w:spacing w:before="0" w:beforeAutospacing="0" w:after="0" w:afterAutospacing="0" w:line="360" w:lineRule="auto"/>
        <w:ind w:left="0" w:right="11" w:firstLine="460" w:firstLineChars="192"/>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1.44缺陷责任期：是指承包人按照合同约定承担缺陷修复义务，且发包人预留质量保证金的期限。本工程缺陷责任期为24个月，自工程竣工验收合格之日起计算。</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eastAsia="宋体" w:cs="宋体"/>
          <w:color w:val="auto"/>
          <w:kern w:val="2"/>
          <w:sz w:val="24"/>
          <w:szCs w:val="24"/>
          <w:highlight w:val="none"/>
          <w:lang w:val="en-US" w:eastAsia="zh-CN" w:bidi="ar"/>
        </w:rPr>
        <w:t xml:space="preserve">    单位工程先于全部工程进行验收，经验收合格并交付使用的，该单位工程缺陷责任期自单位工程验收合格之日起算。</w:t>
      </w:r>
      <w:r>
        <w:rPr>
          <w:rFonts w:hint="eastAsia" w:ascii="宋体" w:hAnsi="宋体" w:eastAsia="宋体" w:cs="宋体"/>
          <w:color w:val="auto"/>
          <w:kern w:val="2"/>
          <w:sz w:val="24"/>
          <w:szCs w:val="24"/>
          <w:highlight w:val="none"/>
          <w:lang w:val="en-US" w:eastAsia="zh-CN" w:bidi="ar"/>
        </w:rPr>
        <w:br w:type="textWrapping"/>
      </w:r>
      <w:r>
        <w:rPr>
          <w:rFonts w:hint="eastAsia" w:ascii="宋体" w:hAnsi="宋体" w:eastAsia="宋体" w:cs="宋体"/>
          <w:color w:val="auto"/>
          <w:kern w:val="2"/>
          <w:sz w:val="24"/>
          <w:szCs w:val="24"/>
          <w:highlight w:val="none"/>
          <w:lang w:val="en-US" w:eastAsia="zh-CN" w:bidi="ar"/>
        </w:rPr>
        <w:t xml:space="preserve">    1.45质量保证金：是指发包人与承包人在本合同中约定，从应付的工程款中预留，用以保证承包人在缺陷责任期内对建设工程出现的缺陷进行维修的资金。</w:t>
      </w:r>
    </w:p>
    <w:p w14:paraId="2DEE64D1">
      <w:pPr>
        <w:keepNext w:val="0"/>
        <w:keepLines w:val="0"/>
        <w:widowControl w:val="0"/>
        <w:suppressLineNumbers w:val="0"/>
        <w:adjustRightInd w:val="0"/>
        <w:snapToGrid w:val="0"/>
        <w:spacing w:before="0" w:beforeAutospacing="0" w:after="0" w:afterAutospacing="0" w:line="360" w:lineRule="auto"/>
        <w:ind w:left="0" w:right="11" w:firstLine="460" w:firstLineChars="192"/>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1.46保证人：指按本合同专用条款第44.3款约定向发包人提交承包人履约担保的机构。</w:t>
      </w:r>
    </w:p>
    <w:p w14:paraId="306145AF">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2、合同文件及解释顺序</w:t>
      </w:r>
    </w:p>
    <w:p w14:paraId="2B33CAB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按合同协议书第7条执行。</w:t>
      </w:r>
    </w:p>
    <w:p w14:paraId="5D86B723">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3、语言文字和适用法律、标准及规范</w:t>
      </w:r>
    </w:p>
    <w:p w14:paraId="50E1EE5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3.2适用法律和法规</w:t>
      </w:r>
    </w:p>
    <w:p w14:paraId="7BCDDE6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适用于本合同的法律法规是中华人民共和国法律、法规，合同约定的部门规章及工程所在地的地方法规。</w:t>
      </w:r>
    </w:p>
    <w:p w14:paraId="1757543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需要明示的法律、行政法规：《中华人民共和国民法典》、《中华人民共和国建筑法》、《中华人民共和国招标投标法》、《建设工程质量管理条例》。</w:t>
      </w:r>
    </w:p>
    <w:p w14:paraId="3CB88E9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3.3适用标准、规范</w:t>
      </w:r>
    </w:p>
    <w:p w14:paraId="74C4C2F8">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适用标准、规范的名称：国家及广东省、广州市现行有效的有关建设项目管理、设计、施工及验收规范和验收标准，以及发包人根据本工程具体情况聘请专家委员会依照国家有关标准制订的施工技术规定及验收办法。</w:t>
      </w:r>
    </w:p>
    <w:p w14:paraId="553B57BE">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4、图纸</w:t>
      </w:r>
    </w:p>
    <w:p w14:paraId="7ADA192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4.1发包人向承包人提供图纸的日期和套数：发包人在开工前向承包人提供8套图纸（其中4套为编制竣工图所需），同时提供电子文档。承包人确需增加图纸套数的，应当取得发包人的同意，所需费用由承包人自行承担。</w:t>
      </w:r>
    </w:p>
    <w:p w14:paraId="25C2B9D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4.2对图纸的保密要求：由发包人提供的图纸、文件等，未经发包人许可，承包人不得用于本工程以外的项目或者转借、出让、泄露给第三方。保密措施费用由承包人自行承担。</w:t>
      </w:r>
    </w:p>
    <w:p w14:paraId="5803EA30">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72B66648">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
        </w:rPr>
        <w:t>二、双方一般权利和义务</w:t>
      </w:r>
    </w:p>
    <w:p w14:paraId="55A64FFB">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5、工程师</w:t>
      </w:r>
    </w:p>
    <w:p w14:paraId="388829CD">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5.1监理单位</w:t>
      </w:r>
    </w:p>
    <w:p w14:paraId="246DBB8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发包人委托广州珠江监理咨询集团有限公司、广州市广州工程建设监理有限公司</w:t>
      </w:r>
      <w:r>
        <w:rPr>
          <w:rFonts w:hint="eastAsia" w:ascii="宋体" w:hAnsi="宋体" w:eastAsia="宋体" w:cs="宋体"/>
          <w:color w:val="auto"/>
          <w:kern w:val="0"/>
          <w:sz w:val="24"/>
          <w:szCs w:val="24"/>
          <w:highlight w:val="none"/>
          <w:lang w:val="en-US" w:eastAsia="zh-CN" w:bidi="ar"/>
        </w:rPr>
        <w:t>为</w:t>
      </w:r>
      <w:r>
        <w:rPr>
          <w:rFonts w:hint="eastAsia" w:ascii="宋体" w:hAnsi="宋体" w:eastAsia="宋体" w:cs="宋体"/>
          <w:bCs/>
          <w:color w:val="auto"/>
          <w:kern w:val="0"/>
          <w:sz w:val="24"/>
          <w:szCs w:val="24"/>
          <w:highlight w:val="none"/>
          <w:lang w:val="en-US" w:eastAsia="zh-CN" w:bidi="ar"/>
        </w:rPr>
        <w:t>本工程的监理单位，总监理工程师为</w:t>
      </w:r>
      <w:r>
        <w:rPr>
          <w:rFonts w:hint="eastAsia" w:ascii="宋体" w:hAnsi="宋体" w:eastAsia="宋体" w:cs="宋体"/>
          <w:bCs/>
          <w:color w:val="auto"/>
          <w:kern w:val="0"/>
          <w:sz w:val="24"/>
          <w:szCs w:val="24"/>
          <w:highlight w:val="none"/>
          <w:u w:val="single"/>
          <w:lang w:val="en-US" w:eastAsia="zh-CN" w:bidi="ar"/>
        </w:rPr>
        <w:t>（另行通知）</w:t>
      </w:r>
      <w:r>
        <w:rPr>
          <w:rFonts w:hint="eastAsia" w:ascii="宋体" w:hAnsi="宋体" w:eastAsia="宋体" w:cs="宋体"/>
          <w:bCs/>
          <w:color w:val="auto"/>
          <w:kern w:val="0"/>
          <w:sz w:val="24"/>
          <w:szCs w:val="24"/>
          <w:highlight w:val="none"/>
          <w:lang w:val="en-US" w:eastAsia="zh-CN" w:bidi="ar"/>
        </w:rPr>
        <w:t>。监理单位的职责以发包人与监理单位签订的《委托监理合同》为准。</w:t>
      </w:r>
    </w:p>
    <w:p w14:paraId="6736581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5.2技术督导单位</w:t>
      </w:r>
    </w:p>
    <w:p w14:paraId="4AD472D9">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发包人委托</w:t>
      </w:r>
      <w:r>
        <w:rPr>
          <w:rFonts w:hint="eastAsia" w:ascii="宋体" w:hAnsi="宋体" w:eastAsia="宋体" w:cs="宋体"/>
          <w:bCs/>
          <w:color w:val="auto"/>
          <w:kern w:val="2"/>
          <w:sz w:val="21"/>
          <w:szCs w:val="21"/>
          <w:highlight w:val="none"/>
          <w:u w:val="single"/>
          <w:lang w:val="en-US" w:eastAsia="zh-CN" w:bidi="ar"/>
        </w:rPr>
        <w:t xml:space="preserve">     /    </w:t>
      </w:r>
      <w:r>
        <w:rPr>
          <w:rFonts w:hint="eastAsia" w:ascii="宋体" w:hAnsi="宋体" w:eastAsia="宋体" w:cs="宋体"/>
          <w:color w:val="auto"/>
          <w:kern w:val="0"/>
          <w:sz w:val="24"/>
          <w:szCs w:val="24"/>
          <w:highlight w:val="none"/>
          <w:lang w:val="en-US" w:eastAsia="zh-CN" w:bidi="ar"/>
        </w:rPr>
        <w:t>为本工程的技术督导单位，总督导工程师</w:t>
      </w:r>
      <w:r>
        <w:rPr>
          <w:rFonts w:hint="eastAsia" w:ascii="宋体" w:hAnsi="宋体" w:eastAsia="宋体" w:cs="宋体"/>
          <w:bCs/>
          <w:color w:val="auto"/>
          <w:kern w:val="0"/>
          <w:sz w:val="24"/>
          <w:szCs w:val="24"/>
          <w:highlight w:val="none"/>
          <w:lang w:val="en-US" w:eastAsia="zh-CN" w:bidi="ar"/>
        </w:rPr>
        <w:t>为</w:t>
      </w:r>
      <w:r>
        <w:rPr>
          <w:rFonts w:hint="eastAsia" w:ascii="宋体" w:hAnsi="宋体" w:eastAsia="宋体" w:cs="宋体"/>
          <w:bCs/>
          <w:color w:val="auto"/>
          <w:kern w:val="0"/>
          <w:sz w:val="24"/>
          <w:szCs w:val="24"/>
          <w:highlight w:val="none"/>
          <w:u w:val="single"/>
          <w:lang w:val="en-US" w:eastAsia="zh-CN" w:bidi="ar"/>
        </w:rPr>
        <w:t xml:space="preserve">  </w:t>
      </w:r>
      <w:r>
        <w:rPr>
          <w:rFonts w:hint="eastAsia" w:ascii="宋体" w:hAnsi="宋体" w:eastAsia="宋体" w:cs="宋体"/>
          <w:bCs/>
          <w:color w:val="auto"/>
          <w:kern w:val="2"/>
          <w:sz w:val="21"/>
          <w:szCs w:val="21"/>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。技术督导单位</w:t>
      </w:r>
      <w:r>
        <w:rPr>
          <w:rFonts w:hint="eastAsia" w:ascii="宋体" w:hAnsi="宋体" w:eastAsia="宋体" w:cs="宋体"/>
          <w:bCs/>
          <w:color w:val="auto"/>
          <w:kern w:val="0"/>
          <w:sz w:val="24"/>
          <w:szCs w:val="24"/>
          <w:highlight w:val="none"/>
          <w:lang w:val="en-US" w:eastAsia="zh-CN" w:bidi="ar"/>
        </w:rPr>
        <w:t>的职责以发包人与</w:t>
      </w:r>
      <w:r>
        <w:rPr>
          <w:rFonts w:hint="eastAsia" w:ascii="宋体" w:hAnsi="宋体" w:eastAsia="宋体" w:cs="宋体"/>
          <w:color w:val="auto"/>
          <w:kern w:val="0"/>
          <w:sz w:val="24"/>
          <w:szCs w:val="24"/>
          <w:highlight w:val="none"/>
          <w:lang w:val="en-US" w:eastAsia="zh-CN" w:bidi="ar"/>
        </w:rPr>
        <w:t>技术督导单位</w:t>
      </w:r>
      <w:r>
        <w:rPr>
          <w:rFonts w:hint="eastAsia" w:ascii="宋体" w:hAnsi="宋体" w:eastAsia="宋体" w:cs="宋体"/>
          <w:bCs/>
          <w:color w:val="auto"/>
          <w:kern w:val="0"/>
          <w:sz w:val="24"/>
          <w:szCs w:val="24"/>
          <w:highlight w:val="none"/>
          <w:lang w:val="en-US" w:eastAsia="zh-CN" w:bidi="ar"/>
        </w:rPr>
        <w:t>签订的</w:t>
      </w:r>
      <w:r>
        <w:rPr>
          <w:rFonts w:hint="eastAsia" w:ascii="宋体" w:hAnsi="宋体" w:eastAsia="宋体" w:cs="宋体"/>
          <w:color w:val="auto"/>
          <w:kern w:val="0"/>
          <w:sz w:val="24"/>
          <w:szCs w:val="24"/>
          <w:highlight w:val="none"/>
          <w:lang w:val="en-US" w:eastAsia="zh-CN" w:bidi="ar"/>
        </w:rPr>
        <w:t>《技术督导（管理）合同》</w:t>
      </w:r>
      <w:r>
        <w:rPr>
          <w:rFonts w:hint="eastAsia" w:ascii="宋体" w:hAnsi="宋体" w:eastAsia="宋体" w:cs="宋体"/>
          <w:bCs/>
          <w:color w:val="auto"/>
          <w:kern w:val="0"/>
          <w:sz w:val="24"/>
          <w:szCs w:val="24"/>
          <w:highlight w:val="none"/>
          <w:lang w:val="en-US" w:eastAsia="zh-CN" w:bidi="ar"/>
        </w:rPr>
        <w:t>为准。</w:t>
      </w:r>
    </w:p>
    <w:p w14:paraId="16BA5DC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5.3</w:t>
      </w:r>
      <w:r>
        <w:rPr>
          <w:rFonts w:hint="eastAsia" w:ascii="宋体" w:hAnsi="宋体" w:eastAsia="宋体" w:cs="宋体"/>
          <w:color w:val="auto"/>
          <w:kern w:val="0"/>
          <w:sz w:val="24"/>
          <w:szCs w:val="24"/>
          <w:highlight w:val="none"/>
          <w:lang w:val="en-US" w:eastAsia="zh-CN" w:bidi="ar"/>
        </w:rPr>
        <w:t>发包人代表</w:t>
      </w:r>
    </w:p>
    <w:p w14:paraId="5A1EEFC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发包人派驻施工场地履行合同的代表在本合同中称为发包人代表。其姓名、职务如下：</w:t>
      </w:r>
    </w:p>
    <w:p w14:paraId="122540BD">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strike/>
          <w:dstrike w:val="0"/>
          <w:color w:val="auto"/>
          <w:kern w:val="0"/>
          <w:sz w:val="24"/>
          <w:szCs w:val="24"/>
          <w:highlight w:val="none"/>
          <w:u w:val="single"/>
        </w:rPr>
      </w:pPr>
      <w:r>
        <w:rPr>
          <w:rFonts w:hint="eastAsia" w:ascii="宋体" w:hAnsi="宋体" w:eastAsia="宋体" w:cs="宋体"/>
          <w:bCs/>
          <w:color w:val="auto"/>
          <w:kern w:val="0"/>
          <w:sz w:val="24"/>
          <w:szCs w:val="24"/>
          <w:highlight w:val="none"/>
          <w:lang w:val="en-US" w:eastAsia="zh-CN" w:bidi="ar"/>
        </w:rPr>
        <w:t>姓名：</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bCs/>
          <w:color w:val="auto"/>
          <w:kern w:val="0"/>
          <w:sz w:val="24"/>
          <w:szCs w:val="24"/>
          <w:highlight w:val="none"/>
          <w:lang w:val="en-US" w:eastAsia="zh-CN" w:bidi="ar"/>
        </w:rPr>
        <w:t>。    职务：</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bCs/>
          <w:color w:val="auto"/>
          <w:kern w:val="0"/>
          <w:sz w:val="24"/>
          <w:szCs w:val="24"/>
          <w:highlight w:val="none"/>
          <w:lang w:val="en-US" w:eastAsia="zh-CN" w:bidi="ar"/>
        </w:rPr>
        <w:t>。</w:t>
      </w:r>
    </w:p>
    <w:p w14:paraId="1ECA8B35">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6、工程师的委派和指令</w:t>
      </w:r>
    </w:p>
    <w:p w14:paraId="6A87DF8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6.2在紧急情况下，总监理工程师可以当场发出口头指令，承包人应遵照执行。承包人在收到上述口头指令后24小时内，应向总监理工程师发出书面确认函。若总监理工程师在收到书面确认函后24小时内未予答复，该口头指令应被视为总监理工程师的正式指令。由于总监理工程师指令错误而延误工期的，工期顺延情形只适用于一般节点工期。</w:t>
      </w:r>
    </w:p>
    <w:p w14:paraId="47ABFF4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6.3由于总监理工程师未能按合同约定履行义务造成工期延误的，工期顺延情形只适用于一般节点工期。</w:t>
      </w:r>
    </w:p>
    <w:p w14:paraId="1429DCED">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承包人与发包人一致同意增加6.5、6.6：</w:t>
      </w:r>
    </w:p>
    <w:p w14:paraId="6015267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6.5除特别指明外，总监理工程师对承包人的任何工作、工程或其采用的材料和设备未提出否定意见的，不应视为已获批准，也不影响总监理工程师在以后拒绝该项工作、工程、材料设备的权利。</w:t>
      </w:r>
    </w:p>
    <w:p w14:paraId="283E7063">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6.6总监理工程师的指令应该有总监理工程师的签字，并加盖监理单位驻施工场地机构印章。</w:t>
      </w:r>
    </w:p>
    <w:p w14:paraId="0BA0FF20">
      <w:pPr>
        <w:keepNext w:val="0"/>
        <w:keepLines w:val="0"/>
        <w:widowControl w:val="0"/>
        <w:suppressLineNumbers w:val="0"/>
        <w:adjustRightInd w:val="0"/>
        <w:snapToGrid w:val="0"/>
        <w:spacing w:before="0" w:beforeAutospacing="0" w:after="0" w:afterAutospacing="0" w:line="360" w:lineRule="auto"/>
        <w:ind w:left="0" w:right="0" w:firstLine="48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7、项目经理</w:t>
      </w:r>
    </w:p>
    <w:p w14:paraId="2326F4EC">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7.1本工程项目经理</w:t>
      </w:r>
    </w:p>
    <w:p w14:paraId="11EC4E6A">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姓名：</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职务：</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w:t>
      </w:r>
    </w:p>
    <w:p w14:paraId="3AF1F72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7.3合同通用条款第7.3款所提及的工期顺延情形只适用于一般节点工期。</w:t>
      </w:r>
    </w:p>
    <w:p w14:paraId="0DDF1021">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承包人与发包人一致同意增加7.6至7.9：</w:t>
      </w:r>
    </w:p>
    <w:p w14:paraId="2470AF33">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7.6现场管理机构</w:t>
      </w:r>
    </w:p>
    <w:p w14:paraId="3D44342C">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（1）承包人必须按照投标文件的承诺建立现场管理机构，严格执行《建设工程项目管理规范》（GB/T50326-2017），并积极主动接受建设行政主管部门的监督和检查。</w:t>
      </w:r>
    </w:p>
    <w:p w14:paraId="67818829">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（2）现场管理机构各</w:t>
      </w:r>
      <w:r>
        <w:rPr>
          <w:rFonts w:hint="eastAsia" w:ascii="宋体" w:hAnsi="宋体" w:eastAsia="宋体" w:cs="宋体"/>
          <w:bCs/>
          <w:color w:val="auto"/>
          <w:kern w:val="0"/>
          <w:sz w:val="24"/>
          <w:szCs w:val="24"/>
          <w:highlight w:val="none"/>
          <w:lang w:val="en-US" w:eastAsia="zh-CN" w:bidi="ar"/>
        </w:rPr>
        <w:t>部</w:t>
      </w:r>
      <w:r>
        <w:rPr>
          <w:rFonts w:hint="eastAsia" w:ascii="宋体" w:hAnsi="宋体" w:eastAsia="宋体" w:cs="宋体"/>
          <w:color w:val="auto"/>
          <w:kern w:val="0"/>
          <w:sz w:val="24"/>
          <w:szCs w:val="24"/>
          <w:highlight w:val="none"/>
          <w:lang w:val="en-US" w:eastAsia="zh-CN" w:bidi="ar"/>
        </w:rPr>
        <w:t>主要组织管理人员在开工前必须全部到位，并接受总监理工程师和发包人代表的查验。</w:t>
      </w:r>
    </w:p>
    <w:p w14:paraId="58F2347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承包人委派的现场管理机构各部主要组织管理人员不得有兼职情况存在，并需接受监理单位的监督。</w:t>
      </w:r>
    </w:p>
    <w:p w14:paraId="538A58C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7.7现场管理机构各部主要组织管理人员应与投标文件保持一致，除特殊情况（该人员因死亡或重大疾病或离职无法继续履职，或其他经监理单位、发包人认可的属承包人无法预见、无法控制的合理事由）外，无论承包人主动申请更换还是被发包人要求更换，均需按合同专用条款第38.7（3）款的约定承担违约责任。</w:t>
      </w:r>
    </w:p>
    <w:p w14:paraId="59C7C71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无论承包人因何种原因需更换主要组织管理人员的，均应以书面形式向监理单位提出意向（附前任和后任人员的详细履历资料），经总监理工程师签署意见后向发包人提出申请，征得发包人同意后方可更换。</w:t>
      </w:r>
    </w:p>
    <w:p w14:paraId="3128D5DA">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主要组织管理人员无论因何种原因需更换，承包人必须保证后任人员的资质、资历、业绩、实际工作能力不低于前任人员；必须履行建设行政主管部门规定的人员变更手续，后任人员继续行使前任的职权，履行前任的义务。</w:t>
      </w:r>
    </w:p>
    <w:p w14:paraId="65E0F0C9">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7.8现场管理机构各部主要组织管理人员的实际工作能力和工作效果达不到招标文件的明确要求或投标文件的承诺或存在消极怠工、工作态度不端正、不适应现场工作需要的，发包人有权要求承包人限期更换。承包人可以在收到发包人更换通知后3天内提出书面整改意见，如发包人不予接受或认为整改效果不明显的，应及时回复承包人，承包人必须在发包人回复后7天内按合同专用条款第7.7条的约定进行更换及承担违约责任。</w:t>
      </w:r>
    </w:p>
    <w:p w14:paraId="3462AE5B">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如承包人未及时提出整改意见也未按发包人要求及时更换的，或者提出整改意见后未按发包人回复意见及时执行的，则视为拒绝执行发包人的指令，承包人需按合同专用条款第38.7（1）款约定承担违约责任。</w:t>
      </w:r>
    </w:p>
    <w:p w14:paraId="6CF5078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iCs/>
          <w:color w:val="auto"/>
          <w:kern w:val="0"/>
          <w:sz w:val="24"/>
          <w:szCs w:val="24"/>
          <w:highlight w:val="none"/>
          <w:lang w:val="en-US" w:eastAsia="zh-CN" w:bidi="ar"/>
        </w:rPr>
        <w:t>7.9</w:t>
      </w:r>
      <w:r>
        <w:rPr>
          <w:rFonts w:hint="eastAsia" w:ascii="宋体" w:hAnsi="宋体" w:eastAsia="宋体" w:cs="宋体"/>
          <w:bCs/>
          <w:color w:val="auto"/>
          <w:kern w:val="0"/>
          <w:sz w:val="24"/>
          <w:szCs w:val="24"/>
          <w:highlight w:val="none"/>
          <w:lang w:val="en-US" w:eastAsia="zh-CN" w:bidi="ar"/>
        </w:rPr>
        <w:t>现场管理机构各部主要组织管理人员必须全职在现场办公，不得兼职或者擅自离岗。因特殊情况需短暂离岗的，应当事先报总监理工程师及发包人批准，且须妥善安排工作交接，并按以下约定执行：</w:t>
      </w:r>
    </w:p>
    <w:p w14:paraId="053A0F8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（1）离场半天内，须经总监理工程师批准同意；</w:t>
      </w:r>
    </w:p>
    <w:p w14:paraId="45C23E49">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（2）离场1天内，须经总监理工程师同意，并经发包人代表批准；</w:t>
      </w:r>
    </w:p>
    <w:p w14:paraId="0F747CE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（3）离场2天以上（含2天），须经总监理工程师及发包人代表同意，并经发包人主管部门领导批准；</w:t>
      </w:r>
    </w:p>
    <w:p w14:paraId="76A630A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（4）一个月内累计离场时间不得超过5天（经发包人分管领导批准的除外）；</w:t>
      </w:r>
    </w:p>
    <w:p w14:paraId="7CAF99E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（5）项目经理不论离场多久，均应经发包人分管领导批准。</w:t>
      </w:r>
    </w:p>
    <w:p w14:paraId="391D8CF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lang w:val="en-US" w:eastAsia="zh-CN" w:bidi="ar"/>
        </w:rPr>
        <w:t>承包人若违反上述约定，应按照合同专用条款第38.7款的相关约定承担违约责任。</w:t>
      </w:r>
    </w:p>
    <w:p w14:paraId="727B9663">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lang w:val="en-US" w:eastAsia="zh-CN" w:bidi="ar"/>
        </w:rPr>
        <w:t>本合同所称现场办公，是指在工程实施过程中，现场管理机构各部主要组织管理人员必须在施工场地全职上班，履行各自的职责。</w:t>
      </w:r>
    </w:p>
    <w:p w14:paraId="75F11ECA">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lang w:val="en-US" w:eastAsia="zh-CN" w:bidi="ar"/>
        </w:rPr>
        <w:t>现场管理机构各部主要组织管理人员现场办公天数，由总监理工程师及发包人现场代表按实计量。</w:t>
      </w:r>
    </w:p>
    <w:p w14:paraId="2ABA4A0A">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8、发包人工作</w:t>
      </w:r>
    </w:p>
    <w:p w14:paraId="7898A561">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8.1发包人应按约定的时间和要求完成以下工作：</w:t>
      </w:r>
    </w:p>
    <w:p w14:paraId="39E8553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（1）施工场地具备施工条件的要求及完成的时间：发包人负责在开工前完成施工场地的征地拆迁工作，具备按设计要求进行场地平整施工的条件（合同及招标文件另有约定的除外）。</w:t>
      </w:r>
    </w:p>
    <w:p w14:paraId="51DA2F6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（2）将施工所需的水、电、电讯线路接至施工场地的时间、地点和供应要求：发包人提供水、电驳接点。</w:t>
      </w:r>
    </w:p>
    <w:p w14:paraId="3C51BC6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（3）施工场地与公共道路通道的开通时间和要求：结合现场实际情况考虑。</w:t>
      </w:r>
    </w:p>
    <w:p w14:paraId="5DEF84E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（4）工程地质和地下管线资料的提供时间：开工前提供。</w:t>
      </w:r>
    </w:p>
    <w:p w14:paraId="0EB9971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（5）由发包人办理的施工所需证件、批件的名称和完成时间：发包人负责办理本工程立项许可证、建设用地规划许可证、建设工程规划许可证、报建审核书、建设用地通知书</w:t>
      </w:r>
      <w:r>
        <w:rPr>
          <w:rFonts w:hint="eastAsia" w:ascii="宋体" w:hAnsi="宋体" w:eastAsia="宋体" w:cs="宋体"/>
          <w:bCs/>
          <w:iCs/>
          <w:color w:val="auto"/>
          <w:kern w:val="0"/>
          <w:sz w:val="24"/>
          <w:szCs w:val="24"/>
          <w:highlight w:val="none"/>
          <w:lang w:val="en-US" w:eastAsia="zh-CN" w:bidi="ar"/>
        </w:rPr>
        <w:t>。</w:t>
      </w:r>
    </w:p>
    <w:p w14:paraId="5222937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（6）水准点与坐标控制点交验要求：发包人负责在施工现场将已施测的水准点高程与平面控制点坐标以书面形式提供给承包人，由承包人做好交验记录。</w:t>
      </w:r>
    </w:p>
    <w:p w14:paraId="3D82F0EB">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（7）图纸会审和设计交底时间：承包人接到施工图纸后7天内进行。</w:t>
      </w:r>
    </w:p>
    <w:p w14:paraId="3D268B80">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（8）协调施工场地周围地下管线和邻近建筑物、构筑物（含文物保护建筑）、古树名木的保护工作。</w:t>
      </w:r>
    </w:p>
    <w:p w14:paraId="1E13330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8.2发包人委托承包人办理的工作：包括但不限于办理施工许可证和工程质量安全监督报建手续等工作。</w:t>
      </w:r>
    </w:p>
    <w:p w14:paraId="3394F9F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8.3</w:t>
      </w:r>
      <w:r>
        <w:rPr>
          <w:rFonts w:hint="eastAsia" w:ascii="宋体" w:hAnsi="宋体" w:eastAsia="宋体" w:cs="宋体"/>
          <w:color w:val="auto"/>
          <w:kern w:val="0"/>
          <w:sz w:val="24"/>
          <w:szCs w:val="24"/>
          <w:highlight w:val="none"/>
          <w:lang w:val="en-US" w:eastAsia="zh-CN" w:bidi="ar"/>
        </w:rPr>
        <w:t>合同通用条款第8.3款所提及的工期顺延情形只适用于一般节点工期。</w:t>
      </w:r>
    </w:p>
    <w:p w14:paraId="3DB2E950">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承包人和发包人一致同意增加8.4：</w:t>
      </w:r>
    </w:p>
    <w:p w14:paraId="4ACC9EAA">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8.4经发包人与承包人双方协商一致，发包人保留下列权利：</w:t>
      </w:r>
    </w:p>
    <w:p w14:paraId="588285A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（1）对用于本合同工程的材料设备的品质、质量提交质量监督检验机构（包括本合同约定的质量监督检验机构和法律法规规定的质量监督检验机构）审查确认的权利。</w:t>
      </w:r>
    </w:p>
    <w:p w14:paraId="612B7C6D">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（2）保留对主要材料设备的分类及采购方式进行调整的权利，承包人不得拒绝或要求调整任何单价及收费，招标文件及本合同另有约定的除外。</w:t>
      </w:r>
    </w:p>
    <w:p w14:paraId="1245EF67">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9、承包人工作</w:t>
      </w:r>
    </w:p>
    <w:p w14:paraId="42B5847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9.1承包人按合同约定的内容和时间完成以下工作：</w:t>
      </w:r>
    </w:p>
    <w:p w14:paraId="3224CD6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（3）根据工程需要，承包人提供和维修白天或夜间施工使用的照明、围栏设施，并负责安全保卫。若承包人未履行上述义务造成工程、财产、人身损害等，由承包人承担责任及因此所发生的一切费用。</w:t>
      </w:r>
    </w:p>
    <w:p w14:paraId="79FF858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遵守政府有关主管部门对施工场地交通、施工噪音以及环境保护和安全生产等的管理规定，</w:t>
      </w:r>
      <w:r>
        <w:rPr>
          <w:rFonts w:hint="eastAsia" w:ascii="宋体" w:hAnsi="宋体" w:eastAsia="宋体" w:cs="宋体"/>
          <w:bCs/>
          <w:color w:val="auto"/>
          <w:kern w:val="0"/>
          <w:sz w:val="24"/>
          <w:szCs w:val="24"/>
          <w:highlight w:val="none"/>
          <w:lang w:val="en-US" w:eastAsia="zh-CN" w:bidi="ar"/>
        </w:rPr>
        <w:t>按工程所在地政府主管部门的规定办理并承担由此发生的费用，并在开工后2个月内以书面形式知会发包人。</w:t>
      </w:r>
    </w:p>
    <w:p w14:paraId="6E2A794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（6）未移交后续施工单位或发包人使用前，对已完工工程的保护工作及费用均由承包人负责，发生损坏由承包人自费修复。</w:t>
      </w:r>
    </w:p>
    <w:p w14:paraId="3088288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7）承包人应对施工场地及周围的地下管线、建筑物、构筑物（含文物保护建筑）、古树名木之状况进行勘察，根据勘察结果确定具体的保护措施并承担有关费用。若发现正常施工措施及现有条件已不能达到保护目的的，承包人应及时报告，经总监理工程师、发包人批准采取特殊保护处理的，发包人承担不包含在招投标内容中的额外保护费用。</w:t>
      </w:r>
    </w:p>
    <w:p w14:paraId="32C8DFD3">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承包人应严格按照《国务院办公厅关于科学绿化的指导意见》（国办发〔2021〕19号）、《广州市关于科学绿化的实施意见》（穗办【2021】11号）、《广东省人民政府办公厅关于科学绿化的实施意见》（粤府办【2021】48号）和《广州市城市树木保护管理规定（试行）》（穗林业园林规字〔2022〕1号）等相关规定组织施工，严格落实古树名木、古树后续资源、行道树、大树等树木的保护工作，禁止擅自砍伐树木或擅自迁移树木。</w:t>
      </w:r>
    </w:p>
    <w:p w14:paraId="1D9743D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承包人应对所采取的保护措施进行监测，并应根据监测结果及时反馈信息指导施工，以确保上述受保护物件及作业人员、居民的安全。因承包人原因，受保护物件发生损坏的，由承包人承担责任并负责赔偿。</w:t>
      </w:r>
    </w:p>
    <w:p w14:paraId="3A54D94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（8）承包人应当编制建筑垃圾处理方案，并在开工前报工程所在地县级人民政府建筑垃圾主管部门备案并按发包人批准的施工组织设计进行施工现场布置、放置材料机械及其他设施。</w:t>
      </w:r>
    </w:p>
    <w:p w14:paraId="4EB6468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施工过程中，承包人应当建立建筑垃圾管理台账，分类收集、贮存和及时清运施工过程中产生的建筑垃圾，具体要求按照《广东省建筑垃圾管理条例》（广东省第十三届人民代表大会常务委员会公告第126号）等环境卫生管理的有关规定执行,确保施工场地清洁达到合同协议书约定的安全生产及文明施工目标。同时，工程竣工验收后10天内，承包人应当对施工场地进行全面清理。</w:t>
      </w:r>
    </w:p>
    <w:p w14:paraId="0053DFCD">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（9）承包人应做的其他工作</w:t>
      </w:r>
    </w:p>
    <w:p w14:paraId="71D777A5">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1）进场后每日按审定格式申报人材机投入量及实物工程量完成量，以此作为工程款（进度款）支付的依据。</w:t>
      </w:r>
    </w:p>
    <w:p w14:paraId="114CB807">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保证执行投标文件所承诺的施工组织设计中的资源投入计划，将工程施工所需的机械设备、人员、材料等资源，根据工程进度计划按时、按标准、足额投入；否则，应按</w:t>
      </w:r>
      <w:r>
        <w:rPr>
          <w:rFonts w:hint="eastAsia" w:ascii="宋体" w:hAnsi="宋体" w:eastAsia="宋体" w:cs="宋体"/>
          <w:bCs/>
          <w:color w:val="auto"/>
          <w:kern w:val="0"/>
          <w:sz w:val="24"/>
          <w:szCs w:val="24"/>
          <w:highlight w:val="none"/>
          <w:lang w:val="en-US" w:eastAsia="zh-CN" w:bidi="ar"/>
        </w:rPr>
        <w:t>合同专用条款第</w:t>
      </w:r>
      <w:r>
        <w:rPr>
          <w:rFonts w:hint="eastAsia" w:ascii="宋体" w:hAnsi="宋体" w:eastAsia="宋体" w:cs="宋体"/>
          <w:color w:val="auto"/>
          <w:kern w:val="0"/>
          <w:sz w:val="24"/>
          <w:szCs w:val="24"/>
          <w:highlight w:val="none"/>
          <w:lang w:val="en-US" w:eastAsia="zh-CN" w:bidi="ar"/>
        </w:rPr>
        <w:t>38.7（3）款的约定承担违反投标承诺的违约责任。</w:t>
      </w:r>
    </w:p>
    <w:p w14:paraId="492095B9">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施工过程中，承包人因特殊原因需变更资源投入计划或者对已投入的资源进行调整的，应当提前7天提出申请，报总监理工程师和发包人批准。</w:t>
      </w:r>
      <w:r>
        <w:rPr>
          <w:rFonts w:hint="eastAsia" w:ascii="宋体" w:hAnsi="宋体" w:eastAsia="宋体" w:cs="宋体"/>
          <w:color w:val="auto"/>
          <w:kern w:val="0"/>
          <w:sz w:val="24"/>
          <w:szCs w:val="24"/>
          <w:highlight w:val="none"/>
          <w:lang w:val="en-US" w:eastAsia="zh-CN" w:bidi="ar"/>
        </w:rPr>
        <w:t>允许机械、设备调整的原则为：所调整机械、设备的规格、标准只能比原计划提高，不能降低；数量原则上不允许减少，如确因更换先进设备提高了工效，可考虑在总工作能力不降低的前提下同意调整。</w:t>
      </w:r>
      <w:r>
        <w:rPr>
          <w:rFonts w:hint="eastAsia" w:ascii="宋体" w:hAnsi="宋体" w:eastAsia="宋体" w:cs="宋体"/>
          <w:bCs/>
          <w:color w:val="auto"/>
          <w:kern w:val="0"/>
          <w:sz w:val="24"/>
          <w:szCs w:val="24"/>
          <w:highlight w:val="none"/>
          <w:lang w:val="en-US" w:eastAsia="zh-CN" w:bidi="ar"/>
        </w:rPr>
        <w:t>未经发包人许可，承包人开工后已进场的机械设备在</w:t>
      </w:r>
      <w:r>
        <w:rPr>
          <w:rFonts w:hint="eastAsia" w:ascii="宋体" w:hAnsi="宋体" w:eastAsia="宋体" w:cs="宋体"/>
          <w:color w:val="auto"/>
          <w:kern w:val="0"/>
          <w:sz w:val="24"/>
          <w:szCs w:val="24"/>
          <w:highlight w:val="none"/>
          <w:lang w:val="en-US" w:eastAsia="zh-CN" w:bidi="ar"/>
        </w:rPr>
        <w:t>任何情况下都</w:t>
      </w:r>
      <w:r>
        <w:rPr>
          <w:rFonts w:hint="eastAsia" w:ascii="宋体" w:hAnsi="宋体" w:eastAsia="宋体" w:cs="宋体"/>
          <w:bCs/>
          <w:color w:val="auto"/>
          <w:kern w:val="0"/>
          <w:sz w:val="24"/>
          <w:szCs w:val="24"/>
          <w:highlight w:val="none"/>
          <w:lang w:val="en-US" w:eastAsia="zh-CN" w:bidi="ar"/>
        </w:rPr>
        <w:t>不得在计划使用期间撤出现场。若施工机械、设备在施工过程中发生损坏，承包人必须在3天内修复或更换。</w:t>
      </w:r>
    </w:p>
    <w:p w14:paraId="430AE11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因设计变更、施工现场情况变化造成工程内容、工程量变化，须调整机械、设备的规格、数量的，承包人须在变更或变化确定后3天内，提出完整的更新施工方案和资源投入计划，报总监理工程师和发包人批准后实施。</w:t>
      </w:r>
    </w:p>
    <w:p w14:paraId="7B9AB64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3）对施工图、技术资料认真地复核和检查，有预见性地发现和指正设计缺陷和错误，应提出能实质性地节约资金和缩短工期的建议和措施。</w:t>
      </w:r>
    </w:p>
    <w:p w14:paraId="36D9998B">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lang w:val="en-US" w:eastAsia="zh-CN" w:bidi="ar"/>
        </w:rPr>
        <w:t>4）承包人应当清楚地预计到施工期间对外界可能产生的不可避免的干扰，并保证主动努力减少这些干扰对外界的影响，积极主动与外界进行协调。</w:t>
      </w:r>
    </w:p>
    <w:p w14:paraId="04738C69">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lang w:val="en-US" w:eastAsia="zh-CN" w:bidi="ar"/>
        </w:rPr>
        <w:t>5）承包人应努力创建节能减排和节约型工地。</w:t>
      </w:r>
    </w:p>
    <w:p w14:paraId="3622F635">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b/>
          <w:bCs w:val="0"/>
          <w:iCs/>
          <w:color w:val="auto"/>
          <w:kern w:val="0"/>
          <w:sz w:val="24"/>
          <w:szCs w:val="24"/>
          <w:highlight w:val="none"/>
        </w:rPr>
      </w:pPr>
      <w:r>
        <w:rPr>
          <w:rFonts w:hint="eastAsia" w:ascii="宋体" w:hAnsi="宋体" w:eastAsia="宋体" w:cs="宋体"/>
          <w:b/>
          <w:bCs w:val="0"/>
          <w:iCs/>
          <w:color w:val="auto"/>
          <w:kern w:val="0"/>
          <w:sz w:val="24"/>
          <w:szCs w:val="24"/>
          <w:highlight w:val="none"/>
          <w:lang w:val="en-US" w:eastAsia="zh-CN" w:bidi="ar"/>
        </w:rPr>
        <w:t>承包人与发包人一致同意增加9.3至9.10：</w:t>
      </w:r>
    </w:p>
    <w:p w14:paraId="4D5D857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9.3根据工程需要，承包人应采用计算机信息管理，与发包人的工程管理系统接口一致，建立相应的信息交换网络，以便发包人及各有关单位与其进行数据交换，提高工作效率。对于智慧工地的建设（如有）按照《广州市住房和城乡建设局关于进一步推进全市房屋建筑工程智慧工地建设的通知（试行）》（穗建质〔2023〕683号）的相关要求执行。</w:t>
      </w:r>
    </w:p>
    <w:p w14:paraId="55A08429">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（1）计算机信息管理的内容和基本要求</w:t>
      </w:r>
    </w:p>
    <w:p w14:paraId="6B520258">
      <w:pPr>
        <w:pStyle w:val="3"/>
        <w:keepNext w:val="0"/>
        <w:keepLines w:val="0"/>
        <w:widowControl w:val="0"/>
        <w:suppressLineNumbers w:val="0"/>
        <w:adjustRightInd w:val="0"/>
        <w:snapToGrid w:val="0"/>
        <w:spacing w:before="0" w:beforeAutospacing="0" w:after="0" w:afterAutospacing="0" w:line="360" w:lineRule="auto"/>
        <w:ind w:left="0" w:right="0" w:firstLine="413"/>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应运用计算机技术对合同项目进行科学管理，全面提高合同工程施工管理水平。发包人开发了计算机工程信息管理系统，承包人是该系统最基础的信息源之一，承包人应配置和运用该系统进行项目施工管理，包括进度、质量、安全、物资设备、合同、合同结算、文档等管理系统。</w:t>
      </w:r>
    </w:p>
    <w:p w14:paraId="3A0B2AC5">
      <w:pPr>
        <w:pStyle w:val="3"/>
        <w:keepNext w:val="0"/>
        <w:keepLines w:val="0"/>
        <w:widowControl w:val="0"/>
        <w:suppressLineNumbers w:val="0"/>
        <w:adjustRightInd w:val="0"/>
        <w:snapToGrid w:val="0"/>
        <w:spacing w:before="0" w:beforeAutospacing="0" w:after="0" w:afterAutospacing="0" w:line="360" w:lineRule="auto"/>
        <w:ind w:left="0" w:right="0" w:firstLine="413"/>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因使用工程信息管理系统所需的计算机系统规划、配置和人员培训与技术指导等工作，由发包人批准或指定的单位提供服务，以正确运用发包人的计算机工程信息管理系统，具体要求应按照发包人的有关文件执行。因承包人使用工程信息管理系统所需的计算机系统规划、配置和人员培训与技术咨询等所产生的费用由承包人自行承担。</w:t>
      </w:r>
    </w:p>
    <w:p w14:paraId="1B74267A">
      <w:pPr>
        <w:pStyle w:val="3"/>
        <w:keepNext w:val="0"/>
        <w:keepLines w:val="0"/>
        <w:widowControl w:val="0"/>
        <w:suppressLineNumbers w:val="0"/>
        <w:adjustRightInd w:val="0"/>
        <w:snapToGrid w:val="0"/>
        <w:spacing w:before="0" w:beforeAutospacing="0" w:after="0" w:afterAutospacing="0" w:line="360" w:lineRule="auto"/>
        <w:ind w:left="0" w:right="0" w:firstLine="413"/>
        <w:jc w:val="both"/>
        <w:outlineLvl w:val="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（2）计算机网络</w:t>
      </w:r>
    </w:p>
    <w:p w14:paraId="07751EF2">
      <w:pPr>
        <w:pStyle w:val="3"/>
        <w:keepNext w:val="0"/>
        <w:keepLines w:val="0"/>
        <w:widowControl w:val="0"/>
        <w:suppressLineNumbers w:val="0"/>
        <w:adjustRightInd w:val="0"/>
        <w:snapToGrid w:val="0"/>
        <w:spacing w:before="0" w:beforeAutospacing="0" w:after="0" w:afterAutospacing="0" w:line="360" w:lineRule="auto"/>
        <w:ind w:left="0" w:right="0" w:firstLine="413"/>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承包人须以宽带形式接入发包人网站以保证信息传输速度要求，网络规划、布线、网络设备、维护及网络安全由承包人负责。</w:t>
      </w:r>
    </w:p>
    <w:p w14:paraId="72DE7838">
      <w:pPr>
        <w:pStyle w:val="3"/>
        <w:keepNext w:val="0"/>
        <w:keepLines w:val="0"/>
        <w:widowControl w:val="0"/>
        <w:suppressLineNumbers w:val="0"/>
        <w:adjustRightInd w:val="0"/>
        <w:snapToGrid w:val="0"/>
        <w:spacing w:before="0" w:beforeAutospacing="0" w:after="0" w:afterAutospacing="0" w:line="360" w:lineRule="auto"/>
        <w:ind w:left="0" w:right="0" w:firstLine="413"/>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（3）计算机硬件</w:t>
      </w:r>
    </w:p>
    <w:p w14:paraId="2F344133">
      <w:pPr>
        <w:pStyle w:val="3"/>
        <w:keepNext w:val="0"/>
        <w:keepLines w:val="0"/>
        <w:widowControl w:val="0"/>
        <w:suppressLineNumbers w:val="0"/>
        <w:adjustRightInd w:val="0"/>
        <w:snapToGrid w:val="0"/>
        <w:spacing w:before="0" w:beforeAutospacing="0" w:after="0" w:afterAutospacing="0" w:line="360" w:lineRule="auto"/>
        <w:ind w:left="0" w:right="0" w:firstLine="413"/>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应配置满足发包人计算机工程信息管理系统运行要求的计算机和工作站来支持日常的合同项目施工管理工作。运行计算机工程信息管理系统的计算机最低配置为：CPU四核主频3.0GHz以上、内存8G以上、硬盘500G以上。</w:t>
      </w:r>
    </w:p>
    <w:p w14:paraId="54C4D604">
      <w:pPr>
        <w:pStyle w:val="3"/>
        <w:keepNext w:val="0"/>
        <w:keepLines w:val="0"/>
        <w:widowControl w:val="0"/>
        <w:suppressLineNumbers w:val="0"/>
        <w:adjustRightInd w:val="0"/>
        <w:snapToGrid w:val="0"/>
        <w:spacing w:before="0" w:beforeAutospacing="0" w:after="0" w:afterAutospacing="0" w:line="360" w:lineRule="auto"/>
        <w:ind w:left="0" w:right="0" w:firstLine="413"/>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（4）计算机软件</w:t>
      </w:r>
    </w:p>
    <w:p w14:paraId="7269D706">
      <w:pPr>
        <w:pStyle w:val="3"/>
        <w:keepNext w:val="0"/>
        <w:keepLines w:val="0"/>
        <w:widowControl w:val="0"/>
        <w:suppressLineNumbers w:val="0"/>
        <w:adjustRightInd w:val="0"/>
        <w:snapToGrid w:val="0"/>
        <w:spacing w:before="0" w:beforeAutospacing="0" w:after="0" w:afterAutospacing="0" w:line="360" w:lineRule="auto"/>
        <w:ind w:left="0" w:right="0" w:firstLine="413"/>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计算机工程信息管理系统运行在Windows7或更高版本的操作系统上，这部分软件由承包人自己负责。计算机工程信息管理系统应用软件和进度计划管理软件由发包人统一免费配置。</w:t>
      </w:r>
    </w:p>
    <w:p w14:paraId="1FB7CFA9">
      <w:pPr>
        <w:pStyle w:val="3"/>
        <w:keepNext w:val="0"/>
        <w:keepLines w:val="0"/>
        <w:widowControl w:val="0"/>
        <w:suppressLineNumbers w:val="0"/>
        <w:adjustRightInd w:val="0"/>
        <w:snapToGrid w:val="0"/>
        <w:spacing w:before="0" w:beforeAutospacing="0" w:after="0" w:afterAutospacing="0" w:line="360" w:lineRule="auto"/>
        <w:ind w:left="0" w:right="0" w:firstLine="413"/>
        <w:jc w:val="both"/>
        <w:outlineLvl w:val="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（5）人员配备及培训</w:t>
      </w:r>
    </w:p>
    <w:p w14:paraId="36211554">
      <w:pPr>
        <w:pStyle w:val="3"/>
        <w:keepNext w:val="0"/>
        <w:keepLines w:val="0"/>
        <w:widowControl w:val="0"/>
        <w:suppressLineNumbers w:val="0"/>
        <w:adjustRightInd w:val="0"/>
        <w:snapToGrid w:val="0"/>
        <w:spacing w:before="0" w:beforeAutospacing="0" w:after="0" w:afterAutospacing="0" w:line="360" w:lineRule="auto"/>
        <w:ind w:left="0" w:right="0" w:firstLine="413"/>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承包人应配备一定数量的专门人员负责支持和维护计算机工程信息管理系统，并报发包人备案。承包人至少应有如下人员：</w:t>
      </w:r>
    </w:p>
    <w:p w14:paraId="6A718618">
      <w:pPr>
        <w:pStyle w:val="3"/>
        <w:keepNext w:val="0"/>
        <w:keepLines w:val="0"/>
        <w:widowControl w:val="0"/>
        <w:suppressLineNumbers w:val="0"/>
        <w:adjustRightInd w:val="0"/>
        <w:snapToGrid w:val="0"/>
        <w:spacing w:before="0" w:beforeAutospacing="0" w:after="0" w:afterAutospacing="0" w:line="360" w:lineRule="auto"/>
        <w:ind w:left="0" w:right="0" w:firstLine="413"/>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计算机系统专门人员：要求熟悉计算机软硬件技术，能进行计算机工程信息管理系统相关部分的日常维护，负责与发包人计算机系统人员协调解决计算机工程信息管理系统应用中出现的问题。</w:t>
      </w:r>
    </w:p>
    <w:p w14:paraId="2B109880">
      <w:pPr>
        <w:pStyle w:val="3"/>
        <w:keepNext w:val="0"/>
        <w:keepLines w:val="0"/>
        <w:widowControl w:val="0"/>
        <w:suppressLineNumbers w:val="0"/>
        <w:adjustRightInd w:val="0"/>
        <w:snapToGrid w:val="0"/>
        <w:spacing w:before="0" w:beforeAutospacing="0" w:after="0" w:afterAutospacing="0" w:line="360" w:lineRule="auto"/>
        <w:ind w:left="0" w:right="0" w:firstLine="413"/>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数据管理和录入人员2～3名，负责采集、录入、核对发包人和总监理工程师要求提供的信息，并保证数据的及时准确。</w:t>
      </w:r>
    </w:p>
    <w:p w14:paraId="21A0D925">
      <w:pPr>
        <w:pStyle w:val="3"/>
        <w:keepNext w:val="0"/>
        <w:keepLines w:val="0"/>
        <w:widowControl w:val="0"/>
        <w:suppressLineNumbers w:val="0"/>
        <w:adjustRightInd w:val="0"/>
        <w:snapToGrid w:val="0"/>
        <w:spacing w:before="0" w:beforeAutospacing="0" w:after="0" w:afterAutospacing="0" w:line="360" w:lineRule="auto"/>
        <w:ind w:left="0" w:right="0" w:firstLine="413"/>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以上人员须参加岗位培训，经一定形式的考核后方能上岗。</w:t>
      </w:r>
    </w:p>
    <w:p w14:paraId="71E235A9">
      <w:pPr>
        <w:pStyle w:val="3"/>
        <w:keepNext w:val="0"/>
        <w:keepLines w:val="0"/>
        <w:widowControl w:val="0"/>
        <w:suppressLineNumbers w:val="0"/>
        <w:adjustRightInd w:val="0"/>
        <w:snapToGrid w:val="0"/>
        <w:spacing w:before="0" w:beforeAutospacing="0" w:after="0" w:afterAutospacing="0" w:line="360" w:lineRule="auto"/>
        <w:ind w:left="0" w:right="0" w:firstLine="413"/>
        <w:jc w:val="both"/>
        <w:outlineLvl w:val="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（6）信息内容、格式及信息传递要求</w:t>
      </w:r>
    </w:p>
    <w:p w14:paraId="476F5EC7">
      <w:pPr>
        <w:pStyle w:val="3"/>
        <w:keepNext w:val="0"/>
        <w:keepLines w:val="0"/>
        <w:widowControl w:val="0"/>
        <w:suppressLineNumbers w:val="0"/>
        <w:adjustRightInd w:val="0"/>
        <w:snapToGrid w:val="0"/>
        <w:spacing w:before="0" w:beforeAutospacing="0" w:after="0" w:afterAutospacing="0" w:line="360" w:lineRule="auto"/>
        <w:ind w:left="0" w:right="0" w:firstLine="414"/>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应及时准确地按发包人和总监理工程师所要求的时限、内容和格式将相关工程信息录入并传递给发包人和总监理工程师。承包人如未能按发包人的规定将信息录入或传递给发包人，可以成为发包人缓付或停付工程进度款的理由。</w:t>
      </w:r>
    </w:p>
    <w:p w14:paraId="75A9F45D">
      <w:pPr>
        <w:pStyle w:val="3"/>
        <w:keepNext w:val="0"/>
        <w:keepLines w:val="0"/>
        <w:widowControl w:val="0"/>
        <w:suppressLineNumbers w:val="0"/>
        <w:adjustRightInd w:val="0"/>
        <w:snapToGrid w:val="0"/>
        <w:spacing w:before="0" w:beforeAutospacing="0" w:after="0" w:afterAutospacing="0" w:line="360" w:lineRule="auto"/>
        <w:ind w:left="0" w:right="0" w:firstLine="413"/>
        <w:jc w:val="both"/>
        <w:outlineLvl w:val="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（7）信息安全</w:t>
      </w:r>
    </w:p>
    <w:p w14:paraId="23DBDECD">
      <w:pPr>
        <w:pStyle w:val="3"/>
        <w:keepNext w:val="0"/>
        <w:keepLines w:val="0"/>
        <w:widowControl w:val="0"/>
        <w:suppressLineNumbers w:val="0"/>
        <w:adjustRightInd w:val="0"/>
        <w:snapToGrid w:val="0"/>
        <w:spacing w:before="0" w:beforeAutospacing="0" w:after="0" w:afterAutospacing="0" w:line="360" w:lineRule="auto"/>
        <w:ind w:left="0" w:right="0" w:firstLine="413"/>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计算机工程信息管理系统采用授权用户及密码验证以保证合法用户使用。承包人在使用计算机工程信息管理系统过程中，应采取必要的措施，以确保信息的完整、准确和安全。计算机工程信息管理系统中的信息资源所有权属于发包人，在施工承包过程中，承包人可以访问使用与所承包合同相关的信息。</w:t>
      </w:r>
    </w:p>
    <w:p w14:paraId="1D611FD6">
      <w:pPr>
        <w:keepNext w:val="0"/>
        <w:keepLines w:val="0"/>
        <w:widowControl w:val="0"/>
        <w:suppressLineNumbers w:val="0"/>
        <w:adjustRightInd w:val="0"/>
        <w:snapToGrid w:val="0"/>
        <w:spacing w:before="0" w:beforeAutospacing="0" w:after="0" w:afterAutospacing="0" w:line="360" w:lineRule="auto"/>
        <w:ind w:left="0" w:right="11" w:firstLine="420" w:firstLineChars="200"/>
        <w:jc w:val="both"/>
        <w:outlineLvl w:val="4"/>
        <w:rPr>
          <w:rFonts w:hint="eastAsia" w:ascii="宋体" w:hAnsi="宋体" w:eastAsia="宋体" w:cs="宋体"/>
          <w:bCs/>
          <w:iCs/>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Cs/>
          <w:iCs/>
          <w:color w:val="auto"/>
          <w:kern w:val="0"/>
          <w:sz w:val="24"/>
          <w:szCs w:val="24"/>
          <w:highlight w:val="none"/>
          <w:lang w:val="en-US" w:eastAsia="zh-CN" w:bidi="ar"/>
        </w:rPr>
        <w:t>（8）网络视频监控要求</w:t>
      </w:r>
    </w:p>
    <w:p w14:paraId="2C3E6D03">
      <w:pPr>
        <w:pStyle w:val="3"/>
        <w:keepNext w:val="0"/>
        <w:keepLines w:val="0"/>
        <w:widowControl w:val="0"/>
        <w:suppressLineNumbers w:val="0"/>
        <w:adjustRightInd w:val="0"/>
        <w:snapToGrid w:val="0"/>
        <w:spacing w:before="0" w:beforeAutospacing="0" w:after="0" w:afterAutospacing="0" w:line="360" w:lineRule="auto"/>
        <w:ind w:left="0" w:right="0" w:firstLine="413"/>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网络视频监控要求（</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需满足建委要求的视频监控  </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及需满足发包人调度使用的远程工地视频监控系统）</w:t>
      </w:r>
    </w:p>
    <w:p w14:paraId="50A9EB19">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1）承包人必须遵照《关于广州市建筑工地安装视频监控装置的通知》（穗建筑【2006】551号）、《关于全面启动广州市社会治安视频监控系统建设有关问题的通知》（穗视频建字【2006】1号）和《广州市住房和城乡建设委员会关于全市建设工地纳入视频监管的通知》（穗建质[2017]1166号）的要求，建立满足隐蔽工程和关键工序质量监控、安全文明施工监控、验收监控等需要的视频监控系统（以通过发包人验收为准）。</w:t>
      </w:r>
    </w:p>
    <w:p w14:paraId="08571546">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2）施工现场视频监控的部位应当覆盖以下基本部位：大门及围墙、临时用电设施、深基坑、高支摸体系、附着式升降脚手架（整体提升架或爬架）、外用电梯、塔吊、物料提升机（龙门架、井字架）等。</w:t>
      </w:r>
    </w:p>
    <w:p w14:paraId="2AA8EE50">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3）承包人应建立视频监控系统资料的收集、查阅、检索等档案系统，并安排专人负责。</w:t>
      </w:r>
    </w:p>
    <w:p w14:paraId="75C6D0EF">
      <w:pPr>
        <w:keepNext w:val="0"/>
        <w:keepLines w:val="0"/>
        <w:widowControl w:val="0"/>
        <w:suppressLineNumbers w:val="0"/>
        <w:adjustRightInd w:val="0"/>
        <w:snapToGrid w:val="0"/>
        <w:spacing w:before="0" w:beforeAutospacing="0" w:after="0" w:afterAutospacing="0" w:line="360" w:lineRule="auto"/>
        <w:ind w:left="0" w:right="11" w:firstLine="420" w:firstLineChars="200"/>
        <w:jc w:val="both"/>
        <w:outlineLvl w:val="4"/>
        <w:rPr>
          <w:rFonts w:hint="eastAsia" w:ascii="宋体" w:hAnsi="宋体" w:eastAsia="宋体" w:cs="宋体"/>
          <w:b/>
          <w:iCs/>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iCs/>
          <w:color w:val="auto"/>
          <w:kern w:val="0"/>
          <w:sz w:val="24"/>
          <w:szCs w:val="24"/>
          <w:highlight w:val="none"/>
          <w:lang w:val="en-US" w:eastAsia="zh-CN" w:bidi="ar"/>
        </w:rPr>
        <w:t>远程工地视频监控系统</w:t>
      </w:r>
    </w:p>
    <w:p w14:paraId="222F2C46">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1）承包人必须明确远程工地视频监控系统的前端监控设备主要用于发包人远程现场指挥调度需要。</w:t>
      </w:r>
    </w:p>
    <w:p w14:paraId="5AB9D59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2）承包人应负责“1080P高清”工地视频监控项目前端监控设备的采购安装和日常维护保养，保证实现7X24小时视频无故障传输。</w:t>
      </w:r>
    </w:p>
    <w:p w14:paraId="43407F7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3）承包人应在进场后一个月内完成视频监控的前端的建设，设备归承包人所有。</w:t>
      </w:r>
    </w:p>
    <w:p w14:paraId="17CC98C0">
      <w:pPr>
        <w:keepNext w:val="0"/>
        <w:keepLines w:val="0"/>
        <w:widowControl w:val="0"/>
        <w:suppressLineNumbers w:val="0"/>
        <w:spacing w:before="0" w:beforeAutospacing="0" w:after="0" w:afterAutospacing="0" w:line="360" w:lineRule="auto"/>
        <w:ind w:left="0" w:right="0" w:firstLine="470" w:firstLineChars="196"/>
        <w:jc w:val="both"/>
        <w:rPr>
          <w:rFonts w:hint="eastAsia" w:ascii="宋体" w:hAnsi="宋体" w:eastAsia="宋体" w:cs="宋体"/>
          <w:b/>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4）施工现场远程监控调度系统应当覆盖现场大部分的建筑范围。对于高层建筑工地，要求将球形摄像机安装在工地吊塔上，以保证对工地的全方位监控；对于低层建筑工地，要求建设独立的金属立杆（为保证球形摄像机不受到大型施工工具的碰撞，要求立杆不低于6米）。具体安装位置及数量先由承包人提交部署建议，由发包人工程管理部门审核确定。</w:t>
      </w:r>
    </w:p>
    <w:p w14:paraId="1A795EF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5）为保证系统白天和晚上的视频质量以及保证发包人远程现场指挥调度中心能实时查看工地全景；承包人在视频监控的前端建设时必须选用1080p高清日夜型网络监控设备。</w:t>
      </w:r>
    </w:p>
    <w:p w14:paraId="4C8A9725">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6）为保证前端监控数据能通过网络上传至发包人远程现场指挥调度中心需租用光纤资源，承包人必须保证前端工地的网络出口有固定的公网IP；同时为保证1080p监控录像的实时传输，承包人必须为每路监控视频提供至少2M上行带宽。</w:t>
      </w:r>
    </w:p>
    <w:p w14:paraId="1FC2230C">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7）按照广州市人民政府令第62号《广州市建设工程文明施工管理规定》规定、广州市人民政府令第57号《广州市安全生产管理规定(试行)》规定和《广州市公共安全视频系统管理规定》规定，承包人必须使用专门的房间（或安全的区域）放置网络机柜，必须保证网络机柜和摄像枪（或球形摄像机）的供电稳定，必须对摄像枪（或球形摄像机）做电源和网络防雷。</w:t>
      </w:r>
    </w:p>
    <w:p w14:paraId="3347CC1C">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8）承包人应严格按照监控工程建设规范进行施工和维护，包括：前端设备采用集中供电的方式，供电线缆应使用防水线缆，规格不低于3*1.5mm</w:t>
      </w:r>
      <w:r>
        <w:rPr>
          <w:rFonts w:hint="eastAsia" w:ascii="宋体" w:hAnsi="宋体" w:eastAsia="宋体" w:cs="宋体"/>
          <w:bCs/>
          <w:iCs/>
          <w:color w:val="auto"/>
          <w:kern w:val="0"/>
          <w:sz w:val="24"/>
          <w:szCs w:val="24"/>
          <w:highlight w:val="none"/>
          <w:vertAlign w:val="superscript"/>
          <w:lang w:val="en-US" w:eastAsia="zh-CN" w:bidi="ar"/>
        </w:rPr>
        <w:t>2</w:t>
      </w:r>
      <w:r>
        <w:rPr>
          <w:rFonts w:hint="eastAsia" w:ascii="宋体" w:hAnsi="宋体" w:eastAsia="宋体" w:cs="宋体"/>
          <w:bCs/>
          <w:iCs/>
          <w:color w:val="auto"/>
          <w:kern w:val="0"/>
          <w:sz w:val="24"/>
          <w:szCs w:val="24"/>
          <w:highlight w:val="none"/>
          <w:lang w:val="en-US" w:eastAsia="zh-CN" w:bidi="ar"/>
        </w:rPr>
        <w:t>，前端所有传输线缆需敷设在PVC线管内。</w:t>
      </w:r>
    </w:p>
    <w:p w14:paraId="1ECB1DAA">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9）为保证前端监控数据的质量，如监控前端距离网络机柜不超过90米，使用超五类非屏蔽线缆作为视频传输介质，如超过90米，要求使用4芯光纤作为传输介质。如前端仅设置1个监控点，直接使用路由器作为监控前端的接入设备；如前端设置2个或以上监控点，要求另外配置一台8口百兆接入交换机作为接入设备。</w:t>
      </w:r>
    </w:p>
    <w:p w14:paraId="29118400">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10）承包人应提供视频监控的前端所有设备的供电保障，包括：高清日夜型网络监控设备、路由器、交换机等。</w:t>
      </w:r>
    </w:p>
    <w:p w14:paraId="291CB4AB">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11）承包人对视频监控系统反馈信息的分析、决策、上报、实施，均须严格按照质量控制流程和国家、省、市及发包人制订的相关规定执行。</w:t>
      </w:r>
    </w:p>
    <w:p w14:paraId="5615F34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12）承包人应建立视频监控系统资料的收集、查阅、检索等档案系统，并安排专人负责。</w:t>
      </w:r>
    </w:p>
    <w:p w14:paraId="2307B59C">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9.4承包人应在签订本合同的同时按招标文件提供的格式与发包人签订《工程质量保修书》、《工程建设廉洁协议书》、《安全生产合同》等文件。</w:t>
      </w:r>
    </w:p>
    <w:p w14:paraId="13D2605A">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9.5</w:t>
      </w:r>
      <w:r>
        <w:rPr>
          <w:rFonts w:hint="eastAsia" w:ascii="宋体" w:hAnsi="宋体" w:eastAsia="宋体" w:cs="宋体"/>
          <w:color w:val="auto"/>
          <w:kern w:val="0"/>
          <w:sz w:val="24"/>
          <w:szCs w:val="24"/>
          <w:highlight w:val="none"/>
          <w:lang w:val="en-US" w:eastAsia="zh-CN" w:bidi="ar"/>
        </w:rPr>
        <w:t>承包人应当按照国家及广东省、广州市的有关规定和本合同的有关约定加强其参与本工程建设人员（包括施工人员）的管理。</w:t>
      </w:r>
    </w:p>
    <w:p w14:paraId="7C2393E5">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w:t>
      </w:r>
      <w:r>
        <w:rPr>
          <w:rFonts w:hint="default" w:ascii="Times New Roman" w:hAnsi="Times New Roman" w:eastAsia="宋体" w:cs="Times New Roman"/>
          <w:bCs/>
          <w:iCs/>
          <w:color w:val="auto"/>
          <w:kern w:val="0"/>
          <w:sz w:val="24"/>
          <w:szCs w:val="24"/>
          <w:highlight w:val="none"/>
          <w:lang w:val="en-US" w:eastAsia="zh-CN" w:bidi="ar"/>
        </w:rPr>
        <w:t>1</w:t>
      </w:r>
      <w:r>
        <w:rPr>
          <w:rFonts w:hint="eastAsia" w:ascii="宋体" w:hAnsi="宋体" w:eastAsia="宋体" w:cs="宋体"/>
          <w:bCs/>
          <w:iCs/>
          <w:color w:val="auto"/>
          <w:kern w:val="0"/>
          <w:sz w:val="24"/>
          <w:szCs w:val="24"/>
          <w:highlight w:val="none"/>
          <w:lang w:val="en-US" w:eastAsia="zh-CN" w:bidi="ar"/>
        </w:rPr>
        <w:t>）按时足额支付施工人员工资</w:t>
      </w:r>
    </w:p>
    <w:p w14:paraId="21D34F50">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default" w:ascii="Times New Roman" w:hAnsi="Times New Roman" w:eastAsia="宋体" w:cs="Times New Roman"/>
          <w:bCs/>
          <w:iCs/>
          <w:color w:val="auto"/>
          <w:kern w:val="0"/>
          <w:sz w:val="24"/>
          <w:szCs w:val="24"/>
          <w:highlight w:val="none"/>
          <w:lang w:val="en-US" w:eastAsia="zh-CN" w:bidi="ar"/>
        </w:rPr>
        <w:t>1</w:t>
      </w:r>
      <w:r>
        <w:rPr>
          <w:rFonts w:hint="eastAsia" w:ascii="宋体" w:hAnsi="宋体" w:eastAsia="宋体" w:cs="宋体"/>
          <w:bCs/>
          <w:iCs/>
          <w:color w:val="auto"/>
          <w:kern w:val="0"/>
          <w:sz w:val="24"/>
          <w:szCs w:val="24"/>
          <w:highlight w:val="none"/>
          <w:lang w:val="en-US" w:eastAsia="zh-CN" w:bidi="ar"/>
        </w:rPr>
        <w:t>）承包人应当根据劳动合同约定的施工人员工资标准等内容，按照依法签订的集体合同或劳动合同约定的日期按月支付工资，并不得低于当地最低工资标准。</w:t>
      </w:r>
    </w:p>
    <w:p w14:paraId="5C078E2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default" w:ascii="Times New Roman" w:hAnsi="Times New Roman" w:eastAsia="宋体" w:cs="Times New Roman"/>
          <w:bCs/>
          <w:iCs/>
          <w:color w:val="auto"/>
          <w:kern w:val="0"/>
          <w:sz w:val="24"/>
          <w:szCs w:val="24"/>
          <w:highlight w:val="none"/>
          <w:lang w:val="en-US" w:eastAsia="zh-CN" w:bidi="ar"/>
        </w:rPr>
        <w:t>2</w:t>
      </w:r>
      <w:r>
        <w:rPr>
          <w:rFonts w:hint="eastAsia" w:ascii="宋体" w:hAnsi="宋体" w:eastAsia="宋体" w:cs="宋体"/>
          <w:bCs/>
          <w:iCs/>
          <w:color w:val="auto"/>
          <w:kern w:val="0"/>
          <w:sz w:val="24"/>
          <w:szCs w:val="24"/>
          <w:highlight w:val="none"/>
          <w:lang w:val="en-US" w:eastAsia="zh-CN" w:bidi="ar"/>
        </w:rPr>
        <w:t>）承包人应每月编制施工人员工资支付表，如实记录支付时间、支付对象、支付金额等工资支付情况，并于每月底在其现场管理机构办公场所显眼位置公示，接受监督。</w:t>
      </w:r>
    </w:p>
    <w:p w14:paraId="42ACC1CA">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default" w:ascii="Times New Roman" w:hAnsi="Times New Roman" w:eastAsia="宋体" w:cs="Times New Roman"/>
          <w:bCs/>
          <w:iCs/>
          <w:color w:val="auto"/>
          <w:kern w:val="0"/>
          <w:sz w:val="24"/>
          <w:szCs w:val="24"/>
          <w:highlight w:val="none"/>
          <w:lang w:val="en-US" w:eastAsia="zh-CN" w:bidi="ar"/>
        </w:rPr>
        <w:t>3</w:t>
      </w:r>
      <w:r>
        <w:rPr>
          <w:rFonts w:hint="eastAsia" w:ascii="宋体" w:hAnsi="宋体" w:eastAsia="宋体" w:cs="宋体"/>
          <w:bCs/>
          <w:iCs/>
          <w:color w:val="auto"/>
          <w:kern w:val="0"/>
          <w:sz w:val="24"/>
          <w:szCs w:val="24"/>
          <w:highlight w:val="none"/>
          <w:lang w:val="en-US" w:eastAsia="zh-CN" w:bidi="ar"/>
        </w:rPr>
        <w:t>）实施工人工资总包代发制度。本工程的施工总承包单位应对专业分包单位（含发包人直接发包的专业承包单位）和劳务分包单位（统称分包单位，下同）的劳动用工进行监督管理，与分包单位签订委托工资支付协议，审核分包单位编制的施工人员考勤表、工资支付表等工资发放资料，并按《工程建设领域农民工工资专用账户管理暂行办法》（人社部发〔</w:t>
      </w:r>
      <w:r>
        <w:rPr>
          <w:rFonts w:hint="default" w:ascii="Times New Roman" w:hAnsi="Times New Roman" w:eastAsia="宋体" w:cs="Times New Roman"/>
          <w:bCs/>
          <w:iCs/>
          <w:color w:val="auto"/>
          <w:kern w:val="0"/>
          <w:sz w:val="24"/>
          <w:szCs w:val="24"/>
          <w:highlight w:val="none"/>
          <w:lang w:val="en-US" w:eastAsia="zh-CN" w:bidi="ar"/>
        </w:rPr>
        <w:t>2021</w:t>
      </w:r>
      <w:r>
        <w:rPr>
          <w:rFonts w:hint="eastAsia" w:ascii="宋体" w:hAnsi="宋体" w:eastAsia="宋体" w:cs="宋体"/>
          <w:bCs/>
          <w:iCs/>
          <w:color w:val="auto"/>
          <w:kern w:val="0"/>
          <w:sz w:val="24"/>
          <w:szCs w:val="24"/>
          <w:highlight w:val="none"/>
          <w:lang w:val="en-US" w:eastAsia="zh-CN" w:bidi="ar"/>
        </w:rPr>
        <w:t>〕</w:t>
      </w:r>
      <w:r>
        <w:rPr>
          <w:rFonts w:hint="default" w:ascii="Times New Roman" w:hAnsi="Times New Roman" w:eastAsia="宋体" w:cs="Times New Roman"/>
          <w:bCs/>
          <w:iCs/>
          <w:color w:val="auto"/>
          <w:kern w:val="0"/>
          <w:sz w:val="24"/>
          <w:szCs w:val="24"/>
          <w:highlight w:val="none"/>
          <w:lang w:val="en-US" w:eastAsia="zh-CN" w:bidi="ar"/>
        </w:rPr>
        <w:t>53</w:t>
      </w:r>
      <w:r>
        <w:rPr>
          <w:rFonts w:hint="eastAsia" w:ascii="宋体" w:hAnsi="宋体" w:eastAsia="宋体" w:cs="宋体"/>
          <w:bCs/>
          <w:iCs/>
          <w:color w:val="auto"/>
          <w:kern w:val="0"/>
          <w:sz w:val="24"/>
          <w:szCs w:val="24"/>
          <w:highlight w:val="none"/>
          <w:lang w:val="en-US" w:eastAsia="zh-CN" w:bidi="ar"/>
        </w:rPr>
        <w:t>号）以及合同专用条款第</w:t>
      </w:r>
      <w:r>
        <w:rPr>
          <w:rFonts w:hint="default" w:ascii="Times New Roman" w:hAnsi="Times New Roman" w:eastAsia="宋体" w:cs="Times New Roman"/>
          <w:bCs/>
          <w:iCs/>
          <w:color w:val="auto"/>
          <w:kern w:val="0"/>
          <w:sz w:val="24"/>
          <w:szCs w:val="24"/>
          <w:highlight w:val="none"/>
          <w:lang w:val="en-US" w:eastAsia="zh-CN" w:bidi="ar"/>
        </w:rPr>
        <w:t>9.5</w:t>
      </w:r>
      <w:r>
        <w:rPr>
          <w:rFonts w:hint="eastAsia" w:ascii="宋体" w:hAnsi="宋体" w:eastAsia="宋体" w:cs="宋体"/>
          <w:bCs/>
          <w:iCs/>
          <w:color w:val="auto"/>
          <w:kern w:val="0"/>
          <w:sz w:val="24"/>
          <w:szCs w:val="24"/>
          <w:highlight w:val="none"/>
          <w:lang w:val="en-US" w:eastAsia="zh-CN" w:bidi="ar"/>
        </w:rPr>
        <w:t>（</w:t>
      </w:r>
      <w:r>
        <w:rPr>
          <w:rFonts w:hint="default" w:ascii="Times New Roman" w:hAnsi="Times New Roman" w:eastAsia="宋体" w:cs="Times New Roman"/>
          <w:bCs/>
          <w:iCs/>
          <w:color w:val="auto"/>
          <w:kern w:val="0"/>
          <w:sz w:val="24"/>
          <w:szCs w:val="24"/>
          <w:highlight w:val="none"/>
          <w:lang w:val="en-US" w:eastAsia="zh-CN" w:bidi="ar"/>
        </w:rPr>
        <w:t>1</w:t>
      </w:r>
      <w:r>
        <w:rPr>
          <w:rFonts w:hint="eastAsia" w:ascii="宋体" w:hAnsi="宋体" w:eastAsia="宋体" w:cs="宋体"/>
          <w:bCs/>
          <w:iCs/>
          <w:color w:val="auto"/>
          <w:kern w:val="0"/>
          <w:sz w:val="24"/>
          <w:szCs w:val="24"/>
          <w:highlight w:val="none"/>
          <w:lang w:val="en-US" w:eastAsia="zh-CN" w:bidi="ar"/>
        </w:rPr>
        <w:t>）款</w:t>
      </w:r>
      <w:r>
        <w:rPr>
          <w:rFonts w:hint="default" w:ascii="Times New Roman" w:hAnsi="Times New Roman" w:eastAsia="宋体" w:cs="Times New Roman"/>
          <w:bCs/>
          <w:iCs/>
          <w:color w:val="auto"/>
          <w:kern w:val="0"/>
          <w:sz w:val="24"/>
          <w:szCs w:val="24"/>
          <w:highlight w:val="none"/>
          <w:lang w:val="en-US" w:eastAsia="zh-CN" w:bidi="ar"/>
        </w:rPr>
        <w:t>7</w:t>
      </w:r>
      <w:r>
        <w:rPr>
          <w:rFonts w:hint="eastAsia" w:ascii="宋体" w:hAnsi="宋体" w:eastAsia="宋体" w:cs="宋体"/>
          <w:bCs/>
          <w:iCs/>
          <w:color w:val="auto"/>
          <w:kern w:val="0"/>
          <w:sz w:val="24"/>
          <w:szCs w:val="24"/>
          <w:highlight w:val="none"/>
          <w:lang w:val="en-US" w:eastAsia="zh-CN" w:bidi="ar"/>
        </w:rPr>
        <w:t>）项的要求支付分包单位施工人员工资。开展班组长、农民工进场签订守法承诺书、退场签订工资结清确认书制度。</w:t>
      </w:r>
    </w:p>
    <w:p w14:paraId="098FFCB8">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default" w:ascii="Times New Roman" w:hAnsi="Times New Roman" w:eastAsia="宋体" w:cs="Times New Roman"/>
          <w:bCs/>
          <w:iCs/>
          <w:color w:val="auto"/>
          <w:kern w:val="0"/>
          <w:sz w:val="24"/>
          <w:szCs w:val="24"/>
          <w:highlight w:val="none"/>
          <w:lang w:val="en-US" w:eastAsia="zh-CN" w:bidi="ar"/>
        </w:rPr>
        <w:t>4</w:t>
      </w:r>
      <w:r>
        <w:rPr>
          <w:rFonts w:hint="eastAsia" w:ascii="宋体" w:hAnsi="宋体" w:eastAsia="宋体" w:cs="宋体"/>
          <w:bCs/>
          <w:iCs/>
          <w:color w:val="auto"/>
          <w:kern w:val="0"/>
          <w:sz w:val="24"/>
          <w:szCs w:val="24"/>
          <w:highlight w:val="none"/>
          <w:lang w:val="en-US" w:eastAsia="zh-CN" w:bidi="ar"/>
        </w:rPr>
        <w:t>）承包人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14:paraId="350EA0D6">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default" w:ascii="Times New Roman" w:hAnsi="Times New Roman" w:eastAsia="宋体" w:cs="Times New Roman"/>
          <w:bCs/>
          <w:iCs/>
          <w:color w:val="auto"/>
          <w:kern w:val="0"/>
          <w:sz w:val="24"/>
          <w:szCs w:val="24"/>
          <w:highlight w:val="none"/>
          <w:lang w:val="en-US" w:eastAsia="zh-CN" w:bidi="ar"/>
        </w:rPr>
        <w:t>5</w:t>
      </w:r>
      <w:r>
        <w:rPr>
          <w:rFonts w:hint="eastAsia" w:ascii="宋体" w:hAnsi="宋体" w:eastAsia="宋体" w:cs="宋体"/>
          <w:bCs/>
          <w:iCs/>
          <w:color w:val="auto"/>
          <w:kern w:val="0"/>
          <w:sz w:val="24"/>
          <w:szCs w:val="24"/>
          <w:highlight w:val="none"/>
          <w:lang w:val="en-US" w:eastAsia="zh-CN" w:bidi="ar"/>
        </w:rPr>
        <w:t>）由于承包人或其管理的分包单位、劳务合作单位拖欠施工人员工资，致使发包人被投诉或起诉并被判令先行垫付施工人员工资的，发包人除追究承包人和其他相关责任单位的违约责任外，还将在工程结算时按合同专用条款第</w:t>
      </w:r>
      <w:r>
        <w:rPr>
          <w:rFonts w:hint="default" w:ascii="Times New Roman" w:hAnsi="Times New Roman" w:eastAsia="宋体" w:cs="Times New Roman"/>
          <w:bCs/>
          <w:iCs/>
          <w:color w:val="auto"/>
          <w:kern w:val="0"/>
          <w:sz w:val="24"/>
          <w:szCs w:val="24"/>
          <w:highlight w:val="none"/>
          <w:lang w:val="en-US" w:eastAsia="zh-CN" w:bidi="ar"/>
        </w:rPr>
        <w:t>38.14</w:t>
      </w:r>
      <w:r>
        <w:rPr>
          <w:rFonts w:hint="eastAsia" w:ascii="宋体" w:hAnsi="宋体" w:eastAsia="宋体" w:cs="宋体"/>
          <w:bCs/>
          <w:iCs/>
          <w:color w:val="auto"/>
          <w:kern w:val="0"/>
          <w:sz w:val="24"/>
          <w:szCs w:val="24"/>
          <w:highlight w:val="none"/>
          <w:lang w:val="en-US" w:eastAsia="zh-CN" w:bidi="ar"/>
        </w:rPr>
        <w:t>（</w:t>
      </w:r>
      <w:r>
        <w:rPr>
          <w:rFonts w:hint="default" w:ascii="Times New Roman" w:hAnsi="Times New Roman" w:eastAsia="宋体" w:cs="Times New Roman"/>
          <w:bCs/>
          <w:iCs/>
          <w:color w:val="auto"/>
          <w:kern w:val="0"/>
          <w:sz w:val="24"/>
          <w:szCs w:val="24"/>
          <w:highlight w:val="none"/>
          <w:lang w:val="en-US" w:eastAsia="zh-CN" w:bidi="ar"/>
        </w:rPr>
        <w:t>2</w:t>
      </w:r>
      <w:r>
        <w:rPr>
          <w:rFonts w:hint="eastAsia" w:ascii="宋体" w:hAnsi="宋体" w:eastAsia="宋体" w:cs="宋体"/>
          <w:bCs/>
          <w:iCs/>
          <w:color w:val="auto"/>
          <w:kern w:val="0"/>
          <w:sz w:val="24"/>
          <w:szCs w:val="24"/>
          <w:highlight w:val="none"/>
          <w:lang w:val="en-US" w:eastAsia="zh-CN" w:bidi="ar"/>
        </w:rPr>
        <w:t>）款的约定扣回相关款项作为补偿。</w:t>
      </w:r>
    </w:p>
    <w:p w14:paraId="5A9D67E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default" w:ascii="Times New Roman" w:hAnsi="Times New Roman" w:eastAsia="宋体" w:cs="Times New Roman"/>
          <w:bCs/>
          <w:iCs/>
          <w:color w:val="auto"/>
          <w:kern w:val="0"/>
          <w:sz w:val="24"/>
          <w:szCs w:val="24"/>
          <w:highlight w:val="none"/>
          <w:lang w:val="en-US" w:eastAsia="zh-CN" w:bidi="ar"/>
        </w:rPr>
        <w:t>6</w:t>
      </w:r>
      <w:r>
        <w:rPr>
          <w:rFonts w:hint="eastAsia" w:ascii="宋体" w:hAnsi="宋体" w:eastAsia="宋体" w:cs="宋体"/>
          <w:bCs/>
          <w:iCs/>
          <w:color w:val="auto"/>
          <w:kern w:val="0"/>
          <w:sz w:val="24"/>
          <w:szCs w:val="24"/>
          <w:highlight w:val="none"/>
          <w:lang w:val="en-US" w:eastAsia="zh-CN" w:bidi="ar"/>
        </w:rPr>
        <w:t>）承包人必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14:paraId="07DA952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default" w:ascii="Times New Roman" w:hAnsi="Times New Roman" w:eastAsia="宋体" w:cs="Times New Roman"/>
          <w:bCs/>
          <w:iCs/>
          <w:color w:val="auto"/>
          <w:kern w:val="0"/>
          <w:sz w:val="24"/>
          <w:szCs w:val="24"/>
          <w:highlight w:val="none"/>
          <w:lang w:val="en-US" w:eastAsia="zh-CN" w:bidi="ar"/>
        </w:rPr>
        <w:t>7</w:t>
      </w:r>
      <w:r>
        <w:rPr>
          <w:rFonts w:hint="eastAsia" w:ascii="宋体" w:hAnsi="宋体" w:eastAsia="宋体" w:cs="宋体"/>
          <w:bCs/>
          <w:iCs/>
          <w:color w:val="auto"/>
          <w:kern w:val="0"/>
          <w:sz w:val="24"/>
          <w:szCs w:val="24"/>
          <w:highlight w:val="none"/>
          <w:lang w:val="en-US" w:eastAsia="zh-CN" w:bidi="ar"/>
        </w:rPr>
        <w:t>）承包人必须与本项目施工总承包单位按签订的工程工人工资委托代发协议书通过施工总承包方开立的工人工资支付专用账户，依法按时足额将工人工资直接支付到工人的工资个人账户，并按月将工人工资支付明细表报发包人备案以及向分包单位提供代发工资凭证。承包人应当建立用工管理台账，真实、准确记录工人名册、劳动合同、劳务合同、工程进度、工时、劳务承包款和工人工资支付情况等信息，并至少保存至工程完工且工资全部结清后</w:t>
      </w:r>
      <w:r>
        <w:rPr>
          <w:rFonts w:hint="default" w:ascii="Times New Roman" w:hAnsi="Times New Roman" w:eastAsia="宋体" w:cs="Times New Roman"/>
          <w:bCs/>
          <w:iCs/>
          <w:color w:val="auto"/>
          <w:kern w:val="0"/>
          <w:sz w:val="24"/>
          <w:szCs w:val="24"/>
          <w:highlight w:val="none"/>
          <w:lang w:val="en-US" w:eastAsia="zh-CN" w:bidi="ar"/>
        </w:rPr>
        <w:t>3</w:t>
      </w:r>
      <w:r>
        <w:rPr>
          <w:rFonts w:hint="eastAsia" w:ascii="宋体" w:hAnsi="宋体" w:eastAsia="宋体" w:cs="宋体"/>
          <w:bCs/>
          <w:iCs/>
          <w:color w:val="auto"/>
          <w:kern w:val="0"/>
          <w:sz w:val="24"/>
          <w:szCs w:val="24"/>
          <w:highlight w:val="none"/>
          <w:lang w:val="en-US" w:eastAsia="zh-CN" w:bidi="ar"/>
        </w:rPr>
        <w:t>年备查。</w:t>
      </w:r>
    </w:p>
    <w:p w14:paraId="33F6DD4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（2）成立处理劳资纠纷的协调机构</w:t>
      </w:r>
    </w:p>
    <w:p w14:paraId="4F771B2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承包人</w:t>
      </w:r>
      <w:r>
        <w:rPr>
          <w:rFonts w:hint="eastAsia" w:ascii="宋体" w:hAnsi="宋体" w:eastAsia="宋体" w:cs="宋体"/>
          <w:color w:val="auto"/>
          <w:kern w:val="0"/>
          <w:sz w:val="24"/>
          <w:szCs w:val="24"/>
          <w:highlight w:val="none"/>
          <w:lang w:val="en-US" w:eastAsia="zh-CN" w:bidi="ar"/>
        </w:rPr>
        <w:t>必须成立处理劳资纠纷的协调机构，</w:t>
      </w:r>
      <w:r>
        <w:rPr>
          <w:rFonts w:hint="eastAsia" w:ascii="宋体" w:hAnsi="宋体" w:eastAsia="宋体" w:cs="宋体"/>
          <w:bCs/>
          <w:iCs/>
          <w:color w:val="auto"/>
          <w:kern w:val="0"/>
          <w:sz w:val="24"/>
          <w:szCs w:val="24"/>
          <w:highlight w:val="none"/>
          <w:lang w:val="en-US" w:eastAsia="zh-CN" w:bidi="ar"/>
        </w:rPr>
        <w:t>承包人主管领导和项目经理要亲自负责，配备专职人员，及时化解劳资矛盾及纠纷，并及时揭露、制止恶意煽动施工人员集体上访、集聚围阻的行为，保证在整个工程建设期间不发生施工人员集体上访、集聚围阻等事件。</w:t>
      </w:r>
    </w:p>
    <w:p w14:paraId="36C3C78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9.6施工总承包管理单位须按照本合同约定履行施工总承包管理和配合服务，包括但不限于下列工作内容：</w:t>
      </w:r>
    </w:p>
    <w:p w14:paraId="0DEE6D12">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（1）项目进度管理；</w:t>
      </w:r>
    </w:p>
    <w:p w14:paraId="3ECB0760">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（2）施工现场临时设施搭建和管理；</w:t>
      </w:r>
    </w:p>
    <w:p w14:paraId="676310A2">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（3）文明施工和安全生产管理；</w:t>
      </w:r>
    </w:p>
    <w:p w14:paraId="253A6383">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（4）综合管理；</w:t>
      </w:r>
    </w:p>
    <w:p w14:paraId="1C701F6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（5）成品保护；</w:t>
      </w:r>
    </w:p>
    <w:p w14:paraId="35AF27E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（6）设计配合与技术督导配合；</w:t>
      </w:r>
    </w:p>
    <w:p w14:paraId="0A8AAD4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（7）竣工验收、竣工资料（含竣工图）管理；</w:t>
      </w:r>
    </w:p>
    <w:p w14:paraId="48D74C56">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（8）对发包人另行发包的专业工程（含</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Cs/>
          <w:iCs/>
          <w:color w:val="auto"/>
          <w:kern w:val="0"/>
          <w:sz w:val="24"/>
          <w:szCs w:val="24"/>
          <w:highlight w:val="none"/>
          <w:lang w:val="en-US" w:eastAsia="zh-CN" w:bidi="ar"/>
        </w:rPr>
        <w:t xml:space="preserve">甲供材料设备  </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Cs/>
          <w:iCs/>
          <w:color w:val="auto"/>
          <w:kern w:val="0"/>
          <w:sz w:val="24"/>
          <w:szCs w:val="24"/>
          <w:highlight w:val="none"/>
          <w:lang w:val="en-US" w:eastAsia="zh-CN" w:bidi="ar"/>
        </w:rPr>
        <w:t xml:space="preserve">甲招乙供材料设备 </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Cs/>
          <w:iCs/>
          <w:color w:val="auto"/>
          <w:kern w:val="0"/>
          <w:sz w:val="24"/>
          <w:szCs w:val="24"/>
          <w:highlight w:val="none"/>
          <w:lang w:val="en-US" w:eastAsia="zh-CN" w:bidi="ar"/>
        </w:rPr>
        <w:t xml:space="preserve"> 甲管乙供材料设备）的总承包管理及配合服务；</w:t>
      </w:r>
    </w:p>
    <w:p w14:paraId="16E4F9A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（9）本合同包含的其他施工总承包管理和配合服务内容；</w:t>
      </w:r>
    </w:p>
    <w:p w14:paraId="318BC249">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iCs/>
          <w:color w:val="auto"/>
          <w:kern w:val="0"/>
          <w:sz w:val="24"/>
          <w:szCs w:val="24"/>
          <w:highlight w:val="none"/>
        </w:rPr>
      </w:pPr>
      <w:r>
        <w:rPr>
          <w:rFonts w:hint="eastAsia" w:ascii="宋体" w:hAnsi="宋体" w:eastAsia="宋体" w:cs="宋体"/>
          <w:bCs/>
          <w:iCs/>
          <w:color w:val="auto"/>
          <w:kern w:val="0"/>
          <w:sz w:val="24"/>
          <w:szCs w:val="24"/>
          <w:highlight w:val="none"/>
          <w:lang w:val="en-US" w:eastAsia="zh-CN" w:bidi="ar"/>
        </w:rPr>
        <w:t>（10）发包人交办的其他任务。</w:t>
      </w:r>
    </w:p>
    <w:p w14:paraId="753CE04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9.7承包人须于每月最后一日前向总监理工程师提供综合报表（内容包括但不限于如下计划、报表或报告），经总监理工程师审核，并报发包人批准后实施：</w:t>
      </w:r>
    </w:p>
    <w:p w14:paraId="3687172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上月工程进度款《资金使用反馈表》（统计时段从上上月25日至上月24日），并提交已支付分包及材料设备供货单位价款凭证复印件，由总监理工程师核实确认资金落实情况并报发包人，以保证承包人将工程进度款专用于本工程。</w:t>
      </w:r>
    </w:p>
    <w:p w14:paraId="0CA05828">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当月应完成的工程进度和实际完成进度统计报表，当月完成的工程量申报（要求分细项申报，并含有完成金额），当月工程质量、安全生产、文明施工情况报告，当月工程事故报告（如果发生时，须同时报政府相关部门），当月</w:t>
      </w:r>
      <w:r>
        <w:rPr>
          <w:rFonts w:hint="eastAsia" w:ascii="宋体" w:hAnsi="宋体" w:eastAsia="宋体" w:cs="宋体"/>
          <w:color w:val="auto"/>
          <w:kern w:val="0"/>
          <w:sz w:val="24"/>
          <w:szCs w:val="24"/>
          <w:highlight w:val="none"/>
          <w:lang w:val="en-US" w:eastAsia="zh-CN" w:bidi="ar"/>
        </w:rPr>
        <w:t>其总承包管理范围内各专业间的组织管理、协调、配合等方面情况及所出现问题的专项报告</w:t>
      </w:r>
      <w:r>
        <w:rPr>
          <w:rFonts w:hint="eastAsia" w:ascii="宋体" w:hAnsi="宋体" w:eastAsia="宋体" w:cs="宋体"/>
          <w:bCs/>
          <w:color w:val="auto"/>
          <w:kern w:val="0"/>
          <w:sz w:val="24"/>
          <w:szCs w:val="24"/>
          <w:highlight w:val="none"/>
          <w:lang w:val="en-US" w:eastAsia="zh-CN" w:bidi="ar"/>
        </w:rPr>
        <w:t>（统计时段从上月25日至当月24日）。</w:t>
      </w:r>
    </w:p>
    <w:p w14:paraId="1CC6786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（3）下月资金使用计划，下月施工进度计划，下月施工拟投入设备、劳动力计划（统计时段从本月25日至下月24日）。</w:t>
      </w:r>
    </w:p>
    <w:p w14:paraId="34B4AEA3">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所有计划、报表及报告的具体格式，应按照发包人信息采集办法要求，填报发包人工程管理系统可识别的电子文件。</w:t>
      </w:r>
    </w:p>
    <w:p w14:paraId="6D912FC7">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Cs/>
          <w:color w:val="auto"/>
          <w:kern w:val="0"/>
          <w:sz w:val="24"/>
          <w:szCs w:val="24"/>
          <w:highlight w:val="none"/>
          <w:lang w:val="en-US" w:eastAsia="zh-CN" w:bidi="ar"/>
        </w:rPr>
        <w:t xml:space="preserve"> 9.8分部验收工作计划的提交要求</w:t>
      </w:r>
    </w:p>
    <w:p w14:paraId="1215249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承包人须于进场之日起15日内向发包人提交本工程的分部验收工作计划，经发包人审定后执行。如在施工过程中发生设计变更、新增工程等情况导致工程内容发生变化的，承包人应在发包人规定的时间内提交新的分部验收工作计划，经发包人审定后执行。分部验收原则上按分部工程为界面划分，特殊情况下，也可按子分部工程或分项工程为界面来划分。</w:t>
      </w:r>
    </w:p>
    <w:p w14:paraId="6A903B58">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Cs/>
          <w:color w:val="auto"/>
          <w:kern w:val="0"/>
          <w:sz w:val="24"/>
          <w:szCs w:val="24"/>
          <w:highlight w:val="none"/>
          <w:lang w:val="en-US" w:eastAsia="zh-CN" w:bidi="ar"/>
        </w:rPr>
        <w:t xml:space="preserve"> 9.9分段结算工作计划的提交要求</w:t>
      </w:r>
    </w:p>
    <w:p w14:paraId="628FEC42">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承包人须于进场之日起15日内向发包人提交本工程的分段结算工作计划，经发包人审定后执行。如在施工过程中发生设计变更、新增工程等情况导致原分段结算工作计划受影响的，承包人应在发包人规定的时间内提交新的分段结算工作计划，经发包人审定后执行。分段结算的界面划分按以下原则执行：</w:t>
      </w:r>
    </w:p>
    <w:p w14:paraId="64D6300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（1）如本工程仅由一个单项工程组成，则分段结算原则上应以单位工程为界面来划分。特殊情况下，经发包人批准的，也可以分部工程为界面来划分。</w:t>
      </w:r>
    </w:p>
    <w:p w14:paraId="635B2016">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（2）如本工程由两个或两个以上单项工程组成，则分段结算原则上应以单项工程为界面来划分。特殊情况下，经发包人批准的，也可以各单项工程中的单位工程或分部工程为界面来划分。</w:t>
      </w:r>
    </w:p>
    <w:p w14:paraId="5F8B84FD">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Cs/>
          <w:color w:val="auto"/>
          <w:kern w:val="0"/>
          <w:sz w:val="24"/>
          <w:szCs w:val="24"/>
          <w:highlight w:val="none"/>
          <w:lang w:val="en-US" w:eastAsia="zh-CN" w:bidi="ar"/>
        </w:rPr>
        <w:t xml:space="preserve"> 9.10分段结算资料提交要求</w:t>
      </w:r>
    </w:p>
    <w:p w14:paraId="5F7CC383">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推行分段结算的工程，承包人应当按审定的分段结算工作计划按时向发包人提交如下分段结算涉及到的资料（包括但不限于）：</w:t>
      </w:r>
    </w:p>
    <w:p w14:paraId="5A8608F2">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（1）结算书；</w:t>
      </w:r>
    </w:p>
    <w:p w14:paraId="5B5C79CC">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（2）工程量计算书（即计算底稿）；</w:t>
      </w:r>
    </w:p>
    <w:p w14:paraId="7BBF63E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（3）钢筋抽料表（建筑、市政、园林景观等工程适用）；</w:t>
      </w:r>
    </w:p>
    <w:p w14:paraId="2AB96F3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（4）图纸会审记录；</w:t>
      </w:r>
    </w:p>
    <w:p w14:paraId="123747BC">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（5）设计变更单；</w:t>
      </w:r>
    </w:p>
    <w:p w14:paraId="5AF45D2B">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（6）工程洽商记录；</w:t>
      </w:r>
    </w:p>
    <w:p w14:paraId="78F5A3AC">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（7）总监理工程师通知或发包人施工指令；</w:t>
      </w:r>
    </w:p>
    <w:p w14:paraId="7A4A3D98">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（8）会议纪要；</w:t>
      </w:r>
    </w:p>
    <w:p w14:paraId="7884DB53">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（9）工程签证；</w:t>
      </w:r>
    </w:p>
    <w:p w14:paraId="327F1782">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（10）材料设备单价呈批审核单；</w:t>
      </w:r>
    </w:p>
    <w:p w14:paraId="5AC2332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（11）综合单价呈批审核单；</w:t>
      </w:r>
    </w:p>
    <w:p w14:paraId="553CC239">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（12）发包人供应材料收货验收签收单；</w:t>
      </w:r>
    </w:p>
    <w:p w14:paraId="2775F056">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（13）验收记录或验收报告；</w:t>
      </w:r>
    </w:p>
    <w:p w14:paraId="43F30DF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（14）其他分段结算资料；</w:t>
      </w:r>
    </w:p>
    <w:p w14:paraId="32A839FB">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（15）移交资料签收表。</w:t>
      </w:r>
    </w:p>
    <w:p w14:paraId="0BC30F6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3E9DB309">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
        </w:rPr>
        <w:t>三、施工组织设计和工期</w:t>
      </w:r>
    </w:p>
    <w:p w14:paraId="22060E8E">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10、进度计划</w:t>
      </w:r>
    </w:p>
    <w:p w14:paraId="74EF7923">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10.1计划的提交和确认</w:t>
      </w:r>
    </w:p>
    <w:p w14:paraId="600C97DD">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（1）承包人应于收到总监理工程师的进场通知后7天内向总监理工程师提交项目及单位工程的施工组织设计与进度计划。</w:t>
      </w:r>
    </w:p>
    <w:p w14:paraId="09C9C4E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承包人提交的施工组织设计应当载明如下内容（包括但不限于）：</w:t>
      </w:r>
    </w:p>
    <w:p w14:paraId="21ACA30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1）各分部分项工程完整的施工方案；</w:t>
      </w:r>
    </w:p>
    <w:p w14:paraId="388556E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2）施工资源投入计划，包括：机械设备进场计划、工程材料和物料进场及仓储计划、施工人员进场计划等；</w:t>
      </w:r>
    </w:p>
    <w:p w14:paraId="78A28EE9">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3）施工现场平面布置图（包括施工道路平面图、各种临时设施、施工用水、监控设施、施工机具、材料构配件存放位置）；</w:t>
      </w:r>
    </w:p>
    <w:p w14:paraId="384FC621">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4）季节性施工措施；</w:t>
      </w:r>
    </w:p>
    <w:p w14:paraId="181051B3">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5）地下管线及其他地下设施的处理措施；</w:t>
      </w:r>
    </w:p>
    <w:p w14:paraId="030159E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6）保证工期、质量的措施；</w:t>
      </w:r>
    </w:p>
    <w:p w14:paraId="42A8F31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7）建筑垃圾处理方案（包括施工现场建筑垃圾源头减量的具体要求和措施，以及建筑垃圾综合利用产品的使用要求等）；</w:t>
      </w:r>
    </w:p>
    <w:p w14:paraId="1715175A">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8）保证安全生产、文明施工、减少扰民，且满足环境保护要求的措施；</w:t>
      </w:r>
    </w:p>
    <w:p w14:paraId="237568AA">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9）妥善处理与相邻施工作业现场关系的措施；</w:t>
      </w:r>
    </w:p>
    <w:p w14:paraId="7AD74B39">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10）其他与工程施工有关的管理方案、措施。</w:t>
      </w:r>
    </w:p>
    <w:p w14:paraId="2242B82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承包人编制的</w:t>
      </w:r>
      <w:r>
        <w:rPr>
          <w:rFonts w:hint="eastAsia" w:ascii="宋体" w:hAnsi="宋体" w:eastAsia="宋体" w:cs="宋体"/>
          <w:color w:val="auto"/>
          <w:kern w:val="0"/>
          <w:sz w:val="24"/>
          <w:szCs w:val="24"/>
          <w:highlight w:val="none"/>
          <w:lang w:val="en-US" w:eastAsia="zh-CN" w:bidi="ar"/>
        </w:rPr>
        <w:t>工程进度计划内容应全面详实，且应针对施工总承包范围内的各专业平行分包工程及建筑工程的全部或分项施工作业和特点提出施工方法、施工穿插顺序及时间安排，并在各节点位置标注相应的工程量、资金使用计划、人力机械组织及材料消耗量。</w:t>
      </w:r>
    </w:p>
    <w:p w14:paraId="327A9421">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总监理工程师和发包人在接到承包人提交的施工组织设计和工程进度计划后7天内予以确认或提出修改意见（总监理工程师在4天内审核并签署意见，发包人在3天内审核并签署意见）。逾期既不确认，也不提出书面意见的视为同意，但如遇到重大或技术复杂、难度大的施工方案（如深基坑支护及高支模等施工方案），则应按政府有关规定召开专家评审会评审。</w:t>
      </w:r>
    </w:p>
    <w:p w14:paraId="52383F7D">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承包人和发包人一致同意增加10.4：</w:t>
      </w:r>
    </w:p>
    <w:p w14:paraId="7CADADB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10.4计划的执行</w:t>
      </w:r>
    </w:p>
    <w:p w14:paraId="731AFAA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（1）承包人应当加强计划管理，严格按照总监理工程师确认的工程进度计划组织施工，并接受总监理工程师对工程进度的检查、监督。</w:t>
      </w:r>
    </w:p>
    <w:p w14:paraId="1632F79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（2）为便于总监理工程师掌握和控制工期，承包人应于每月底向总监理工程师填报当月工程进度计划完成情况（没完成计划的必须说明原因），</w:t>
      </w:r>
      <w:r>
        <w:rPr>
          <w:rFonts w:hint="eastAsia" w:ascii="宋体" w:hAnsi="宋体" w:eastAsia="宋体" w:cs="宋体"/>
          <w:bCs/>
          <w:color w:val="auto"/>
          <w:kern w:val="0"/>
          <w:sz w:val="24"/>
          <w:szCs w:val="24"/>
          <w:highlight w:val="none"/>
          <w:lang w:val="en-US" w:eastAsia="zh-CN" w:bidi="ar"/>
        </w:rPr>
        <w:t>并在此基础上更新工程进度计划、</w:t>
      </w:r>
      <w:r>
        <w:rPr>
          <w:rFonts w:hint="eastAsia" w:ascii="宋体" w:hAnsi="宋体" w:eastAsia="宋体" w:cs="宋体"/>
          <w:color w:val="auto"/>
          <w:kern w:val="0"/>
          <w:sz w:val="24"/>
          <w:szCs w:val="24"/>
          <w:highlight w:val="none"/>
          <w:lang w:val="en-US" w:eastAsia="zh-CN" w:bidi="ar"/>
        </w:rPr>
        <w:t>资金计划和其他工作计划。总监理工程师在接到报告后应当予以确认或提出书面意见，承包人必须按照总监理工程师的确认或者书面意见执行。</w:t>
      </w:r>
    </w:p>
    <w:p w14:paraId="2DD6B56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总监理工程师认为本工程或其中任何部分工程进度滞后而不能按预定工期完工，应将此情况通知承包人。承包人应据此修改工程进度计划，采取总监理工程师同意的必要措施加快工程进度，属承包人原因造成的，则承包人无权要求发包人支付任何附加费用。如承包人未能在总监理工程师发布指令</w:t>
      </w:r>
      <w:r>
        <w:rPr>
          <w:rFonts w:hint="eastAsia" w:ascii="宋体" w:hAnsi="宋体" w:eastAsia="宋体" w:cs="宋体"/>
          <w:iCs/>
          <w:color w:val="auto"/>
          <w:kern w:val="0"/>
          <w:sz w:val="24"/>
          <w:szCs w:val="24"/>
          <w:highlight w:val="none"/>
          <w:lang w:val="en-US" w:eastAsia="zh-CN" w:bidi="ar"/>
        </w:rPr>
        <w:t>后10天内采取有效措施，工程进度仍然无明显改</w:t>
      </w:r>
      <w:r>
        <w:rPr>
          <w:rFonts w:hint="eastAsia" w:ascii="宋体" w:hAnsi="宋体" w:eastAsia="宋体" w:cs="宋体"/>
          <w:color w:val="auto"/>
          <w:kern w:val="0"/>
          <w:sz w:val="24"/>
          <w:szCs w:val="24"/>
          <w:highlight w:val="none"/>
          <w:lang w:val="en-US" w:eastAsia="zh-CN" w:bidi="ar"/>
        </w:rPr>
        <w:t>进，发包人有权部分或全部解除合同，将未完工程另行发包给其他有能力的施工单位；承包人必须无条件服从，由此所造成的损失全部由承包人承担。</w:t>
      </w:r>
    </w:p>
    <w:p w14:paraId="31317241">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承包人和发包人一致同意不适用合同通用条款第</w:t>
      </w:r>
      <w:r>
        <w:rPr>
          <w:rFonts w:hint="default" w:ascii="Times New Roman" w:hAnsi="Times New Roman" w:eastAsia="宋体" w:cs="Times New Roman"/>
          <w:b/>
          <w:bCs w:val="0"/>
          <w:color w:val="auto"/>
          <w:kern w:val="0"/>
          <w:sz w:val="24"/>
          <w:szCs w:val="24"/>
          <w:highlight w:val="none"/>
          <w:lang w:val="en-US" w:eastAsia="zh-CN" w:bidi="ar"/>
        </w:rPr>
        <w:t>11</w:t>
      </w:r>
      <w:r>
        <w:rPr>
          <w:rFonts w:hint="eastAsia" w:ascii="宋体" w:hAnsi="宋体" w:eastAsia="宋体" w:cs="宋体"/>
          <w:b/>
          <w:bCs w:val="0"/>
          <w:color w:val="auto"/>
          <w:kern w:val="0"/>
          <w:sz w:val="24"/>
          <w:szCs w:val="24"/>
          <w:highlight w:val="none"/>
          <w:lang w:val="en-US" w:eastAsia="zh-CN" w:bidi="ar"/>
        </w:rPr>
        <w:t>条的约定，代之以：</w:t>
      </w:r>
    </w:p>
    <w:p w14:paraId="39F9B7D4">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11、开工及延期开工</w:t>
      </w:r>
    </w:p>
    <w:p w14:paraId="5EDCD93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承包人必须在收到发包人进场通知的次日进入施工场地，做好施工准备工作，尽快开工。在工程已具备开工条件，但因</w:t>
      </w:r>
      <w:r>
        <w:rPr>
          <w:rFonts w:hint="eastAsia" w:ascii="宋体" w:hAnsi="宋体" w:eastAsia="宋体" w:cs="宋体"/>
          <w:bCs/>
          <w:color w:val="auto"/>
          <w:kern w:val="0"/>
          <w:sz w:val="24"/>
          <w:szCs w:val="24"/>
          <w:highlight w:val="none"/>
          <w:lang w:val="en-US" w:eastAsia="zh-CN" w:bidi="ar"/>
        </w:rPr>
        <w:t>承包人自身的原因（包括但不限于项目经理及现场管理机构其他人员尚未到位）而无法实际开工</w:t>
      </w:r>
      <w:r>
        <w:rPr>
          <w:rFonts w:hint="eastAsia" w:ascii="宋体" w:hAnsi="宋体" w:eastAsia="宋体" w:cs="宋体"/>
          <w:color w:val="auto"/>
          <w:kern w:val="0"/>
          <w:sz w:val="24"/>
          <w:szCs w:val="24"/>
          <w:highlight w:val="none"/>
          <w:lang w:val="en-US" w:eastAsia="zh-CN" w:bidi="ar"/>
        </w:rPr>
        <w:t>的，经发包人书面同意，总监理工程师可以签发开工令，工期开始正式计算，但现场不允许开工；再由总监理工程师发出停工令，待承包人准备妥当后才批准复工。由此产生的工期延误等损失由承包人承担，并按照合同专用条款第38.8款的有关约定处理。</w:t>
      </w:r>
    </w:p>
    <w:p w14:paraId="0EC0FCFF">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承包人和发包人一致同意不适用合同通用条款第12条的约定，代之以：</w:t>
      </w:r>
    </w:p>
    <w:p w14:paraId="0620EAE3">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12、暂停施工</w:t>
      </w:r>
    </w:p>
    <w:p w14:paraId="77DE951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12.1</w:t>
      </w:r>
      <w:r>
        <w:rPr>
          <w:rFonts w:hint="eastAsia" w:ascii="宋体" w:hAnsi="宋体" w:eastAsia="宋体" w:cs="宋体"/>
          <w:color w:val="auto"/>
          <w:kern w:val="0"/>
          <w:sz w:val="24"/>
          <w:szCs w:val="24"/>
          <w:highlight w:val="none"/>
          <w:lang w:val="en-US" w:eastAsia="zh-CN" w:bidi="ar"/>
        </w:rPr>
        <w:t>因下列原因，总监理工程师报经发包人同意，可通知承包人暂停施工：</w:t>
      </w:r>
    </w:p>
    <w:p w14:paraId="6FE130C4">
      <w:pPr>
        <w:keepNext w:val="0"/>
        <w:keepLines w:val="0"/>
        <w:widowControl w:val="0"/>
        <w:suppressLineNumbers w:val="0"/>
        <w:adjustRightInd w:val="0"/>
        <w:snapToGrid w:val="0"/>
        <w:spacing w:before="0" w:beforeAutospacing="0" w:after="0" w:afterAutospacing="0" w:line="360" w:lineRule="auto"/>
        <w:ind w:left="42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（1）工程设计发生重大变更；</w:t>
      </w:r>
    </w:p>
    <w:p w14:paraId="6C9379EB">
      <w:pPr>
        <w:keepNext w:val="0"/>
        <w:keepLines w:val="0"/>
        <w:widowControl w:val="0"/>
        <w:suppressLineNumbers w:val="0"/>
        <w:adjustRightInd w:val="0"/>
        <w:snapToGrid w:val="0"/>
        <w:spacing w:before="0" w:beforeAutospacing="0" w:after="0" w:afterAutospacing="0" w:line="360" w:lineRule="auto"/>
        <w:ind w:left="42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（2）不可抗力；</w:t>
      </w:r>
    </w:p>
    <w:p w14:paraId="4F6DB8EA">
      <w:pPr>
        <w:keepNext w:val="0"/>
        <w:keepLines w:val="0"/>
        <w:widowControl w:val="0"/>
        <w:suppressLineNumbers w:val="0"/>
        <w:adjustRightInd w:val="0"/>
        <w:snapToGrid w:val="0"/>
        <w:spacing w:before="0" w:beforeAutospacing="0" w:after="0" w:afterAutospacing="0" w:line="360" w:lineRule="auto"/>
        <w:ind w:left="42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（3）质量事故；</w:t>
      </w:r>
    </w:p>
    <w:p w14:paraId="103BEACE">
      <w:pPr>
        <w:keepNext w:val="0"/>
        <w:keepLines w:val="0"/>
        <w:widowControl w:val="0"/>
        <w:suppressLineNumbers w:val="0"/>
        <w:adjustRightInd w:val="0"/>
        <w:snapToGrid w:val="0"/>
        <w:spacing w:before="0" w:beforeAutospacing="0" w:after="0" w:afterAutospacing="0" w:line="360" w:lineRule="auto"/>
        <w:ind w:left="42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（4）安全生产事故。</w:t>
      </w:r>
    </w:p>
    <w:p w14:paraId="6237299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999999"/>
        </w:rPr>
      </w:pPr>
      <w:r>
        <w:rPr>
          <w:rFonts w:hint="eastAsia" w:ascii="宋体" w:hAnsi="宋体" w:eastAsia="宋体" w:cs="宋体"/>
          <w:color w:val="auto"/>
          <w:kern w:val="0"/>
          <w:sz w:val="24"/>
          <w:szCs w:val="24"/>
          <w:highlight w:val="none"/>
          <w:lang w:val="en-US" w:eastAsia="zh-CN" w:bidi="ar"/>
        </w:rPr>
        <w:t>因发生上述（1）、（2）项原因而暂停施工的，工期调整适用合同专用条款第13条的有关约定；因发生上述第（3）、（4）项原因而暂停施工的，工期不予顺延，承包人必须承担由此发生的费用，并按合同专用条款第38.10款、第38.11款的约定向发包人承担违约责任。</w:t>
      </w:r>
    </w:p>
    <w:p w14:paraId="22EC0A7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shd w:val="clear" w:fill="999999"/>
        </w:rPr>
      </w:pPr>
      <w:r>
        <w:rPr>
          <w:rFonts w:hint="eastAsia" w:ascii="宋体" w:hAnsi="宋体" w:eastAsia="宋体" w:cs="宋体"/>
          <w:color w:val="auto"/>
          <w:kern w:val="0"/>
          <w:sz w:val="24"/>
          <w:szCs w:val="24"/>
          <w:highlight w:val="none"/>
          <w:lang w:val="en-US" w:eastAsia="zh-CN" w:bidi="ar"/>
        </w:rPr>
        <w:t>承包人不得以与发包人有争议或争议未解决为由而单方面停工，否则，按照合同专用条款第38.8（2）款的约定承担违约责任。</w:t>
      </w:r>
    </w:p>
    <w:p w14:paraId="2FA150E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shd w:val="clear" w:fill="999999"/>
        </w:rPr>
      </w:pPr>
      <w:r>
        <w:rPr>
          <w:rFonts w:hint="eastAsia" w:ascii="宋体" w:hAnsi="宋体" w:eastAsia="宋体" w:cs="宋体"/>
          <w:color w:val="auto"/>
          <w:kern w:val="0"/>
          <w:sz w:val="24"/>
          <w:szCs w:val="24"/>
          <w:highlight w:val="none"/>
          <w:lang w:val="en-US" w:eastAsia="zh-CN" w:bidi="ar"/>
        </w:rPr>
        <w:t>12.2为了保证工程质量安全，凡出现下列情况之一（不限于此）的，总监理工程师有权下达停工令，责令承包人停工整改，由此造成的损失由承包人自行负责，造成工期延误的由承包人按合同专用条款第38.8款的有关约定承担违约责任：</w:t>
      </w:r>
    </w:p>
    <w:p w14:paraId="1AAEB41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（1）拒绝监理等单位管理；</w:t>
      </w:r>
    </w:p>
    <w:p w14:paraId="3AADAA6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（2）施工组织设计（方案）未获总监理工程师批准而进行施工；</w:t>
      </w:r>
    </w:p>
    <w:p w14:paraId="481E2FA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（3）未经监理单位检验而进行下一道工序作业；</w:t>
      </w:r>
    </w:p>
    <w:p w14:paraId="2D3A19F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（4）擅自采用未经监理单位及发包人认可或批准的材料，或者使用的原材料、构配件不合格或未经检查确认，或者擅自采用未经认可的代用材料；</w:t>
      </w:r>
    </w:p>
    <w:p w14:paraId="40FA4BD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（5）擅自变更设计图纸的要求；</w:t>
      </w:r>
    </w:p>
    <w:p w14:paraId="14531A8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（6）转包工程；</w:t>
      </w:r>
    </w:p>
    <w:p w14:paraId="7ED48AA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（7）擅自让未经发包人批准的分包单位进场作业；</w:t>
      </w:r>
    </w:p>
    <w:p w14:paraId="4DCB518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（8）存在安全隐患，未按监理单位要求及时进行整改；</w:t>
      </w:r>
    </w:p>
    <w:p w14:paraId="0CF8B4C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（9）未按双方约定的要求上报所需的资料。</w:t>
      </w:r>
    </w:p>
    <w:p w14:paraId="65A47BAD">
      <w:pPr>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12.3承包人在总监理工程师发出开工令之前的现场施工准备工作，不计算任何停工、窝工损失补偿费。施工期间，非承包人原因导致停工的，在总监理工程师发出停工令3天内，承包人应向总监理工程师提交停工期间的人员、设备安排计划，经总监理工程师、发包人批准后实施，并作为停工结算的依据。</w:t>
      </w:r>
    </w:p>
    <w:p w14:paraId="30F2BD3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承包人未按批准的停工期间的施工组织方案（含工作计划）投入人员、设备的，或承包人在经批准的停工期间施工组织方案（含工作计划）之外额外投入人员、设备不计算停工、窝工费用。</w:t>
      </w:r>
    </w:p>
    <w:p w14:paraId="47569176">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承包人和发包人一致同意不适用合同通用条款第13条的约定，代之以：</w:t>
      </w:r>
    </w:p>
    <w:p w14:paraId="1D119F04">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13、工期延误</w:t>
      </w:r>
    </w:p>
    <w:p w14:paraId="15359FF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13.1工期控制与调整</w:t>
      </w:r>
    </w:p>
    <w:p w14:paraId="231D49F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（1）本工程工期分为关键节点工期和一般节点工期两类，承包人必须在施工组织设计文件中分专业详细区分和列明本工程</w:t>
      </w:r>
      <w:r>
        <w:rPr>
          <w:rFonts w:hint="eastAsia" w:ascii="宋体" w:hAnsi="宋体" w:eastAsia="宋体" w:cs="宋体"/>
          <w:bCs/>
          <w:color w:val="auto"/>
          <w:kern w:val="0"/>
          <w:sz w:val="24"/>
          <w:szCs w:val="24"/>
          <w:highlight w:val="none"/>
          <w:lang w:val="en-US" w:eastAsia="zh-CN" w:bidi="ar"/>
        </w:rPr>
        <w:t>总体及各单体工程</w:t>
      </w:r>
      <w:r>
        <w:rPr>
          <w:rFonts w:hint="eastAsia" w:ascii="宋体" w:hAnsi="宋体" w:eastAsia="宋体" w:cs="宋体"/>
          <w:color w:val="auto"/>
          <w:kern w:val="0"/>
          <w:sz w:val="24"/>
          <w:szCs w:val="24"/>
          <w:highlight w:val="none"/>
          <w:lang w:val="en-US" w:eastAsia="zh-CN" w:bidi="ar"/>
        </w:rPr>
        <w:t>的关键节点工期和一般节点工期，并报总监理工程师和发包人批准后实施。</w:t>
      </w:r>
    </w:p>
    <w:p w14:paraId="3DE4C8D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工期调整的原则：对于承包人原因造成的工期延误，工期一概不得顺延；对于非承包人原因造成的工期延误，一般节点工期可以相应顺延，但该项顺延以不对关键节点工期和总工期构成不利影响为限。关键节点工期一般不予调整，承包人应当采取合理有效的赶工措施予以消化，而且这些合理有效的赶工措施费已包括在投标总报价中，发包人不予补偿。</w:t>
      </w:r>
    </w:p>
    <w:p w14:paraId="1038E0F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在特殊情况下，关键节点工期确需调整的，承包人必须重新编制总工期控制计划和关键节点工期调整计划并报请总监理工程师和发包人审核。经总监理工程师、发包人审核，确认承包人编制的关键节点工期调整计划已符合要求，且已采取了合理的赶工措施足以确保工程按期竣工的，应当同意工期调整。</w:t>
      </w:r>
      <w:r>
        <w:rPr>
          <w:rFonts w:hint="eastAsia" w:ascii="宋体" w:hAnsi="宋体" w:eastAsia="宋体" w:cs="宋体"/>
          <w:bCs/>
          <w:color w:val="auto"/>
          <w:kern w:val="0"/>
          <w:sz w:val="24"/>
          <w:szCs w:val="24"/>
          <w:highlight w:val="none"/>
          <w:lang w:val="en-US" w:eastAsia="zh-CN" w:bidi="ar"/>
        </w:rPr>
        <w:t>承包人必须按照调整后的总工期控制计划和关键节点工期计划执行。</w:t>
      </w:r>
    </w:p>
    <w:p w14:paraId="5569BF4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13.2工期延误的原因及其处理</w:t>
      </w:r>
    </w:p>
    <w:p w14:paraId="4CB1F30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非承包人原因造成的工期延误，是指有确凿证据证实因下列原因而直接造成承包人的原定工期计划延误：</w:t>
      </w:r>
    </w:p>
    <w:p w14:paraId="4474AE8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1）不可抗力；</w:t>
      </w:r>
    </w:p>
    <w:p w14:paraId="62620BE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2）工程设计有重大变更或重大失误，并经总监理工程师确认会造成工期延误的；</w:t>
      </w:r>
    </w:p>
    <w:p w14:paraId="6E28166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3）发包人延期交付施工场地；</w:t>
      </w:r>
    </w:p>
    <w:p w14:paraId="1DC82B9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4）施工图纸供应时间影响工期进度，并经总监理工程师确认的；</w:t>
      </w:r>
    </w:p>
    <w:p w14:paraId="4C36710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5）发包人</w:t>
      </w:r>
      <w:r>
        <w:rPr>
          <w:rFonts w:hint="eastAsia" w:ascii="宋体" w:hAnsi="宋体" w:eastAsia="宋体" w:cs="宋体"/>
          <w:iCs/>
          <w:color w:val="auto"/>
          <w:kern w:val="0"/>
          <w:sz w:val="24"/>
          <w:szCs w:val="24"/>
          <w:highlight w:val="none"/>
          <w:lang w:val="en-US" w:eastAsia="zh-CN" w:bidi="ar"/>
        </w:rPr>
        <w:t>不按合同约定</w:t>
      </w:r>
      <w:r>
        <w:rPr>
          <w:rFonts w:hint="eastAsia" w:ascii="宋体" w:hAnsi="宋体" w:eastAsia="宋体" w:cs="宋体"/>
          <w:color w:val="auto"/>
          <w:kern w:val="0"/>
          <w:sz w:val="24"/>
          <w:szCs w:val="24"/>
          <w:highlight w:val="none"/>
          <w:lang w:val="en-US" w:eastAsia="zh-CN" w:bidi="ar"/>
        </w:rPr>
        <w:t>支付工程款而影响工期进度，并经总监理工程师确认的；</w:t>
      </w:r>
    </w:p>
    <w:p w14:paraId="5A8E455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6）发包人指令（非承包人原因）引起的停工；</w:t>
      </w:r>
    </w:p>
    <w:p w14:paraId="0752DDA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7）发包人其他违约行为造成工期延误并经总监理工程师确认的。</w:t>
      </w:r>
    </w:p>
    <w:p w14:paraId="7DD4777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除上述原因之外，其他所有工期延误均为承包人原因造成的延误。</w:t>
      </w:r>
    </w:p>
    <w:p w14:paraId="3EA3E3FA">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因承包人原因造成的工期延误，工期一概不得顺延。承包人还应当按照合同专用条款第38.8款的有关约定承担违约责任。</w:t>
      </w:r>
    </w:p>
    <w:p w14:paraId="7D37BC3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（3）因承包人对</w:t>
      </w:r>
      <w:r>
        <w:rPr>
          <w:rFonts w:hint="eastAsia" w:ascii="宋体" w:hAnsi="宋体" w:eastAsia="宋体" w:cs="宋体"/>
          <w:bCs/>
          <w:color w:val="auto"/>
          <w:kern w:val="0"/>
          <w:sz w:val="24"/>
          <w:szCs w:val="24"/>
          <w:highlight w:val="none"/>
          <w:lang w:val="en-US" w:eastAsia="zh-CN" w:bidi="ar"/>
        </w:rPr>
        <w:t>现场组织管理不力或未能提供协调、配合服务，以致专业工程的进度影响工期，承包人不得以此为由提出延长工期的要求。</w:t>
      </w:r>
    </w:p>
    <w:p w14:paraId="721A35F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13.3</w:t>
      </w:r>
      <w:r>
        <w:rPr>
          <w:rFonts w:hint="eastAsia" w:ascii="宋体" w:hAnsi="宋体" w:eastAsia="宋体" w:cs="宋体"/>
          <w:color w:val="auto"/>
          <w:kern w:val="0"/>
          <w:sz w:val="24"/>
          <w:szCs w:val="24"/>
          <w:highlight w:val="none"/>
          <w:lang w:val="en-US" w:eastAsia="zh-CN" w:bidi="ar"/>
        </w:rPr>
        <w:t>非因承包人原因造成关键节点工期延误，一次性延误</w:t>
      </w:r>
      <w:r>
        <w:rPr>
          <w:rFonts w:hint="eastAsia" w:ascii="宋体" w:hAnsi="宋体" w:eastAsia="宋体" w:cs="宋体"/>
          <w:iCs/>
          <w:color w:val="auto"/>
          <w:kern w:val="0"/>
          <w:sz w:val="24"/>
          <w:szCs w:val="24"/>
          <w:highlight w:val="none"/>
          <w:lang w:val="en-US" w:eastAsia="zh-CN" w:bidi="ar"/>
        </w:rPr>
        <w:t>不满10</w:t>
      </w:r>
      <w:r>
        <w:rPr>
          <w:rFonts w:hint="eastAsia" w:ascii="宋体" w:hAnsi="宋体" w:eastAsia="宋体" w:cs="宋体"/>
          <w:color w:val="auto"/>
          <w:kern w:val="0"/>
          <w:sz w:val="24"/>
          <w:szCs w:val="24"/>
          <w:highlight w:val="none"/>
          <w:lang w:val="en-US" w:eastAsia="zh-CN" w:bidi="ar"/>
        </w:rPr>
        <w:t>天的，工期不予顺延，由承包人采取措施自行消化；一次性延</w:t>
      </w:r>
      <w:r>
        <w:rPr>
          <w:rFonts w:hint="eastAsia" w:ascii="宋体" w:hAnsi="宋体" w:eastAsia="宋体" w:cs="宋体"/>
          <w:iCs/>
          <w:color w:val="auto"/>
          <w:kern w:val="0"/>
          <w:sz w:val="24"/>
          <w:szCs w:val="24"/>
          <w:highlight w:val="none"/>
          <w:lang w:val="en-US" w:eastAsia="zh-CN" w:bidi="ar"/>
        </w:rPr>
        <w:t>误达到10天不满20天的</w:t>
      </w:r>
      <w:r>
        <w:rPr>
          <w:rFonts w:hint="eastAsia" w:ascii="宋体" w:hAnsi="宋体" w:eastAsia="宋体" w:cs="宋体"/>
          <w:color w:val="auto"/>
          <w:kern w:val="0"/>
          <w:sz w:val="24"/>
          <w:szCs w:val="24"/>
          <w:highlight w:val="none"/>
          <w:lang w:val="en-US" w:eastAsia="zh-CN" w:bidi="ar"/>
        </w:rPr>
        <w:t>，该节点工期可顺延5天，承包人应采取措施在下一个节点工期内消化；一次</w:t>
      </w:r>
      <w:r>
        <w:rPr>
          <w:rFonts w:hint="eastAsia" w:ascii="宋体" w:hAnsi="宋体" w:eastAsia="宋体" w:cs="宋体"/>
          <w:iCs/>
          <w:color w:val="auto"/>
          <w:kern w:val="0"/>
          <w:sz w:val="24"/>
          <w:szCs w:val="24"/>
          <w:highlight w:val="none"/>
          <w:lang w:val="en-US" w:eastAsia="zh-CN" w:bidi="ar"/>
        </w:rPr>
        <w:t>性延误达到20天不满30天的</w:t>
      </w:r>
      <w:r>
        <w:rPr>
          <w:rFonts w:hint="eastAsia" w:ascii="宋体" w:hAnsi="宋体" w:eastAsia="宋体" w:cs="宋体"/>
          <w:color w:val="auto"/>
          <w:kern w:val="0"/>
          <w:sz w:val="24"/>
          <w:szCs w:val="24"/>
          <w:highlight w:val="none"/>
          <w:lang w:val="en-US" w:eastAsia="zh-CN" w:bidi="ar"/>
        </w:rPr>
        <w:t>，节点工期可顺延</w:t>
      </w:r>
      <w:r>
        <w:rPr>
          <w:rFonts w:hint="eastAsia" w:ascii="宋体" w:hAnsi="宋体" w:eastAsia="宋体" w:cs="宋体"/>
          <w:iCs/>
          <w:color w:val="auto"/>
          <w:kern w:val="0"/>
          <w:sz w:val="24"/>
          <w:szCs w:val="24"/>
          <w:highlight w:val="none"/>
          <w:lang w:val="en-US" w:eastAsia="zh-CN" w:bidi="ar"/>
        </w:rPr>
        <w:t>10</w:t>
      </w:r>
      <w:r>
        <w:rPr>
          <w:rFonts w:hint="eastAsia" w:ascii="宋体" w:hAnsi="宋体" w:eastAsia="宋体" w:cs="宋体"/>
          <w:color w:val="auto"/>
          <w:kern w:val="0"/>
          <w:sz w:val="24"/>
          <w:szCs w:val="24"/>
          <w:highlight w:val="none"/>
          <w:lang w:val="en-US" w:eastAsia="zh-CN" w:bidi="ar"/>
        </w:rPr>
        <w:t>天，但承包人必须在总工期内采取措施消化被延误工期（此延误发生在最后一个节点工期内的除外）；一次性延误达到30天以上的，工期可以顺延15天（经发包人特别批准的除外）。</w:t>
      </w:r>
    </w:p>
    <w:p w14:paraId="54B715C1">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13.4对于非因承包人原因发生的工期延误，承包人应当在工期延误发生后7天内就延误的内容和因此发生的经济支出向发包人提出书面报告；逾期不报告的，发包人不予确认。发包人代表在收到报告后10天内予以确认、答复，逾期不予答复的，承包人即可视为延期要求已被确认。</w:t>
      </w:r>
    </w:p>
    <w:p w14:paraId="663AA07D">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14、工程竣工</w:t>
      </w:r>
    </w:p>
    <w:p w14:paraId="6EED9A6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14.1承包人必须采取一切有效措施保证按照合同协议书约定或者</w:t>
      </w:r>
      <w:r>
        <w:rPr>
          <w:rFonts w:hint="eastAsia" w:ascii="宋体" w:hAnsi="宋体" w:eastAsia="宋体" w:cs="宋体"/>
          <w:bCs/>
          <w:color w:val="auto"/>
          <w:kern w:val="0"/>
          <w:sz w:val="24"/>
          <w:szCs w:val="24"/>
          <w:highlight w:val="none"/>
          <w:lang w:val="en-US" w:eastAsia="zh-CN" w:bidi="ar"/>
        </w:rPr>
        <w:t>发包人根据工程实施情况调整</w:t>
      </w:r>
      <w:r>
        <w:rPr>
          <w:rFonts w:hint="eastAsia" w:ascii="宋体" w:hAnsi="宋体" w:eastAsia="宋体" w:cs="宋体"/>
          <w:color w:val="auto"/>
          <w:kern w:val="0"/>
          <w:sz w:val="24"/>
          <w:szCs w:val="24"/>
          <w:highlight w:val="none"/>
          <w:lang w:val="en-US" w:eastAsia="zh-CN" w:bidi="ar"/>
        </w:rPr>
        <w:t>的竣工日期竣工，不得延误，除非发生了以下情形：</w:t>
      </w:r>
    </w:p>
    <w:p w14:paraId="15F4D8F4">
      <w:pPr>
        <w:keepNext w:val="0"/>
        <w:keepLines w:val="0"/>
        <w:widowControl w:val="0"/>
        <w:suppressLineNumbers w:val="0"/>
        <w:adjustRightInd w:val="0"/>
        <w:snapToGrid w:val="0"/>
        <w:spacing w:before="0" w:beforeAutospacing="0" w:after="0" w:afterAutospacing="0" w:line="360" w:lineRule="auto"/>
        <w:ind w:left="461"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（1）政府对本工程建设项目作出停建、缓建的决定；</w:t>
      </w:r>
    </w:p>
    <w:p w14:paraId="4F9813D9">
      <w:pPr>
        <w:keepNext w:val="0"/>
        <w:keepLines w:val="0"/>
        <w:widowControl w:val="0"/>
        <w:suppressLineNumbers w:val="0"/>
        <w:adjustRightInd w:val="0"/>
        <w:snapToGrid w:val="0"/>
        <w:spacing w:before="0" w:beforeAutospacing="0" w:after="0" w:afterAutospacing="0" w:line="360" w:lineRule="auto"/>
        <w:ind w:left="461"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（2）重大设计变更导致本工程在规划、使用、功能方面有重大调整；</w:t>
      </w:r>
    </w:p>
    <w:p w14:paraId="3D8970F3">
      <w:pPr>
        <w:keepNext w:val="0"/>
        <w:keepLines w:val="0"/>
        <w:widowControl w:val="0"/>
        <w:suppressLineNumbers w:val="0"/>
        <w:adjustRightInd w:val="0"/>
        <w:snapToGrid w:val="0"/>
        <w:spacing w:before="0" w:beforeAutospacing="0" w:after="0" w:afterAutospacing="0" w:line="360" w:lineRule="auto"/>
        <w:ind w:left="461"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（3）非因承包人原因造成关键节点工期延误达到30天以上；</w:t>
      </w:r>
    </w:p>
    <w:p w14:paraId="16BB275A">
      <w:pPr>
        <w:keepNext w:val="0"/>
        <w:keepLines w:val="0"/>
        <w:widowControl w:val="0"/>
        <w:suppressLineNumbers w:val="0"/>
        <w:adjustRightInd w:val="0"/>
        <w:snapToGrid w:val="0"/>
        <w:spacing w:before="0" w:beforeAutospacing="0" w:after="0" w:afterAutospacing="0" w:line="360" w:lineRule="auto"/>
        <w:ind w:left="461"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（4）其他非因承包人原因造成的竣工日期延误。</w:t>
      </w:r>
    </w:p>
    <w:p w14:paraId="09C790B1">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0D2DEE3B">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
        </w:rPr>
        <w:t>四、质量与检验</w:t>
      </w:r>
    </w:p>
    <w:p w14:paraId="0C6C027A">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15、工程质量</w:t>
      </w:r>
    </w:p>
    <w:p w14:paraId="6BE30D66">
      <w:pPr>
        <w:keepNext w:val="0"/>
        <w:keepLines w:val="0"/>
        <w:widowControl w:val="0"/>
        <w:suppressLineNumbers w:val="0"/>
        <w:adjustRightInd w:val="0"/>
        <w:snapToGrid w:val="0"/>
        <w:spacing w:before="0" w:beforeAutospacing="0" w:after="0" w:afterAutospacing="0" w:line="360" w:lineRule="auto"/>
        <w:ind w:left="0" w:right="0" w:firstLine="420" w:firstLineChars="175"/>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15.1工程质量标准</w:t>
      </w:r>
    </w:p>
    <w:p w14:paraId="060AFD4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（1）本合同工程质量标准按合同协议书第4条的约定执行。</w:t>
      </w:r>
    </w:p>
    <w:p w14:paraId="25174ABD">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承包人必须确保工程一次验收合格。因承包人原因致使工程未一次验收合格的，由承包人按照合同专用条款第38.10（2）款的约定承担违约责任；因此导致工程不能按计划工期办理竣工验收的，由承包人按照合同专用条款第38.8（5）款的约定承担违约责任。</w:t>
      </w:r>
    </w:p>
    <w:p w14:paraId="0987D053">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Cs/>
          <w:color w:val="auto"/>
          <w:kern w:val="0"/>
          <w:sz w:val="24"/>
          <w:szCs w:val="24"/>
          <w:highlight w:val="none"/>
          <w:lang w:val="en-US" w:eastAsia="zh-CN" w:bidi="ar"/>
        </w:rPr>
        <w:t>（3）本工程推行分段结算，为配合分段结算工作，本工程的分部验收工作应按经发包人审定的分部验收工作计划执行。</w:t>
      </w:r>
    </w:p>
    <w:p w14:paraId="751BAA3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15.2工程质量争议与鉴定</w:t>
      </w:r>
    </w:p>
    <w:p w14:paraId="4C36CD1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双方一致同意，对于本合同履行过程中的工程质量争议，由工程所在地负责工程质量监督的政府主管机构或部门依据《建筑工程施工质量验收统一标准》（GB50300-2013）（如有新版本，则按最新版本执行）系列各专业验收规范及设计文件等进行鉴定并按鉴定结论及有关规定承担责任。</w:t>
      </w:r>
    </w:p>
    <w:p w14:paraId="2B6D4D27">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承包人和发包人一致同意增加15.3：</w:t>
      </w:r>
    </w:p>
    <w:p w14:paraId="0140013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15.3工程质量保证体系</w:t>
      </w:r>
    </w:p>
    <w:p w14:paraId="458D81C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承包人应当完善质量管理制度，建立质量控制流程，进行全面质量管理（TQC），以《质量管理体系要求》（GB/T19001-2016）为标准，建立并保持一个有效的工程质量管理体系。为此，承包人必须做到（不限于）：</w:t>
      </w:r>
    </w:p>
    <w:p w14:paraId="5DD50C4A">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建立完整的质量保证体系，委派专人负责工程质量管理，现场管理机构、工区（段）设有专职质检人员，班组设质检员，必须附有项目架构人员名单，各类人员必须持有上岗资格证，于本合同签订后5天内将上述人员报总监理工程师备查。承包人还应建立并完善各项目质量管理检查制度及企业质量管理文件等。</w:t>
      </w:r>
      <w:r>
        <w:rPr>
          <w:rFonts w:hint="eastAsia" w:ascii="宋体" w:hAnsi="宋体" w:eastAsia="宋体" w:cs="宋体"/>
          <w:bCs/>
          <w:color w:val="auto"/>
          <w:kern w:val="0"/>
          <w:sz w:val="24"/>
          <w:szCs w:val="24"/>
          <w:highlight w:val="none"/>
          <w:lang w:val="en-US" w:eastAsia="zh-CN" w:bidi="ar"/>
        </w:rPr>
        <w:t>同时，承包人应积极配合工程质量第三方检测工作，并积极采用新材料、新工艺、新技术。</w:t>
      </w:r>
    </w:p>
    <w:p w14:paraId="26A49BB5">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（2）承包人提交总监理工程师批准的施工组织设计或者施工方案必须附有完备的工程质量保证措施，包括：工程质量预控措施，</w:t>
      </w:r>
      <w:r>
        <w:rPr>
          <w:rFonts w:hint="eastAsia" w:ascii="宋体" w:hAnsi="宋体" w:eastAsia="宋体" w:cs="宋体"/>
          <w:iCs/>
          <w:color w:val="auto"/>
          <w:kern w:val="0"/>
          <w:sz w:val="24"/>
          <w:szCs w:val="24"/>
          <w:highlight w:val="none"/>
          <w:lang w:val="en-US" w:eastAsia="zh-CN" w:bidi="ar"/>
        </w:rPr>
        <w:t>工序质量控制点，</w:t>
      </w:r>
      <w:r>
        <w:rPr>
          <w:rFonts w:hint="eastAsia" w:ascii="宋体" w:hAnsi="宋体" w:eastAsia="宋体" w:cs="宋体"/>
          <w:color w:val="auto"/>
          <w:kern w:val="0"/>
          <w:sz w:val="24"/>
          <w:szCs w:val="24"/>
          <w:highlight w:val="none"/>
          <w:lang w:val="en-US" w:eastAsia="zh-CN" w:bidi="ar"/>
        </w:rPr>
        <w:t>工程的标准工艺流程图和技术、组织措施，工程各分部、分项的关键工序、特殊工序控制、样板间制度等，以及重点分部（项）工程的施工方法，材料、制品试件取样及送检试验的方法或检测方案，成品保护的措施和方法，质量报表和质量事故的报告制度，等等。</w:t>
      </w:r>
    </w:p>
    <w:p w14:paraId="350236DC">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（3）单项工程开工前，承包人必须按要求对职工分级进行技术交底，组织学习有关规程、标准、规范和工艺要求（规程包括但不限于施工企业标准和作业指导书），在施工中必须按规程及工艺进行操作。</w:t>
      </w:r>
    </w:p>
    <w:p w14:paraId="0A7029F1">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单项工程和重要部位必须遵循先试验后铺开施工的程序，开工前承包人应熟悉施工图纸会审和设计变更内容并完成施工组织设计和必要的施工准备，送总监理工程师审查批准后方可进行试验性施工，完工后由总监理工程师检验，符合要求后才能铺开施工或者批量生产。</w:t>
      </w:r>
    </w:p>
    <w:p w14:paraId="3D57F239">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（5）按照《关于加强房屋建筑和市政基础设施工程混凝土试件标准养护管理的通知》（穗建质[2011]941号）</w:t>
      </w:r>
      <w:r>
        <w:rPr>
          <w:rFonts w:hint="eastAsia" w:ascii="宋体" w:hAnsi="宋体" w:eastAsia="宋体" w:cs="宋体"/>
          <w:strike/>
          <w:dstrike w:val="0"/>
          <w:color w:val="auto"/>
          <w:kern w:val="0"/>
          <w:sz w:val="24"/>
          <w:szCs w:val="24"/>
          <w:highlight w:val="none"/>
          <w:lang w:val="en-US" w:eastAsia="zh-CN" w:bidi="ar"/>
        </w:rPr>
        <w:t>和《广州市建设工程材料进场检验管理规定》（穗建质[2010]1084号）第十五条</w:t>
      </w:r>
      <w:r>
        <w:rPr>
          <w:rFonts w:hint="eastAsia" w:ascii="宋体" w:hAnsi="宋体" w:eastAsia="宋体" w:cs="宋体"/>
          <w:color w:val="auto"/>
          <w:kern w:val="0"/>
          <w:sz w:val="24"/>
          <w:szCs w:val="24"/>
          <w:highlight w:val="none"/>
          <w:lang w:val="en-US" w:eastAsia="zh-CN" w:bidi="ar"/>
        </w:rPr>
        <w:t>的要求，在建房屋建筑和市政基础设施工程，现场有混凝土结构施工部位的，必须在施工现场建立混凝土试件标准养护室或放置标准养护箱，而且监督见证检验次数不少于同类材料进场检验频次的10%且不少于一次。</w:t>
      </w:r>
    </w:p>
    <w:p w14:paraId="7DCFF911">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16、检查和返工</w:t>
      </w:r>
    </w:p>
    <w:p w14:paraId="473C21B5">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承包人和发包人一致同意增加16.5至16.10：</w:t>
      </w:r>
    </w:p>
    <w:p w14:paraId="0CECA43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16.5对承包人采购的工程材料、设备及采用的工艺的查验</w:t>
      </w:r>
    </w:p>
    <w:p w14:paraId="5672E0F1">
      <w:pPr>
        <w:keepNext w:val="0"/>
        <w:keepLines w:val="0"/>
        <w:widowControl w:val="0"/>
        <w:suppressLineNumbers w:val="0"/>
        <w:adjustRightInd w:val="0"/>
        <w:snapToGrid w:val="0"/>
        <w:spacing w:before="0" w:beforeAutospacing="0" w:after="0" w:afterAutospacing="0" w:line="360" w:lineRule="auto"/>
        <w:ind w:left="0" w:right="0" w:firstLine="480"/>
        <w:jc w:val="both"/>
        <w:outlineLvl w:val="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实施工程的一切材料、设备及工艺，都必须符合工程设计及技术标准、规范的要求，并应当在用于工程之前经过检验或试验，不合格的不得使用。承包人要建立检验、试验制度，随时按总监理工程师的要求，在材料、设备的制造、加工或制配地点，或施工场地进行检验或试验，并应提供一切正常需要的手段，在材料、设备及工艺用于工程之前提供样品、样件，按照总监理工程师的选择和要求进行检验或试验。</w:t>
      </w:r>
    </w:p>
    <w:p w14:paraId="2B75DCB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总监理工程师有权在施工场地、库房以及为工程生产、加工、制配材料、设备的地点（无论这些地点是否属于承包人管辖）检查和检验按合同提供的材料、设备。承包人应为总监理工程师的检查和检验提供一切便利，包括提供人员和设备、材料等。总监理工程师的检查结果证明该材料、设备不符合合同要求的，必须拒绝这些材料、设备的使用，立即通知承包人并说明拒绝的理由。承包人在接到总监理工程师的通知后必须立即更换被拒绝的材料、设备。承包人拒不执行上述指令的，则发包人有权雇佣他人代为实施，由此产生的相关费用由承包人承担。</w:t>
      </w:r>
    </w:p>
    <w:p w14:paraId="19BE11D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发包人和总监理工程师认为有必要的，有权对已检查、检验过的材料、设备进行重复检查、检验，承包人应遵照执行。重复检查、检验的程序和内容适用前述约定。</w:t>
      </w:r>
    </w:p>
    <w:p w14:paraId="6C26E37F">
      <w:pPr>
        <w:keepNext w:val="0"/>
        <w:keepLines w:val="0"/>
        <w:widowControl w:val="0"/>
        <w:suppressLineNumbers w:val="0"/>
        <w:adjustRightInd w:val="0"/>
        <w:snapToGrid w:val="0"/>
        <w:spacing w:before="0" w:beforeAutospacing="0" w:after="0" w:afterAutospacing="0" w:line="360" w:lineRule="auto"/>
        <w:ind w:left="0" w:right="0" w:firstLine="420"/>
        <w:jc w:val="both"/>
        <w:outlineLvl w:val="4"/>
        <w:rPr>
          <w:rFonts w:hint="eastAsia" w:ascii="宋体" w:hAnsi="宋体" w:eastAsia="宋体" w:cs="宋体"/>
          <w:i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在施工过程中，总监理工程师有权随时对工程材料、设备的使用进行抽查，包括成品、半成品、器具、设备、附件、小五金等。抽查范围、比例、数量、批次及检查深度可比国家</w:t>
      </w:r>
      <w:r>
        <w:rPr>
          <w:rFonts w:hint="eastAsia" w:ascii="宋体" w:hAnsi="宋体" w:eastAsia="宋体" w:cs="宋体"/>
          <w:iCs/>
          <w:color w:val="auto"/>
          <w:kern w:val="0"/>
          <w:sz w:val="24"/>
          <w:szCs w:val="24"/>
          <w:highlight w:val="none"/>
          <w:lang w:val="en-US" w:eastAsia="zh-CN" w:bidi="ar"/>
        </w:rPr>
        <w:t>现行施工质量验收规范和</w:t>
      </w:r>
      <w:r>
        <w:rPr>
          <w:rFonts w:hint="eastAsia" w:ascii="宋体" w:hAnsi="宋体" w:eastAsia="宋体" w:cs="宋体"/>
          <w:color w:val="auto"/>
          <w:kern w:val="0"/>
          <w:sz w:val="24"/>
          <w:szCs w:val="24"/>
          <w:highlight w:val="none"/>
          <w:lang w:val="en-US" w:eastAsia="zh-CN" w:bidi="ar"/>
        </w:rPr>
        <w:t>相关规定有所提高。</w:t>
      </w:r>
    </w:p>
    <w:p w14:paraId="3F803DC1">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工程材料、设备的质量依据下列顺序之标准认定（排序在前者优先）：</w:t>
      </w:r>
    </w:p>
    <w:p w14:paraId="45C6263C">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1）本工程设计图纸规定的设计标准和发包人制定的材料标准及技术要求[不符合下列第4）项标准要求的除外]；</w:t>
      </w:r>
    </w:p>
    <w:p w14:paraId="087F9691">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lang w:val="en-US" w:eastAsia="zh-CN" w:bidi="ar"/>
        </w:rPr>
        <w:t>2）招投标时确定的规格、技术指标、质量标准、品牌等</w:t>
      </w:r>
      <w:r>
        <w:rPr>
          <w:rFonts w:hint="eastAsia" w:ascii="宋体" w:hAnsi="宋体" w:eastAsia="宋体" w:cs="宋体"/>
          <w:color w:val="auto"/>
          <w:kern w:val="0"/>
          <w:sz w:val="24"/>
          <w:szCs w:val="24"/>
          <w:highlight w:val="none"/>
          <w:lang w:val="en-US" w:eastAsia="zh-CN" w:bidi="ar"/>
        </w:rPr>
        <w:t>[不符合下列第4）项标准要求的除外]</w:t>
      </w:r>
      <w:r>
        <w:rPr>
          <w:rFonts w:hint="eastAsia" w:ascii="宋体" w:hAnsi="宋体" w:eastAsia="宋体" w:cs="宋体"/>
          <w:iCs/>
          <w:color w:val="auto"/>
          <w:kern w:val="0"/>
          <w:sz w:val="24"/>
          <w:szCs w:val="24"/>
          <w:highlight w:val="none"/>
          <w:lang w:val="en-US" w:eastAsia="zh-CN" w:bidi="ar"/>
        </w:rPr>
        <w:t>；</w:t>
      </w:r>
    </w:p>
    <w:p w14:paraId="20DDB75F">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lang w:val="en-US" w:eastAsia="zh-CN" w:bidi="ar"/>
        </w:rPr>
        <w:t>3）经设计单位、监理单位、承包人、发包人共同认定的产品封样、样板（包括样板房等）</w:t>
      </w:r>
      <w:r>
        <w:rPr>
          <w:rFonts w:hint="eastAsia" w:ascii="宋体" w:hAnsi="宋体" w:eastAsia="宋体" w:cs="宋体"/>
          <w:color w:val="auto"/>
          <w:kern w:val="0"/>
          <w:sz w:val="24"/>
          <w:szCs w:val="24"/>
          <w:highlight w:val="none"/>
          <w:lang w:val="en-US" w:eastAsia="zh-CN" w:bidi="ar"/>
        </w:rPr>
        <w:t>[不符合下列第4）项标准要求的除外]</w:t>
      </w:r>
      <w:r>
        <w:rPr>
          <w:rFonts w:hint="eastAsia" w:ascii="宋体" w:hAnsi="宋体" w:eastAsia="宋体" w:cs="宋体"/>
          <w:iCs/>
          <w:color w:val="auto"/>
          <w:kern w:val="0"/>
          <w:sz w:val="24"/>
          <w:szCs w:val="24"/>
          <w:highlight w:val="none"/>
          <w:lang w:val="en-US" w:eastAsia="zh-CN" w:bidi="ar"/>
        </w:rPr>
        <w:t>；</w:t>
      </w:r>
    </w:p>
    <w:p w14:paraId="4B42CA49">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4）国家或行业强制执行的技术标准、技术规范。</w:t>
      </w:r>
    </w:p>
    <w:p w14:paraId="50D73C17">
      <w:pPr>
        <w:keepNext w:val="0"/>
        <w:keepLines w:val="0"/>
        <w:widowControl w:val="0"/>
        <w:suppressLineNumbers w:val="0"/>
        <w:adjustRightInd w:val="0"/>
        <w:snapToGrid w:val="0"/>
        <w:spacing w:before="0" w:beforeAutospacing="0" w:after="0" w:afterAutospacing="0" w:line="360" w:lineRule="auto"/>
        <w:ind w:left="0" w:right="0" w:firstLine="42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工程材料、设备的抽查、检验结果与前款约定不符的，总监理工程师必须扩大对该批材料的抽查范围、增加数量抽检，同时，涉及工程结构安全和使用功能的检测必须委托有资质的第三方检测试验单位进行检测试验并执行《建筑节能工程施工质量验收规范》（GB50411-2007）、《广东省建筑节能工程施工质量验收规范》（DBJ15-65-2009）。承包人必须在发包人或监理单位书面通知的限期内将不符合要求的材料、设备全部无条件拆除、更换，并运出施工现场，由此所造成的工期延误、费用增加等一切损失均由承包人承担；同时，承包人还应当按照合同专用条款第38.9（1）款的约定承担违约责任。</w:t>
      </w:r>
    </w:p>
    <w:p w14:paraId="79845C5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iCs/>
          <w:color w:val="auto"/>
          <w:kern w:val="0"/>
          <w:sz w:val="24"/>
          <w:szCs w:val="24"/>
          <w:highlight w:val="none"/>
          <w:lang w:val="en-US" w:eastAsia="zh-CN" w:bidi="ar"/>
        </w:rPr>
        <w:t>（4）总监理工程师对材料、设备或工程进行检查、检验的费用由承包人负担。总监理工程师或发包人进</w:t>
      </w:r>
      <w:r>
        <w:rPr>
          <w:rFonts w:hint="eastAsia" w:ascii="宋体" w:hAnsi="宋体" w:eastAsia="宋体" w:cs="宋体"/>
          <w:color w:val="auto"/>
          <w:kern w:val="0"/>
          <w:sz w:val="24"/>
          <w:szCs w:val="24"/>
          <w:highlight w:val="none"/>
          <w:lang w:val="en-US" w:eastAsia="zh-CN" w:bidi="ar"/>
        </w:rPr>
        <w:t>行</w:t>
      </w:r>
      <w:r>
        <w:rPr>
          <w:rFonts w:hint="eastAsia" w:ascii="宋体" w:hAnsi="宋体" w:eastAsia="宋体" w:cs="宋体"/>
          <w:bCs/>
          <w:color w:val="auto"/>
          <w:kern w:val="0"/>
          <w:sz w:val="24"/>
          <w:szCs w:val="24"/>
          <w:highlight w:val="none"/>
          <w:lang w:val="en-US" w:eastAsia="zh-CN" w:bidi="ar"/>
        </w:rPr>
        <w:t>重复检查、检验的，检查、检验的结果证明材料、设备或工程不符合合同、技术规范要求的，费用由承包人承担；符合合同、招标文件、技术规范要求的，费用由发包人承担。</w:t>
      </w:r>
    </w:p>
    <w:p w14:paraId="41A8C45C">
      <w:pPr>
        <w:keepNext w:val="0"/>
        <w:keepLines w:val="0"/>
        <w:widowControl w:val="0"/>
        <w:suppressLineNumbers w:val="0"/>
        <w:adjustRightInd w:val="0"/>
        <w:snapToGrid w:val="0"/>
        <w:spacing w:before="0" w:beforeAutospacing="0" w:after="0" w:afterAutospacing="0" w:line="360" w:lineRule="auto"/>
        <w:ind w:left="0" w:right="0" w:firstLine="42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16.6承包人应当</w:t>
      </w:r>
      <w:r>
        <w:rPr>
          <w:rFonts w:hint="eastAsia" w:ascii="宋体" w:hAnsi="宋体" w:eastAsia="宋体" w:cs="宋体"/>
          <w:color w:val="auto"/>
          <w:kern w:val="0"/>
          <w:sz w:val="24"/>
          <w:szCs w:val="24"/>
          <w:highlight w:val="none"/>
          <w:lang w:val="en-US" w:eastAsia="zh-CN" w:bidi="ar"/>
        </w:rPr>
        <w:t>按照发包人、总监理工程师及有关规范要求，对施工各工序报验检查的质量控制点，先自检后报请总监理工程师复检。总监理工程师在接到承包人的自检结果后，应当及时复检。经复检发现存在质量问题的，则该工序质量为不合格，承包人必须全部返工，</w:t>
      </w:r>
      <w:r>
        <w:rPr>
          <w:rFonts w:hint="eastAsia" w:ascii="宋体" w:hAnsi="宋体" w:eastAsia="宋体" w:cs="宋体"/>
          <w:bCs/>
          <w:color w:val="auto"/>
          <w:kern w:val="0"/>
          <w:sz w:val="24"/>
          <w:szCs w:val="24"/>
          <w:highlight w:val="none"/>
          <w:lang w:val="en-US" w:eastAsia="zh-CN" w:bidi="ar"/>
        </w:rPr>
        <w:t>由此所产生的工期延误和费用增加等全部损失由承包人承担，并由承包人按照</w:t>
      </w:r>
      <w:r>
        <w:rPr>
          <w:rFonts w:hint="eastAsia" w:ascii="宋体" w:hAnsi="宋体" w:eastAsia="宋体" w:cs="宋体"/>
          <w:color w:val="auto"/>
          <w:kern w:val="0"/>
          <w:sz w:val="24"/>
          <w:szCs w:val="24"/>
          <w:highlight w:val="none"/>
          <w:lang w:val="en-US" w:eastAsia="zh-CN" w:bidi="ar"/>
        </w:rPr>
        <w:t>合同专用条款第38</w:t>
      </w:r>
      <w:r>
        <w:rPr>
          <w:rFonts w:hint="eastAsia" w:ascii="宋体" w:hAnsi="宋体" w:eastAsia="宋体" w:cs="宋体"/>
          <w:bCs/>
          <w:color w:val="auto"/>
          <w:kern w:val="0"/>
          <w:sz w:val="24"/>
          <w:szCs w:val="24"/>
          <w:highlight w:val="none"/>
          <w:lang w:val="en-US" w:eastAsia="zh-CN" w:bidi="ar"/>
        </w:rPr>
        <w:t>.10（1）款的约定承担违约责任。</w:t>
      </w:r>
    </w:p>
    <w:p w14:paraId="1481F8A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16.7总监理工程师发现工程存在重大质量问题时，必须立即下达停工整改令。承包人必须在5天内提出书面整改措施，经总监理工程师和发包人批准后实施整改，由此所产生的工期延误和费用增加等全部损失，由承包人承担。承包人拒绝整改的，发包人有权暂停拨付工程款，并将未完工程另行发包。</w:t>
      </w:r>
    </w:p>
    <w:p w14:paraId="0F5F166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16.8承包人承诺：无论总监理工程师对工程是否进行并通过了各项检验，均不解除承包人对其承包的工程的质量所负的任何责任，除非质量问题是由于非承包人责任原因引起，而此类质量问题承包人须及时通知总监理工程师。在采用承包人设计的施工图施工和由承包人自行采购的材料、设备时，设计和制造所引起的质量责任由承包人承担。</w:t>
      </w:r>
    </w:p>
    <w:p w14:paraId="05329C1B">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16.9承包人承诺：无论工程材料是采用甲供、甲招乙供、甲管乙供，还是乙供，均由承包人承担工程全面质量的责任。承包人应对各种材料按规范进行检查验收，拒绝不符合要求的材料用于工程。无论何种原因，出现不合格材料用于工程的情况，均由承包人承担应有的责任。</w:t>
      </w:r>
    </w:p>
    <w:p w14:paraId="0E0E1614">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16.10承包人应保证按照国家、地方、行业的有关规定，准确、及时做好日常工程技术资料的记录、整理和归档工作，保证记录中原始数据的真实性和及时性，监理单位或发包人有权抽查承包人日常工程技术资料的整理工作，若发现未按照规定及时做好资料整理工作，每发现三次，则由承包人按照合同专用条款第38.15款的约定承担违约责任。若发现原始记录数据不存在、不真实、不完整，经监理单位确认，发包人有权拒绝相应部分工程的工程量计量与支付，并视情节轻重，由承包人按照合同专用条款第38.15款的约定承担违约责任。</w:t>
      </w:r>
    </w:p>
    <w:p w14:paraId="330B3C16">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17、隐蔽工程和中间验收</w:t>
      </w:r>
    </w:p>
    <w:p w14:paraId="5CDC9EB3">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i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17.1双方约定，中间验收部位按穗建监字（2001）068号文执行，验收程序按合同通用条款第17条执行。验收人员组成：发包人、监理单位、承包</w:t>
      </w:r>
      <w:r>
        <w:rPr>
          <w:rFonts w:hint="eastAsia" w:ascii="宋体" w:hAnsi="宋体" w:eastAsia="宋体" w:cs="宋体"/>
          <w:bCs/>
          <w:iCs/>
          <w:color w:val="auto"/>
          <w:kern w:val="0"/>
          <w:sz w:val="24"/>
          <w:szCs w:val="24"/>
          <w:highlight w:val="none"/>
          <w:lang w:val="en-US" w:eastAsia="zh-CN" w:bidi="ar"/>
        </w:rPr>
        <w:t>人及其他有关单位。</w:t>
      </w:r>
    </w:p>
    <w:p w14:paraId="4C0BE746">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承包人和发包人一致同意增加17.4、17.5：</w:t>
      </w:r>
    </w:p>
    <w:p w14:paraId="5D06FE4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17.4</w:t>
      </w:r>
      <w:r>
        <w:rPr>
          <w:rFonts w:hint="eastAsia" w:ascii="宋体" w:hAnsi="宋体" w:eastAsia="宋体" w:cs="宋体"/>
          <w:color w:val="auto"/>
          <w:kern w:val="0"/>
          <w:sz w:val="24"/>
          <w:szCs w:val="24"/>
          <w:highlight w:val="none"/>
          <w:lang w:val="en-US" w:eastAsia="zh-CN" w:bidi="ar"/>
        </w:rPr>
        <w:t>隐蔽工程或中间验收部位未经专业监理工程师验收合格，不得隐蔽或继续施工，否则该部分工程被视为不合格，</w:t>
      </w:r>
      <w:r>
        <w:rPr>
          <w:rFonts w:hint="eastAsia" w:ascii="宋体" w:hAnsi="宋体" w:eastAsia="宋体" w:cs="宋体"/>
          <w:bCs/>
          <w:color w:val="auto"/>
          <w:kern w:val="0"/>
          <w:sz w:val="24"/>
          <w:szCs w:val="24"/>
          <w:highlight w:val="none"/>
          <w:lang w:val="en-US" w:eastAsia="zh-CN" w:bidi="ar"/>
        </w:rPr>
        <w:t>由此所产生的返工费用由承包人承担。</w:t>
      </w:r>
    </w:p>
    <w:p w14:paraId="6BB23B4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17.5</w:t>
      </w:r>
      <w:r>
        <w:rPr>
          <w:rFonts w:hint="eastAsia" w:ascii="宋体" w:hAnsi="宋体" w:eastAsia="宋体" w:cs="宋体"/>
          <w:color w:val="auto"/>
          <w:kern w:val="0"/>
          <w:sz w:val="24"/>
          <w:szCs w:val="24"/>
          <w:highlight w:val="none"/>
          <w:lang w:val="en-US" w:eastAsia="zh-CN" w:bidi="ar"/>
        </w:rPr>
        <w:t>本项目重要分部（子分部）工程质量验收工作，须按现行有效的政府规范性文件、行业规范等规定执行，加强工程质量验收工作。</w:t>
      </w:r>
    </w:p>
    <w:p w14:paraId="4290D1F2">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
        </w:rPr>
        <w:t xml:space="preserve"> </w:t>
      </w:r>
    </w:p>
    <w:p w14:paraId="0943020B">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
        </w:rPr>
        <w:t>五、安全文明施工</w:t>
      </w:r>
    </w:p>
    <w:p w14:paraId="6EE118AA">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20、施工场地的占用与管理</w:t>
      </w:r>
    </w:p>
    <w:p w14:paraId="6EAC980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20.2</w:t>
      </w:r>
      <w:r>
        <w:rPr>
          <w:rFonts w:hint="eastAsia" w:ascii="宋体" w:hAnsi="宋体" w:eastAsia="宋体" w:cs="宋体"/>
          <w:color w:val="auto"/>
          <w:kern w:val="0"/>
          <w:sz w:val="24"/>
          <w:szCs w:val="24"/>
          <w:highlight w:val="none"/>
          <w:lang w:val="en-US" w:eastAsia="zh-CN" w:bidi="ar"/>
        </w:rPr>
        <w:t>在工程实施期间，施工场地一经移交给承包人，承包人即对施工场地负有全过程、全面的管理责任，必须对施工场地范围内的治安秩序、安全保卫、环境卫生以及周围房屋、市政设施等全面负责，对施工场地范围内的交通道路、用水、用电、场地内的施工协调负责。承包人需对其施工场地布置、人员的管理、交通组织制订详细的方案，对施工时段作出合理安排，必须采用全封闭施工方案，确保不对周边环境、道路、行人和相邻施工现场造成不利影响，不得干扰周围居民的正常生活。</w:t>
      </w:r>
    </w:p>
    <w:p w14:paraId="77D164D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20.3承包人必须在工程竣工初验后30天内或发包人规定的时间内（发包人将提前通知承包人），无条件清退所有施工场地。拒不清退的，发包人除向承包人收取租金（租金为每天人民币1元/m</w:t>
      </w:r>
      <w:r>
        <w:rPr>
          <w:rFonts w:hint="eastAsia" w:ascii="宋体" w:hAnsi="宋体" w:eastAsia="宋体" w:cs="宋体"/>
          <w:color w:val="auto"/>
          <w:kern w:val="0"/>
          <w:sz w:val="24"/>
          <w:szCs w:val="24"/>
          <w:highlight w:val="none"/>
          <w:vertAlign w:val="superscript"/>
          <w:lang w:val="en-US" w:eastAsia="zh-CN" w:bidi="ar"/>
        </w:rPr>
        <w:t>2</w:t>
      </w:r>
      <w:r>
        <w:rPr>
          <w:rFonts w:hint="eastAsia" w:ascii="宋体" w:hAnsi="宋体" w:eastAsia="宋体" w:cs="宋体"/>
          <w:color w:val="auto"/>
          <w:kern w:val="0"/>
          <w:sz w:val="24"/>
          <w:szCs w:val="24"/>
          <w:highlight w:val="none"/>
          <w:lang w:val="en-US" w:eastAsia="zh-CN" w:bidi="ar"/>
        </w:rPr>
        <w:t>）外，还有权暂停计价支付、工程结算、工程验收等工作，并由承包人承担由此而产生的一切后果（包括发包人因此而被第三方索赔所产生的损失）。</w:t>
      </w:r>
    </w:p>
    <w:p w14:paraId="2245335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对于临时房屋及设施，发包人认为有必要保留的，承包人在清退场地时应无条件保持完好并移交给发包人使用，并不得提出任何费用要求及其他要求。</w:t>
      </w:r>
    </w:p>
    <w:p w14:paraId="535E8B6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20.4承包人必须服从政府主管部门的执法检查和处罚，并按照检查结果进行整改。</w:t>
      </w:r>
    </w:p>
    <w:p w14:paraId="23625070">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21、安全施工与检查</w:t>
      </w:r>
    </w:p>
    <w:p w14:paraId="201C3FE8">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21.1</w:t>
      </w:r>
      <w:r>
        <w:rPr>
          <w:rFonts w:hint="eastAsia" w:ascii="宋体" w:hAnsi="宋体" w:eastAsia="宋体" w:cs="宋体"/>
          <w:color w:val="auto"/>
          <w:kern w:val="0"/>
          <w:sz w:val="24"/>
          <w:szCs w:val="24"/>
          <w:highlight w:val="none"/>
          <w:lang w:val="en-US" w:eastAsia="zh-CN" w:bidi="ar"/>
        </w:rPr>
        <w:t>承包人应建立健全建筑施工</w:t>
      </w:r>
      <w:r>
        <w:rPr>
          <w:rFonts w:hint="eastAsia" w:ascii="宋体" w:hAnsi="宋体" w:eastAsia="宋体" w:cs="宋体"/>
          <w:bCs/>
          <w:color w:val="auto"/>
          <w:kern w:val="0"/>
          <w:sz w:val="24"/>
          <w:szCs w:val="24"/>
          <w:highlight w:val="none"/>
          <w:lang w:val="en-US" w:eastAsia="zh-CN" w:bidi="ar"/>
        </w:rPr>
        <w:t>安全生产组织机构和</w:t>
      </w:r>
      <w:r>
        <w:rPr>
          <w:rFonts w:hint="eastAsia" w:ascii="宋体" w:hAnsi="宋体" w:eastAsia="宋体" w:cs="宋体"/>
          <w:color w:val="auto"/>
          <w:kern w:val="0"/>
          <w:sz w:val="24"/>
          <w:szCs w:val="24"/>
          <w:highlight w:val="none"/>
          <w:lang w:val="en-US" w:eastAsia="zh-CN" w:bidi="ar"/>
        </w:rPr>
        <w:t>安全保证体系，</w:t>
      </w:r>
      <w:r>
        <w:rPr>
          <w:rFonts w:hint="eastAsia" w:ascii="宋体" w:hAnsi="宋体" w:eastAsia="宋体" w:cs="宋体"/>
          <w:bCs/>
          <w:color w:val="auto"/>
          <w:kern w:val="0"/>
          <w:sz w:val="24"/>
          <w:szCs w:val="24"/>
          <w:highlight w:val="none"/>
          <w:lang w:val="en-US" w:eastAsia="zh-CN" w:bidi="ar"/>
        </w:rPr>
        <w:t>落实安全生产责任制，</w:t>
      </w:r>
      <w:r>
        <w:rPr>
          <w:rFonts w:hint="eastAsia" w:ascii="宋体" w:hAnsi="宋体" w:eastAsia="宋体" w:cs="宋体"/>
          <w:color w:val="auto"/>
          <w:kern w:val="0"/>
          <w:sz w:val="24"/>
          <w:szCs w:val="24"/>
          <w:highlight w:val="none"/>
          <w:lang w:val="en-US" w:eastAsia="zh-CN" w:bidi="ar"/>
        </w:rPr>
        <w:t>按照工程建设安全生产的有关管理规定，采取相应措施，负责现场全部作业的安全，并对此承担全部责任。</w:t>
      </w:r>
    </w:p>
    <w:p w14:paraId="51F8033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21.2</w:t>
      </w:r>
      <w:r>
        <w:rPr>
          <w:rFonts w:hint="eastAsia" w:ascii="宋体" w:hAnsi="宋体" w:eastAsia="宋体" w:cs="宋体"/>
          <w:color w:val="auto"/>
          <w:kern w:val="0"/>
          <w:sz w:val="24"/>
          <w:szCs w:val="24"/>
          <w:highlight w:val="none"/>
          <w:lang w:val="en-US" w:eastAsia="zh-CN" w:bidi="ar"/>
        </w:rPr>
        <w:t>承包人在施工中必须制定定期检查制度，加强对自身及其总承包管理范围内各专业单位在安全施工方面的检查、监督管理；若被发现存在严重安全隐患的，应按照合同专用条款第38.11（1）、（2）款的约定承担违约责任。</w:t>
      </w:r>
    </w:p>
    <w:p w14:paraId="5FC0F7D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21.3承包人应当将施工现场的办公、生活区与作业区分开设置，并保持安全距离。</w:t>
      </w:r>
    </w:p>
    <w:p w14:paraId="4C6D3EE2">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22、安全防护</w:t>
      </w:r>
    </w:p>
    <w:p w14:paraId="5A19ACE6">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承包人和发包人一致同意增加22.3、22.4：</w:t>
      </w:r>
    </w:p>
    <w:p w14:paraId="07D00EEE">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22.3本工程的安全防护及文明施工措施费包括但不限于合同通用条款第22.1款、第22.2款所列明的费用，所有安全防护及文明施工措施费已包含在合同价款之中。</w:t>
      </w:r>
    </w:p>
    <w:p w14:paraId="53E78D02">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22.4 措施项目的实施要求须满足《广州市重点公共建设项目管理办公室建设项目环境管理文明施工标准》、《建筑施工安全检查标准》（JGJ59-2011）、《建设工程施工现场环境与卫生标准》（JGJ146-2013）、广东省建设厅转发建设部关于印发《建筑工程安全防护、文明施工措施费用及使用管理规定》的通知（粤建管字[2005]116 号）、关于印发《广东省建设厅建筑工程安全防护、文明施工措施费用管理办法》的通知（粤建管字[2007]39 号）、关于印发《广州市建设工程现场文明施工管理办法》的通知（穗建质[2008]937 号）、《关于印发&lt;广州市建设工程施工现场消防安全管理规定&gt;的通知》（穗建质[2011]617 号）、《广州市建设工程文明施工管理规定》（广州市政府2011年第62号令）、《广州市提升建设工程安全文明施工管理水平的工作指引》（穗建质[2017]815 号）、《广州市住房和城乡建设局关印发广州市建设工程安全文明施工规程（试行版）的通知》（穗建质〔2021) 316 号）、《广东省建筑垃圾管理条例》（广东省第十三届人民代表大会常务委员会公告第126号）等及发包人制定的相关规定的要求，并应当做到：</w:t>
      </w:r>
    </w:p>
    <w:p w14:paraId="41039B0D">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（1）加强对职业健康安全应急预案、安全技术方案的审查管理工作。</w:t>
      </w:r>
    </w:p>
    <w:p w14:paraId="0A4F7A6E">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（2）保护所有在现场人员的安全，保护其管辖范围内的现场以及尚未完</w:t>
      </w:r>
      <w:r>
        <w:rPr>
          <w:rFonts w:hint="eastAsia" w:ascii="宋体" w:hAnsi="宋体" w:eastAsia="宋体" w:cs="宋体"/>
          <w:color w:val="auto"/>
          <w:kern w:val="0"/>
          <w:sz w:val="24"/>
          <w:szCs w:val="24"/>
          <w:highlight w:val="none"/>
          <w:lang w:val="en-US" w:eastAsia="zh-CN" w:bidi="ar"/>
        </w:rPr>
        <w:t>工的和发包人尚未占用的工程处于良好的安全状态。</w:t>
      </w:r>
    </w:p>
    <w:p w14:paraId="1BCDB773">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（3）在需要的时间和地点，根据总监理工程师、发包人或者当地政府的要求，提供和维持所有的照明灯光、护板、围墙、栅栏、警告信号标志和值班人员，对工程进行保护和为公众提供安全和方便。</w:t>
      </w:r>
    </w:p>
    <w:p w14:paraId="6456BEC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承包人应采取适当措施，确保其工作人员和劳务人员的身体健康，遵照当地卫生部门的要求保证在施工的全过程中，在工地、宿舍和工棚，备有医疗人员、急救设施、药品和治疗室等，并为预防传染病和一切必要的福利、卫生要求作出安排，建立“疾病应急小组”，制订应急措施。若出现任何重大或恶性传染性的疾病（如：非典型性肺炎）时，承包人必须遵守并执行省市卫生部门为处理和控制上述传染病而制定的规章、命令和要求，迅速向发包人和工程所在地疾病控制中心报告。</w:t>
      </w:r>
    </w:p>
    <w:p w14:paraId="34408B17">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23、事故处理</w:t>
      </w:r>
    </w:p>
    <w:p w14:paraId="426950F6">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承包人和发包人一致同意增加23.3、23.4：</w:t>
      </w:r>
    </w:p>
    <w:p w14:paraId="6CF0C61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23.3因承包人责任过失造成安全事故的，除按照国家规定由行政主管部门给予承包人处罚外，承包人还应负责赔偿发包人的损失，并按照合同专用条款第38.11（3）款的约定承担违约责任。</w:t>
      </w:r>
    </w:p>
    <w:p w14:paraId="4E935235">
      <w:pPr>
        <w:pStyle w:val="3"/>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23.4承包人应保证发包人免于受到或承担应由承包人负责的因承包人现场施工所引起的或与之有关的索赔、诉讼以及其他开支；若有证据证实发包人因此发生了索赔、诉讼以及其他开支，承包人必须在接到发包人通知后三天内据实补偿发包人因此所受到的损失或者由发包人在承包人工程款项中予以扣除。</w:t>
      </w:r>
    </w:p>
    <w:p w14:paraId="7FDD02ED">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24、文明施工与环境保护</w:t>
      </w:r>
    </w:p>
    <w:p w14:paraId="46C1F9F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24.1承包人应严格落实文明施工措施，否则按合同专用条款第38.12款的约定承担违约责任。</w:t>
      </w:r>
    </w:p>
    <w:p w14:paraId="5513059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24.2承包人应在进入现场前提交施工期间的环境保护方案一式四份，经总监理工程师批准后实施。环境保护方案必须包括：施工现场所必须的照明灯光、护板、围护、栅栏、警告标志和值班人员名单，以及建筑垃圾、施工和生活污水、噪音、粉尘的处理排放方案。在实施过程中所采用的材料、设备等应使总监理工程师和发包人满意。</w:t>
      </w:r>
    </w:p>
    <w:p w14:paraId="1B3A0AD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承包人应在现场布置足量洒水车，消除扬尘，并使总监理工程师和发包人满意。</w:t>
      </w:r>
    </w:p>
    <w:p w14:paraId="43A8E78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对于承包人施工过程中造成的环境污染问题，经发包人或者总监理工程师指出后，承包人未能在24小时之内采取整治措施，或者所采取的整治措施未能有效消除污染的，发包人可以自行或者委托他人代为整治，由此所产生的一切损失、费用均由承包人承担。</w:t>
      </w:r>
    </w:p>
    <w:p w14:paraId="0531A47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对于发包人直接发包的专业承包单位在施工过程中造成的环境污染（包括文明施工混乱），承包人必须配合发包人及监理单位，督促该专业承包单位立即采取整治措施，如果该专业承包单位不服从承包人的整治要求，承包人必须自行组织及时完成环境污染的整治工作并向总监理工程师及发包人书面汇报其过程及效果，由此产生的费用经总监理工程师及发包人审核确认，从该专业承包单位的工程款项中扣除，由发包人将该笔款项直接支付给承包人。由于承包人管理督促不力或漠视不理，以致专业承包单位未能及时整治或不进行整治而造成的一切损失均由承包人承担，同时承包人还必须按</w:t>
      </w:r>
      <w:r>
        <w:rPr>
          <w:rFonts w:hint="eastAsia" w:ascii="宋体" w:hAnsi="宋体" w:eastAsia="宋体" w:cs="宋体"/>
          <w:color w:val="auto"/>
          <w:kern w:val="0"/>
          <w:sz w:val="24"/>
          <w:szCs w:val="24"/>
          <w:highlight w:val="none"/>
          <w:lang w:val="en-US" w:eastAsia="zh-CN" w:bidi="ar"/>
        </w:rPr>
        <w:t>合同专用条款第38.12款[</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和第38.7（5）款]的约定承担相应的违约责任。</w:t>
      </w:r>
    </w:p>
    <w:p w14:paraId="3ECE2385">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承包人和发包人一致同意增加24.3：</w:t>
      </w:r>
    </w:p>
    <w:p w14:paraId="275551F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Cs/>
          <w:i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24.3</w:t>
      </w:r>
      <w:r>
        <w:rPr>
          <w:rFonts w:hint="eastAsia" w:ascii="宋体" w:hAnsi="宋体" w:eastAsia="宋体" w:cs="宋体"/>
          <w:bCs/>
          <w:iCs/>
          <w:color w:val="auto"/>
          <w:kern w:val="0"/>
          <w:sz w:val="24"/>
          <w:szCs w:val="24"/>
          <w:highlight w:val="none"/>
          <w:lang w:val="en-US" w:eastAsia="zh-CN" w:bidi="ar"/>
        </w:rPr>
        <w:t>承包人承诺：所有施工的安全设施、机具以及围网、护栏、临边防护、施工通道等全部按发包人的要求统一标准、统一标识。安全防护、文明施工的内容按中标后承包人向发包人提交且经发包人批准的详细的施工组织设计实施，但安全防护、文明施工的投标总报价不变。</w:t>
      </w:r>
    </w:p>
    <w:p w14:paraId="712360F9">
      <w:pPr>
        <w:pStyle w:val="3"/>
        <w:keepNext w:val="0"/>
        <w:keepLines w:val="0"/>
        <w:widowControl w:val="0"/>
        <w:suppressLineNumbers w:val="0"/>
        <w:adjustRightInd w:val="0"/>
        <w:snapToGrid w:val="0"/>
        <w:spacing w:before="0" w:beforeAutospacing="0" w:after="0" w:afterAutospacing="0" w:line="360" w:lineRule="auto"/>
        <w:ind w:left="0" w:right="0" w:firstLine="465"/>
        <w:jc w:val="both"/>
        <w:rPr>
          <w:rFonts w:hint="eastAsia" w:ascii="宋体" w:hAnsi="Courier New"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在合同工期内，发包人、总监理工程师对承包人的安全文明施工及环境保护措施进行定期检查，并按招标文件规定的项目和款项执行奖罚。</w:t>
      </w:r>
    </w:p>
    <w:p w14:paraId="0D3BE8FB">
      <w:pPr>
        <w:pStyle w:val="3"/>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Courier New" w:eastAsia="宋体" w:cs="宋体"/>
          <w:color w:val="auto"/>
          <w:kern w:val="0"/>
          <w:sz w:val="21"/>
          <w:szCs w:val="21"/>
          <w:highlight w:val="none"/>
        </w:rPr>
      </w:pPr>
      <w:r>
        <w:rPr>
          <w:rFonts w:hint="eastAsia" w:ascii="宋体" w:hAnsi="Courier New" w:eastAsia="宋体" w:cs="宋体"/>
          <w:color w:val="auto"/>
          <w:kern w:val="0"/>
          <w:sz w:val="21"/>
          <w:szCs w:val="21"/>
          <w:highlight w:val="none"/>
          <w:lang w:val="en-US" w:eastAsia="zh-CN" w:bidi="ar"/>
        </w:rPr>
        <w:t xml:space="preserve"> </w:t>
      </w:r>
    </w:p>
    <w:p w14:paraId="6C8F0C33">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
        </w:rPr>
        <w:t>六、合同价款与支付</w:t>
      </w:r>
    </w:p>
    <w:p w14:paraId="518B08FD">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25、合同价款及调整</w:t>
      </w:r>
    </w:p>
    <w:p w14:paraId="7110F07B">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61"/>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25.1合同价款按照合同协议书第6条和本条第25.2款的约定执行。</w:t>
      </w:r>
    </w:p>
    <w:p w14:paraId="3E094A56">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61"/>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25.2确定合同价款的方式：</w:t>
      </w:r>
    </w:p>
    <w:p w14:paraId="66925AEB">
      <w:pPr>
        <w:keepNext w:val="0"/>
        <w:keepLines w:val="0"/>
        <w:widowControl w:val="0"/>
        <w:suppressLineNumbers w:val="0"/>
        <w:adjustRightInd w:val="0"/>
        <w:snapToGrid w:val="0"/>
        <w:spacing w:before="0" w:beforeAutospacing="0" w:after="0" w:afterAutospacing="0" w:line="360" w:lineRule="auto"/>
        <w:ind w:left="0" w:right="11" w:firstLine="42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Cs/>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采用合同协议书第</w:t>
      </w:r>
      <w:r>
        <w:rPr>
          <w:rFonts w:hint="eastAsia" w:ascii="宋体" w:hAnsi="宋体" w:eastAsia="宋体" w:cs="宋体"/>
          <w:bCs/>
          <w:color w:val="auto"/>
          <w:kern w:val="0"/>
          <w:sz w:val="24"/>
          <w:szCs w:val="24"/>
          <w:highlight w:val="none"/>
          <w:lang w:val="en-US" w:eastAsia="zh-CN" w:bidi="ar"/>
        </w:rPr>
        <w:t>2.3</w:t>
      </w:r>
      <w:r>
        <w:rPr>
          <w:rFonts w:hint="eastAsia" w:ascii="宋体" w:hAnsi="宋体" w:eastAsia="宋体" w:cs="宋体"/>
          <w:color w:val="auto"/>
          <w:kern w:val="0"/>
          <w:sz w:val="24"/>
          <w:szCs w:val="24"/>
          <w:highlight w:val="none"/>
          <w:lang w:val="en-US" w:eastAsia="zh-CN" w:bidi="ar"/>
        </w:rPr>
        <w:t>款约定的</w:t>
      </w:r>
      <w:r>
        <w:rPr>
          <w:rFonts w:hint="eastAsia" w:ascii="宋体" w:hAnsi="宋体" w:eastAsia="宋体" w:cs="宋体"/>
          <w:bCs/>
          <w:color w:val="auto"/>
          <w:kern w:val="0"/>
          <w:sz w:val="24"/>
          <w:szCs w:val="24"/>
          <w:highlight w:val="none"/>
          <w:lang w:val="en-US" w:eastAsia="zh-CN" w:bidi="ar"/>
        </w:rPr>
        <w:t>合同价款固定不变。</w:t>
      </w:r>
    </w:p>
    <w:p w14:paraId="6BBF57A1">
      <w:pPr>
        <w:keepNext w:val="0"/>
        <w:keepLines w:val="0"/>
        <w:widowControl w:val="0"/>
        <w:suppressLineNumbers w:val="0"/>
        <w:adjustRightInd w:val="0"/>
        <w:snapToGrid w:val="0"/>
        <w:spacing w:before="0" w:beforeAutospacing="0" w:after="0" w:afterAutospacing="0" w:line="360" w:lineRule="auto"/>
        <w:ind w:left="0" w:right="11" w:firstLine="42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Cs/>
          <w:color w:val="auto"/>
          <w:kern w:val="0"/>
          <w:sz w:val="24"/>
          <w:szCs w:val="24"/>
          <w:highlight w:val="none"/>
          <w:lang w:val="en-US" w:eastAsia="zh-CN" w:bidi="ar"/>
        </w:rPr>
        <w:t>（2）合同价款总价包干，若招标范围和承包内容不发生变化，则本工程结算价即为合同价（招标文件及本合同另有约定可以调整的项目除外）。</w:t>
      </w:r>
    </w:p>
    <w:p w14:paraId="669B9216">
      <w:pPr>
        <w:keepNext w:val="0"/>
        <w:keepLines w:val="0"/>
        <w:widowControl w:val="0"/>
        <w:suppressLineNumbers w:val="0"/>
        <w:adjustRightInd w:val="0"/>
        <w:snapToGrid w:val="0"/>
        <w:spacing w:before="0" w:beforeAutospacing="0" w:after="0" w:afterAutospacing="0" w:line="360" w:lineRule="auto"/>
        <w:ind w:left="0" w:right="11" w:firstLine="42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Cs/>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采用合同协议书第2.3款约定的</w:t>
      </w:r>
      <w:r>
        <w:rPr>
          <w:rFonts w:hint="eastAsia" w:ascii="宋体" w:hAnsi="宋体" w:eastAsia="宋体" w:cs="宋体"/>
          <w:bCs/>
          <w:color w:val="auto"/>
          <w:kern w:val="0"/>
          <w:sz w:val="24"/>
          <w:szCs w:val="24"/>
          <w:highlight w:val="none"/>
          <w:lang w:val="en-US" w:eastAsia="zh-CN" w:bidi="ar"/>
        </w:rPr>
        <w:t>工程量清单综合单价包干及综合合价项目包干并按</w:t>
      </w:r>
      <w:r>
        <w:rPr>
          <w:rFonts w:hint="eastAsia" w:ascii="宋体" w:hAnsi="宋体" w:eastAsia="宋体" w:cs="宋体"/>
          <w:color w:val="auto"/>
          <w:kern w:val="0"/>
          <w:sz w:val="24"/>
          <w:szCs w:val="24"/>
          <w:highlight w:val="none"/>
          <w:lang w:val="en-US" w:eastAsia="zh-CN" w:bidi="ar"/>
        </w:rPr>
        <w:t>本条第25.3款的约定执行，赞助权益回报金额固定不变，不因项目规模、工程内容、承包范围调整而调整。</w:t>
      </w:r>
      <w:r>
        <w:rPr>
          <w:rFonts w:hint="eastAsia" w:ascii="宋体" w:hAnsi="宋体" w:eastAsia="宋体" w:cs="宋体"/>
          <w:bCs/>
          <w:strike w:val="0"/>
          <w:dstrike/>
          <w:color w:val="auto"/>
          <w:kern w:val="0"/>
          <w:sz w:val="24"/>
          <w:szCs w:val="24"/>
          <w:highlight w:val="none"/>
          <w:lang w:val="en-US" w:eastAsia="zh-CN" w:bidi="ar"/>
        </w:rPr>
        <w:t>最终按有权结算终审部门审定价结算。</w:t>
      </w:r>
      <w:r>
        <w:rPr>
          <w:rFonts w:hint="eastAsia" w:ascii="宋体" w:hAnsi="宋体" w:eastAsia="宋体" w:cs="宋体"/>
          <w:bCs/>
          <w:color w:val="auto"/>
          <w:kern w:val="0"/>
          <w:sz w:val="24"/>
          <w:szCs w:val="24"/>
          <w:highlight w:val="none"/>
          <w:lang w:val="en-US" w:eastAsia="zh-CN" w:bidi="ar"/>
        </w:rPr>
        <w:t>工程结算最终以有权结算终审部门审定金额扣除赞助权益回报中标金额后的费用作为结算费用。</w:t>
      </w:r>
    </w:p>
    <w:p w14:paraId="670BD0D2">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61"/>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（4）其他：</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0"/>
          <w:sz w:val="24"/>
          <w:szCs w:val="24"/>
          <w:highlight w:val="none"/>
          <w:lang w:val="en-US" w:eastAsia="zh-CN" w:bidi="ar"/>
        </w:rPr>
        <w:t>。</w:t>
      </w:r>
    </w:p>
    <w:p w14:paraId="0C108770">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承包人与发包人一致同意不适用合同通用条款第25.3、25.4款的约定，代之以：</w:t>
      </w:r>
    </w:p>
    <w:p w14:paraId="55F5589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25.3综合单价包干的合同价款的调整</w:t>
      </w:r>
    </w:p>
    <w:p w14:paraId="694ABBD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合同价款的调整按照如下约定执行：</w:t>
      </w:r>
    </w:p>
    <w:p w14:paraId="3D197CA8">
      <w:pPr>
        <w:keepNext w:val="0"/>
        <w:keepLines w:val="0"/>
        <w:widowControl w:val="0"/>
        <w:suppressLineNumbers w:val="0"/>
        <w:adjustRightInd w:val="0"/>
        <w:snapToGrid w:val="0"/>
        <w:spacing w:before="0" w:beforeAutospacing="0" w:after="0" w:afterAutospacing="0" w:line="360" w:lineRule="auto"/>
        <w:ind w:left="0" w:right="11" w:firstLine="403" w:firstLineChars="192"/>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（1）合同价款的调整。当发生下列情况时，可对合同价款进行调整：</w:t>
      </w:r>
    </w:p>
    <w:p w14:paraId="32415777">
      <w:pPr>
        <w:keepNext w:val="0"/>
        <w:keepLines w:val="0"/>
        <w:widowControl w:val="0"/>
        <w:suppressLineNumbers w:val="0"/>
        <w:adjustRightInd w:val="0"/>
        <w:snapToGrid w:val="0"/>
        <w:spacing w:before="0" w:beforeAutospacing="0" w:after="0" w:afterAutospacing="0" w:line="360" w:lineRule="auto"/>
        <w:ind w:left="0" w:right="11" w:firstLine="403" w:firstLineChars="192"/>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1）发包人及监理单位共同确认的工程量增减。</w:t>
      </w:r>
    </w:p>
    <w:p w14:paraId="156918BF">
      <w:pPr>
        <w:keepNext w:val="0"/>
        <w:keepLines w:val="0"/>
        <w:widowControl w:val="0"/>
        <w:suppressLineNumbers w:val="0"/>
        <w:adjustRightInd w:val="0"/>
        <w:snapToGrid w:val="0"/>
        <w:spacing w:before="0" w:beforeAutospacing="0" w:after="0" w:afterAutospacing="0" w:line="360" w:lineRule="auto"/>
        <w:ind w:left="0" w:right="11" w:firstLine="403" w:firstLineChars="192"/>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2）发包人及监理单位共同确认的变更工程和新增工程。</w:t>
      </w:r>
    </w:p>
    <w:p w14:paraId="5C4F0C56">
      <w:pPr>
        <w:keepNext w:val="0"/>
        <w:keepLines w:val="0"/>
        <w:widowControl w:val="0"/>
        <w:suppressLineNumbers w:val="0"/>
        <w:adjustRightInd w:val="0"/>
        <w:snapToGrid w:val="0"/>
        <w:spacing w:before="0" w:beforeAutospacing="0" w:after="0" w:afterAutospacing="0" w:line="360" w:lineRule="auto"/>
        <w:ind w:left="0" w:right="11" w:firstLine="403" w:firstLineChars="192"/>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（2）所有变更工程和新增工程的单价或价格，均按照合同专用条款第33条执行。</w:t>
      </w:r>
    </w:p>
    <w:p w14:paraId="09B182C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25.4承包人应在本条第25.3（1）款情况发生后5天内将调整原因、金额以书面形式通知监理单位，经监理单位和发包人批准后作为调整合同价款及拨付工程进度款的依据。监理单位收到后3天内审核并签署意见（</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舞台机械 </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舞台灯光  </w:t>
      </w: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智能化  </w:t>
      </w: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体育工艺  </w:t>
      </w: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声学等项目的增减或变更需先送技术督导单位审核后再送监理单位审核），发包人在10天内审定并批准执行。</w:t>
      </w:r>
    </w:p>
    <w:p w14:paraId="737B5A38">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承包人与发包人一致同意增加25.5至25.11：</w:t>
      </w:r>
    </w:p>
    <w:p w14:paraId="334747FA">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25.5工程签证的计价</w:t>
      </w:r>
    </w:p>
    <w:p w14:paraId="57CAAC7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当发包人书面指令必须进行工程签证时，所有工程签证必须在发生后2天内经发包人和监理单位现场核实计量后签字并盖章确认，承包人根据工程签证确认的工程量5天内编制预算报监理单位审核，监理单位3天内提出造价审核意见报发包人，并由发包人签字盖章确认。凡是没有经过发包人和监理单位签字并盖章确认的工程签证，其增加的费用不予确认。结算时工程签证的计价以有权结算终审部门的审定为准。</w:t>
      </w:r>
    </w:p>
    <w:p w14:paraId="6D209D6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25.6承包人承诺：所有变更工程和新增工程引起的计价、计量调整、报批和审批过程，均不得影响变更的执行，承包人不得以此为理由公开或变相拖延或延误新增或变更工程的实施，否则，承包人须承担由此造成的发包人经济损失及工期延误的责任，且须按合同专用条款第38.7、38.8款承担违约责任。</w:t>
      </w:r>
    </w:p>
    <w:p w14:paraId="7D36BFFF">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25.7承包人承诺：在整个合同执行期间发包人如发现有招标文件规定的不合理投标报价的，发包人有权按有关规定和合同约定进行调整，同时书面通知承包人，并以此作为结算依据。</w:t>
      </w:r>
    </w:p>
    <w:p w14:paraId="2DFF659D">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25.8本项目执行国家和省有关计价规范（《建设工程工程量清单计价规范（GB50500-2013）》）、《广东省住房和城乡建设厅关于营业税改征增值税后调整广东省建设工程计价依据的通知》（粤建市函[2016]1113 号）和《广州市建设工程造价管理站关于营业税改征增值税后广州市建设工程计价有关问题的通知》（穗建造价〔2016〕31号）、《广东省建设工程计价依据的通知（2018）》（粤建市﹝2019﹞6号）</w:t>
      </w:r>
    </w:p>
    <w:p w14:paraId="2A8681A7">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25.9合价项目的投入若能满足施工组织和验收要求，则按合同全额支付和结算（发包人统一调配的除外）；若不能满足施工组织和验收要求且经整改10天仍不满足要求的，则由发包人有权另行委托队伍施工，所发生的费用不管有无超过合同中该项目的合价，均全部由承包人负责并在其结算中扣除；经整改后仍不满足要求，此类事件每发生一次，结算时在项目总措施项目费中扣除人民币伍万元。</w:t>
      </w:r>
    </w:p>
    <w:p w14:paraId="3AE08534">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25.10非承包人原因引起的分部分项工程量变化，其综合单价的调整原则：</w:t>
      </w:r>
    </w:p>
    <w:p w14:paraId="7C009004">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（1）对任一分部分项工程的清单项目，如结算工程量与招标工程量相比变化幅度在10%以内时，其综合单价不做调整，执行原有合同综合单价。</w:t>
      </w:r>
    </w:p>
    <w:p w14:paraId="496992D7">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（2）对任一分部分项工程的清单项目，如结算工程量与招标工程量相比变化幅度在10%以外，且该清单项目原综合单价＞(1+</w:t>
      </w:r>
      <w:r>
        <w:rPr>
          <w:rFonts w:hint="eastAsia" w:ascii="宋体" w:hAnsi="宋体" w:eastAsia="宋体" w:cs="宋体"/>
          <w:b/>
          <w:bCs w:val="0"/>
          <w:color w:val="auto"/>
          <w:kern w:val="0"/>
          <w:sz w:val="24"/>
          <w:szCs w:val="24"/>
          <w:highlight w:val="none"/>
          <w:lang w:val="en-US" w:eastAsia="zh-CN" w:bidi="ar"/>
        </w:rPr>
        <w:t>50</w:t>
      </w:r>
      <w:r>
        <w:rPr>
          <w:rFonts w:hint="eastAsia" w:ascii="宋体" w:hAnsi="宋体" w:eastAsia="宋体" w:cs="宋体"/>
          <w:color w:val="auto"/>
          <w:kern w:val="0"/>
          <w:sz w:val="24"/>
          <w:szCs w:val="24"/>
          <w:highlight w:val="none"/>
          <w:lang w:val="en-US" w:eastAsia="zh-CN" w:bidi="ar"/>
        </w:rPr>
        <w:t>%)×基准价（基准价指以合同约定的合同外新增项目计价规定核算的综合单价，下同），或原综合单价＜(1-50%)×基准价，对超过招标工程量10%以外部分（如超过11%，只对1%的部分进行调整）其综合单价按基准价进行调整和结算。</w:t>
      </w:r>
    </w:p>
    <w:p w14:paraId="2C457B8E">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25.11投标文件有漏项的，在签订合同时，漏项项目清单工程量以招标工程量清单和清单修正项为依据计列，漏项项目综合单价按该项目【第2、3名中标候选人】相应投标单价平均值计列，形成漏项项目工程量清单作为合同附件；在工程结算时，按施工实际工程数量减漏项项目招标工程数量计算增减工程量，增减工程量乘以上述综合单价作为漏项项目结算款。</w:t>
      </w:r>
    </w:p>
    <w:p w14:paraId="700FF669">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承包人与发包人一致同意不适用合同通用条款第26条的约定，代之以：</w:t>
      </w:r>
    </w:p>
    <w:p w14:paraId="09E4C52E">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26、工程预付款</w:t>
      </w:r>
    </w:p>
    <w:p w14:paraId="45DF65FD">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26.1承包人按招标文件及合同专用条款第44条的要求提交履约担保且本合同及附件20《赞助协议》签订后，承包人提交工程预付款申请书，发包人收到后14天内向承包人支付分部分项工程量清单计价中现金支付部分所占份额相应金额的</w:t>
      </w:r>
      <w:r>
        <w:rPr>
          <w:rFonts w:hint="default" w:cs="宋体"/>
          <w:b/>
          <w:bCs/>
          <w:color w:val="auto"/>
          <w:kern w:val="0"/>
          <w:sz w:val="24"/>
          <w:szCs w:val="24"/>
          <w:highlight w:val="none"/>
          <w:u w:val="single"/>
          <w:lang w:eastAsia="zh-CN" w:bidi="ar"/>
        </w:rPr>
        <w:t>20</w:t>
      </w:r>
      <w:r>
        <w:rPr>
          <w:rFonts w:hint="eastAsia" w:ascii="宋体" w:hAnsi="宋体" w:eastAsia="宋体" w:cs="宋体"/>
          <w:b/>
          <w:bCs/>
          <w:color w:val="auto"/>
          <w:kern w:val="0"/>
          <w:sz w:val="24"/>
          <w:szCs w:val="24"/>
          <w:highlight w:val="none"/>
          <w:u w:val="single"/>
          <w:lang w:val="en-US" w:eastAsia="zh-CN" w:bidi="ar"/>
        </w:rPr>
        <w:t>%</w:t>
      </w:r>
      <w:r>
        <w:rPr>
          <w:rFonts w:hint="eastAsia" w:ascii="宋体" w:hAnsi="宋体" w:eastAsia="宋体" w:cs="宋体"/>
          <w:color w:val="auto"/>
          <w:kern w:val="0"/>
          <w:sz w:val="24"/>
          <w:szCs w:val="24"/>
          <w:highlight w:val="none"/>
          <w:lang w:val="en-US" w:eastAsia="zh-CN" w:bidi="ar"/>
        </w:rPr>
        <w:t>, 即</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元作为工程预付款（发包人有权根据项目资金落实情况进行分批支付工程预付款）；其中属于人工费用预付款部分的金额为本合同总价的1%，即</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元，一次性拨付到工人工资支付专用账户；并从工程预付款中扣除已含在合同价款中但由发包人预交的款项及承包人的相关人员（包括项目经理、技术负责人、专职安全员）现场组织实施管理费（以下简称“现场组织实施管理费”）。【注：项目部可根据具体项目实际需要在不超过30%的范围内填选工程预付款比例，但应注意发包人向承包人实际支付的工程预付款金额（即扣除现场组织实施管理费后剩余的工程预付款金额）须不低于本合同总价的10%。】（此备注不作为合同正文）</w:t>
      </w:r>
    </w:p>
    <w:p w14:paraId="6E313868">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若有</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甲招乙供材料设备和</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甲管乙供材料设备的，按分部分项工程量报价清单一定比例计算的工程预付款已包含甲招乙供材料设备和甲管乙供材料设备款，并须按本条第26.2款及26.3款的约定一并考虑执行）。建筑业职工工伤保险费已包含在工程预付款中，发包人不另行支付。</w:t>
      </w:r>
    </w:p>
    <w:p w14:paraId="100B2919">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Courier New" w:eastAsia="宋体" w:cs="宋体"/>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承包人在收到发包人工程预付款后，应及时向作业班组、分包单位、供应商支付人工费用、备料款等相关费用。承包人如挪用预付款，或未及时向作业班组、分包单位、供应商支付人工费用、备料款导致工期延误的，发包人一经查实，承包人承担严重违约责任。</w:t>
      </w:r>
    </w:p>
    <w:p w14:paraId="5785D986">
      <w:pPr>
        <w:pStyle w:val="3"/>
        <w:keepNext w:val="0"/>
        <w:keepLines w:val="0"/>
        <w:widowControl w:val="0"/>
        <w:suppressLineNumbers w:val="0"/>
        <w:adjustRightInd w:val="0"/>
        <w:snapToGrid w:val="0"/>
        <w:spacing w:before="0" w:beforeAutospacing="0" w:after="0" w:afterAutospacing="0" w:line="360" w:lineRule="auto"/>
        <w:ind w:left="0" w:right="0" w:firstLine="42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Courier New" w:eastAsia="宋体" w:cs="宋体"/>
          <w:b/>
          <w:bCs w:val="0"/>
          <w:color w:val="auto"/>
          <w:kern w:val="2"/>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26.2若本工程含有甲招乙供材料设备，承包人应严格按照本合同、招标文件及与甲招乙供材料设备供应商所签合同的约定及时审核、申请支付甲招乙供材料设备预付款，并在银行的监控下，按照发包人的要求直接将甲招乙供材料设备款项按合同专用条款第30.7（8）款的约定支付给材料设备供应商，否则应按合同专用条款第38.15款承担违约责任。</w:t>
      </w:r>
    </w:p>
    <w:p w14:paraId="57FE4ACC">
      <w:pPr>
        <w:pStyle w:val="3"/>
        <w:keepNext w:val="0"/>
        <w:keepLines w:val="0"/>
        <w:widowControl w:val="0"/>
        <w:suppressLineNumbers w:val="0"/>
        <w:adjustRightInd w:val="0"/>
        <w:snapToGrid w:val="0"/>
        <w:spacing w:before="0" w:beforeAutospacing="0" w:after="0" w:afterAutospacing="0" w:line="360" w:lineRule="auto"/>
        <w:ind w:left="0" w:right="0" w:firstLine="465"/>
        <w:jc w:val="both"/>
        <w:outlineLvl w:val="3"/>
        <w:rPr>
          <w:rFonts w:hint="eastAsia" w:ascii="宋体" w:hAnsi="宋体" w:eastAsia="宋体" w:cs="宋体"/>
          <w:b/>
          <w:bCs w:val="0"/>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Courier New" w:eastAsia="宋体" w:cs="宋体"/>
          <w:b/>
          <w:bCs w:val="0"/>
          <w:color w:val="auto"/>
          <w:kern w:val="2"/>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26.3如本工程含有甲管乙供材料设备，承包人应严格按照本合同、</w:t>
      </w:r>
      <w:r>
        <w:rPr>
          <w:rFonts w:hint="eastAsia" w:ascii="宋体" w:hAnsi="宋体" w:eastAsia="宋体" w:cs="宋体"/>
          <w:color w:val="auto"/>
          <w:kern w:val="2"/>
          <w:sz w:val="24"/>
          <w:szCs w:val="24"/>
          <w:highlight w:val="none"/>
          <w:lang w:val="en-US" w:eastAsia="zh-CN" w:bidi="ar"/>
        </w:rPr>
        <w:t>招标文件或</w:t>
      </w:r>
      <w:r>
        <w:rPr>
          <w:rFonts w:hint="eastAsia" w:ascii="宋体" w:hAnsi="宋体" w:eastAsia="宋体" w:cs="宋体"/>
          <w:color w:val="auto"/>
          <w:kern w:val="0"/>
          <w:sz w:val="24"/>
          <w:szCs w:val="24"/>
          <w:highlight w:val="none"/>
          <w:lang w:val="en-US" w:eastAsia="zh-CN" w:bidi="ar"/>
        </w:rPr>
        <w:t>公开择优竞价文件及与甲管乙供材料设备供应商所签合同的约定及时审核、申请支付甲管乙供材料设备预付款，且在收到发包人支付的款项后三个工作日内将该款项支付给甲管乙供材料设备供应商，并在下一次申请付款时向发包人提交本次支付凭证复印件作为支持材料，否则应按合同专用条款第38.15款承担违约责任。</w:t>
      </w:r>
    </w:p>
    <w:p w14:paraId="290F079B">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26.4承包人应将预付款专用于实施本工程所需的施工机械、材料设备及人员费用，并向总监理工程师提交发票或其他证明文件的副本以证明预付款确实专款专用，否则应按合同专用条款第38.15款承担违约责任。</w:t>
      </w:r>
    </w:p>
    <w:p w14:paraId="5D90BAE9">
      <w:pPr>
        <w:pStyle w:val="3"/>
        <w:keepNext w:val="0"/>
        <w:keepLines w:val="0"/>
        <w:widowControl w:val="0"/>
        <w:suppressLineNumbers w:val="0"/>
        <w:adjustRightInd w:val="0"/>
        <w:snapToGrid w:val="0"/>
        <w:spacing w:before="0" w:beforeAutospacing="0" w:after="0" w:afterAutospacing="0" w:line="360" w:lineRule="auto"/>
        <w:ind w:left="118" w:leftChars="56" w:right="0" w:firstLine="360" w:firstLineChars="15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26.5预付款从工程进度款中分期全部扣回，扣回的时间和比例为：当分部分项工程量清单项目工程进度款、预付款累计金额达到分部分项工程量清单计价的40%（含本数）时，开始在下一次分部分项工程量清单项目工程进度款中扣回预付款，并在分部分项工程量清单项目工程进度款、预付款累计金额达到分部分项工程量清单计价的80%（含本数）以前全部扣回预付款。本合同另有约定的，从其约定。</w:t>
      </w:r>
    </w:p>
    <w:p w14:paraId="13C79642">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27、工程量的确认</w:t>
      </w:r>
    </w:p>
    <w:p w14:paraId="6AA3B81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27.1承包人每次申请工程进度款时应提交已完工程进度款申请报表。</w:t>
      </w:r>
    </w:p>
    <w:p w14:paraId="1C796D59">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已完工程进度款申请报表的提交应按发包人工程项目信息管理系统的要求执行。</w:t>
      </w:r>
    </w:p>
    <w:p w14:paraId="211FC6F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27.3不予计量的情况：</w:t>
      </w:r>
    </w:p>
    <w:p w14:paraId="59F563B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（1）隐蔽工程无验收记录表的；</w:t>
      </w:r>
    </w:p>
    <w:p w14:paraId="3B67265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（2）施工图之外的工作量；</w:t>
      </w:r>
    </w:p>
    <w:p w14:paraId="201FB7C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（3）因承包人责任而增加的工作量；</w:t>
      </w:r>
    </w:p>
    <w:p w14:paraId="0897DFF1">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（4）未经发包人批准的分包单位施工的工程；</w:t>
      </w:r>
    </w:p>
    <w:p w14:paraId="37580E2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（5）不符合合同约定或设计要求的工程。</w:t>
      </w:r>
    </w:p>
    <w:p w14:paraId="537843B6">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承包人和发包人一致同意增加27.4、27.5：</w:t>
      </w:r>
    </w:p>
    <w:p w14:paraId="57612D88">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27.4除另有特别说明外，总监理工程师应根据合同的约定和批准的施工图纸、设计变更图纸通过计量来核实并确认已完工程的价值。当总监理工程师要求对工程的任一部分或若干部分进行计量时，总监理工程师应当书面通知承包人，承包人应按通知要求立即前往协助监理单位从事上述计量工作，并提供此计量所需的一切详实资料。承包人未能按要求时间前往参加计量并提供详实资料，则由总监理工程师进行的或由其批准的计量应直接被认为是对这一部分工程的正确计量。</w:t>
      </w:r>
    </w:p>
    <w:p w14:paraId="261E89DC">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b/>
          <w:bCs w:val="0"/>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27.5工程的计量应以合同约定为准，双方另有约定的除外。</w:t>
      </w:r>
    </w:p>
    <w:p w14:paraId="22FEBD5C">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承包人与发包人一致同意不适用合同通用条款第28条的约定，代之以：</w:t>
      </w:r>
    </w:p>
    <w:p w14:paraId="00DFF70B">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28、工程款（进度款）支付</w:t>
      </w:r>
    </w:p>
    <w:p w14:paraId="5BDC7EA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28.1双方约定的工程进度款支付基本原则</w:t>
      </w:r>
    </w:p>
    <w:p w14:paraId="4F63EA8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（1）按月支付。每期工程款（进度款）支付，承包人须将相关的支付申请资料报监理单位，监理单位审核后报发包人，发包人审批后支付。</w:t>
      </w:r>
    </w:p>
    <w:p w14:paraId="3DA02DC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（2）任何项目的计量与支付必须按合同约定的技术条件、发包人批准的施工图有关要求及规定完成，包括合同约定的与项目计量有关且必须完成的责任和义务。</w:t>
      </w:r>
    </w:p>
    <w:p w14:paraId="560538C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已完工项目的计量与支付需得到总监理工程师和发包人的认可。如承包人的工作不能使总监理工程师和发包人满意（如：质量不合格，工程进度缓慢，施工总承包管理和配合服务不到位或有其他方面违反合同的行为等），总监理工程师和发包人有权拒绝计量与支付。</w:t>
      </w:r>
    </w:p>
    <w:p w14:paraId="3FE59492">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80"/>
        <w:jc w:val="both"/>
        <w:rPr>
          <w:rFonts w:hint="eastAsia" w:ascii="宋体" w:hAnsi="宋体" w:eastAsia="宋体" w:cs="宋体"/>
          <w:i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w:t>
      </w:r>
      <w:r>
        <w:rPr>
          <w:rFonts w:hint="eastAsia" w:ascii="宋体" w:hAnsi="宋体" w:eastAsia="宋体" w:cs="宋体"/>
          <w:iCs/>
          <w:color w:val="auto"/>
          <w:kern w:val="0"/>
          <w:sz w:val="24"/>
          <w:szCs w:val="24"/>
          <w:highlight w:val="none"/>
          <w:lang w:val="en-US" w:eastAsia="zh-CN" w:bidi="ar"/>
        </w:rPr>
        <w:t>各次月</w:t>
      </w:r>
      <w:r>
        <w:rPr>
          <w:rFonts w:hint="eastAsia" w:ascii="宋体" w:hAnsi="宋体" w:eastAsia="宋体" w:cs="宋体"/>
          <w:color w:val="auto"/>
          <w:kern w:val="0"/>
          <w:sz w:val="24"/>
          <w:szCs w:val="24"/>
          <w:highlight w:val="none"/>
          <w:lang w:val="en-US" w:eastAsia="zh-CN" w:bidi="ar"/>
        </w:rPr>
        <w:t>工程进度款</w:t>
      </w:r>
      <w:r>
        <w:rPr>
          <w:rFonts w:hint="eastAsia" w:ascii="宋体" w:hAnsi="宋体" w:eastAsia="宋体" w:cs="宋体"/>
          <w:iCs/>
          <w:color w:val="auto"/>
          <w:kern w:val="0"/>
          <w:sz w:val="24"/>
          <w:szCs w:val="24"/>
          <w:highlight w:val="none"/>
          <w:lang w:val="en-US" w:eastAsia="zh-CN" w:bidi="ar"/>
        </w:rPr>
        <w:t>支付中，发包人从</w:t>
      </w:r>
      <w:r>
        <w:rPr>
          <w:rFonts w:hint="eastAsia" w:ascii="宋体" w:hAnsi="宋体" w:eastAsia="宋体" w:cs="宋体"/>
          <w:color w:val="auto"/>
          <w:kern w:val="0"/>
          <w:sz w:val="24"/>
          <w:szCs w:val="24"/>
          <w:highlight w:val="none"/>
          <w:lang w:val="en-US" w:eastAsia="zh-CN" w:bidi="ar"/>
        </w:rPr>
        <w:t>工程进度款</w:t>
      </w:r>
      <w:r>
        <w:rPr>
          <w:rFonts w:hint="eastAsia" w:ascii="宋体" w:hAnsi="宋体" w:eastAsia="宋体" w:cs="宋体"/>
          <w:iCs/>
          <w:color w:val="auto"/>
          <w:kern w:val="0"/>
          <w:sz w:val="24"/>
          <w:szCs w:val="24"/>
          <w:highlight w:val="none"/>
          <w:lang w:val="en-US" w:eastAsia="zh-CN" w:bidi="ar"/>
        </w:rPr>
        <w:t>中扣留10％的金额作为保留金，直至保留金的数额达到本合同价款的10％为止。</w:t>
      </w:r>
      <w:r>
        <w:rPr>
          <w:rFonts w:hint="eastAsia" w:ascii="宋体" w:hAnsi="宋体" w:eastAsia="宋体" w:cs="宋体"/>
          <w:b/>
          <w:bCs w:val="0"/>
          <w:iCs/>
          <w:color w:val="auto"/>
          <w:kern w:val="0"/>
          <w:sz w:val="24"/>
          <w:szCs w:val="24"/>
          <w:highlight w:val="none"/>
          <w:lang w:val="en-US" w:eastAsia="zh-CN" w:bidi="ar"/>
        </w:rPr>
        <w:t>同时，发包人按赞助权益回报占比扣减各次月工程进度款，直至扣减金额达到赞助权益回报中标金额为止。</w:t>
      </w:r>
    </w:p>
    <w:p w14:paraId="7545CE7C">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（5）承包人在申请支付</w:t>
      </w:r>
      <w:r>
        <w:rPr>
          <w:rFonts w:hint="eastAsia" w:ascii="宋体" w:hAnsi="宋体" w:eastAsia="宋体" w:cs="宋体"/>
          <w:iCs/>
          <w:color w:val="auto"/>
          <w:kern w:val="0"/>
          <w:sz w:val="24"/>
          <w:szCs w:val="24"/>
          <w:highlight w:val="none"/>
          <w:lang w:val="en-US" w:eastAsia="zh-CN" w:bidi="ar"/>
        </w:rPr>
        <w:t>各次月</w:t>
      </w:r>
      <w:r>
        <w:rPr>
          <w:rFonts w:hint="eastAsia" w:ascii="宋体" w:hAnsi="宋体" w:eastAsia="宋体" w:cs="宋体"/>
          <w:color w:val="auto"/>
          <w:kern w:val="0"/>
          <w:sz w:val="24"/>
          <w:szCs w:val="24"/>
          <w:highlight w:val="none"/>
          <w:lang w:val="en-US" w:eastAsia="zh-CN" w:bidi="ar"/>
        </w:rPr>
        <w:t>工程进度款</w:t>
      </w:r>
      <w:r>
        <w:rPr>
          <w:rFonts w:hint="eastAsia" w:ascii="宋体" w:hAnsi="宋体" w:eastAsia="宋体" w:cs="宋体"/>
          <w:iCs/>
          <w:color w:val="auto"/>
          <w:kern w:val="0"/>
          <w:sz w:val="24"/>
          <w:szCs w:val="24"/>
          <w:highlight w:val="none"/>
          <w:lang w:val="en-US" w:eastAsia="zh-CN" w:bidi="ar"/>
        </w:rPr>
        <w:t>时应连同工人工资、材料设备供货单位及分包单位（如有）的</w:t>
      </w:r>
      <w:r>
        <w:rPr>
          <w:rFonts w:hint="eastAsia" w:ascii="宋体" w:hAnsi="宋体" w:eastAsia="宋体" w:cs="宋体"/>
          <w:color w:val="auto"/>
          <w:kern w:val="0"/>
          <w:sz w:val="24"/>
          <w:szCs w:val="24"/>
          <w:highlight w:val="none"/>
          <w:lang w:val="en-US" w:eastAsia="zh-CN" w:bidi="ar"/>
        </w:rPr>
        <w:t>工程进度款</w:t>
      </w:r>
      <w:r>
        <w:rPr>
          <w:rFonts w:hint="eastAsia" w:ascii="宋体" w:hAnsi="宋体" w:eastAsia="宋体" w:cs="宋体"/>
          <w:iCs/>
          <w:color w:val="auto"/>
          <w:kern w:val="0"/>
          <w:sz w:val="24"/>
          <w:szCs w:val="24"/>
          <w:highlight w:val="none"/>
          <w:lang w:val="en-US" w:eastAsia="zh-CN" w:bidi="ar"/>
        </w:rPr>
        <w:t>一并申报，发包人有权要求承包人</w:t>
      </w:r>
      <w:r>
        <w:rPr>
          <w:rFonts w:hint="eastAsia" w:ascii="宋体" w:hAnsi="宋体" w:eastAsia="宋体" w:cs="宋体"/>
          <w:bCs/>
          <w:color w:val="auto"/>
          <w:kern w:val="0"/>
          <w:sz w:val="24"/>
          <w:szCs w:val="24"/>
          <w:highlight w:val="none"/>
          <w:lang w:val="en-US" w:eastAsia="zh-CN" w:bidi="ar"/>
        </w:rPr>
        <w:t>附上其上一次已支付上述单位价款凭证的复印件作为支持材料</w:t>
      </w:r>
      <w:r>
        <w:rPr>
          <w:rFonts w:hint="eastAsia" w:ascii="宋体" w:hAnsi="宋体" w:eastAsia="宋体" w:cs="宋体"/>
          <w:color w:val="auto"/>
          <w:kern w:val="0"/>
          <w:sz w:val="24"/>
          <w:szCs w:val="24"/>
          <w:highlight w:val="none"/>
          <w:lang w:val="en-US" w:eastAsia="zh-CN" w:bidi="ar"/>
        </w:rPr>
        <w:t>。若承包人未能提供上述支持材料或提交材料不齐的，发包人有权拒绝计量与支付。</w:t>
      </w:r>
    </w:p>
    <w:p w14:paraId="48CB42D5">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当所有款项累计支付达到本合同价款现金支付部分金额（不含暂列金额；不含原清单减少或未实施内容；不含现场组织实施管理费）的85%时，暂停支付除暂列金额、现场组织实施管理费外的所有款项。暂列金额的支付按合同专用条款第28.2（3）款的约定执行，现场组织实施管理费按合同专用条款第28.2（5）款的约定执行。</w:t>
      </w:r>
    </w:p>
    <w:p w14:paraId="6556F160">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本合同约定的工程全部完工且由承包人完成建设工程涉及到的工程质量验收、档案验收等，并取得相关验收主管部门出具的验收认可文件后，通过发包人组织的工程竣工验收合格后，发包人累计支付至本合同价款现金支付部分金额（不含暂列金额；不含原清单减少或未实施内容；不含现场组织实施管理费）的86%。</w:t>
      </w:r>
    </w:p>
    <w:p w14:paraId="48630E40">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80"/>
        <w:jc w:val="both"/>
        <w:rPr>
          <w:rFonts w:hint="eastAsia" w:ascii="宋体" w:hAnsi="宋体" w:eastAsia="宋体" w:cs="宋体"/>
          <w:strike/>
          <w:dstrike w:val="0"/>
          <w:color w:val="auto"/>
          <w:kern w:val="0"/>
          <w:sz w:val="24"/>
          <w:szCs w:val="24"/>
          <w:highlight w:val="none"/>
        </w:rPr>
      </w:pPr>
      <w:r>
        <w:rPr>
          <w:rFonts w:hint="eastAsia" w:ascii="宋体" w:hAnsi="宋体" w:eastAsia="宋体" w:cs="宋体"/>
          <w:strike/>
          <w:dstrike w:val="0"/>
          <w:color w:val="auto"/>
          <w:kern w:val="0"/>
          <w:sz w:val="24"/>
          <w:szCs w:val="24"/>
          <w:highlight w:val="none"/>
          <w:lang w:val="en-US" w:eastAsia="zh-CN" w:bidi="ar"/>
        </w:rPr>
        <w:t>（8）承包人完成建设工程竣工验收备案并取得批复的竣工验收备案意见且实体移交后，发包人累计支付至本合同价款（不含暂列金额；不含原清单减少或未实施内容；不含现场组织实施管理费）的87%。</w:t>
      </w:r>
    </w:p>
    <w:p w14:paraId="42708FB8">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9）承包人承包范围内的所有竣工结算资料按本合同约定及发包人下发相关管理办法的规定送至发包人后，发包人累计支付至本合同价款现金支付部分金额（不含暂列金额；不含原清单减少或未实施内容；不含现场组织实施管理费）的88%。</w:t>
      </w:r>
    </w:p>
    <w:p w14:paraId="257ACB87">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（10）竣工结算经发包人完成内审和移交竣工档案后，发包人累计支付至本合同价款现金支付部分金额（不含暂列金额；不含原清单减少或未实施内容；不含现场组织实施管理费）的89%。</w:t>
      </w:r>
    </w:p>
    <w:p w14:paraId="3F5FE7B6">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承包人承包范围内的所有竣工结算资料由承包人配合发包人送至有权结算终审部门后，发包人累计支付至本合同价款现金支付部分金额（不含暂列金额；不含原清单减少或未实施内容；不含现场组织实施管理费）的90%。</w:t>
      </w:r>
    </w:p>
    <w:p w14:paraId="0B017EE3">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6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12）本合同工程结算经有权结算终审部门定审、承包人按合同专用条款第35条约定完整移交工程竣工档案且不发生合同专用条款第38.10（3）、（4）款的违约情形的，发包人累计支付至本合同结算定审金额扣除赞助权益回报中标金额后的金额的97%，留下本合同结算定审金额扣除赞助权益回报中标金额后的金额的3%作为工程质量保证金并按如下约定方式支付：</w:t>
      </w:r>
    </w:p>
    <w:p w14:paraId="5CE8EF43">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6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缺陷责任期内，由承包人原因造成的缺陷，承包人应负责维修，并承担鉴定及维修费用；如承包人不维修也不承担费用，发包人可按合同约定扣除工程质量保证金，并由承包人承担违约责任；承包人维修并承担相应费用后，不免除承担对工程损失的赔偿责任。</w:t>
      </w:r>
    </w:p>
    <w:p w14:paraId="72FCECF3">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6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本工程若不涉及防水工程的，工程竣工验收合格后满2年，且承包人在缺陷责任期内未出现违约情形，发包人应在收到承包人的款项申请手续且扣除应扣除款项后14天内将质量保证金（本合同结算定审金额扣除赞助权益回报中标金额后的金额的3%）无息支付给承包人。</w:t>
      </w:r>
    </w:p>
    <w:p w14:paraId="135E66EB">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6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工程若涉及防水工程的，工程竣工验收合格后满2年，承包人应按要求向发包人提交合同结算定审金额扣除赞助权益回报中标金额后的金额的3%的质保期银行履约保函（保函期限等同于防水工程质保期），发包人应在收到质保期银行履约保函原件以及承包人的款项申请手续，扣除应扣款项且缺陷责任期届满后14天内将工程质量保证金（本合同结算定审金额扣除赞助权益回报中标金额后的金额的3%）无息支付给承包人。承包人承诺按照本合同约定的质量标准和目标，确保防水工程质量。在防水工程质量保修期内，如出现因防水工程质量问题导致建筑物渗水、漏水的，经维修后同一部位再次发生渗漏的，或渗漏水严重造成业主单位（或使用单位）损失的，均视为承包人对该承诺的违反，每出现1次，承包人应按合同约定承担1次严重违约责任，并赔偿业主单位（或使用单位）的损失；同时，在防水工程质保期（5年）届满后，承包人不存在违约情形或向发包人缴纳上述相关违约金及赔偿损失后，可向发包人申请退还质保期银行履约保函。</w:t>
      </w:r>
    </w:p>
    <w:p w14:paraId="3B890EB0">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6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结清工程尾款不豁免承包人继续按照本合同（含合同附件）约定应承担的保修责任。</w:t>
      </w:r>
    </w:p>
    <w:p w14:paraId="66924C5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13）发包人已支付的累计金额大于本合同结算定审金额扣除赞助权益回报中标金额后的金额的97%的，承包人应在工程结算定审之日起15日内向发包人返还多收的款项；否则，发包人有权向承包人追索，承包人除应足额返还多收的款项外，还应每天按多收款项总金额的2‰向发包人支付违约金。</w:t>
      </w:r>
    </w:p>
    <w:p w14:paraId="2D5ACA0B">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(14)</w:t>
      </w:r>
      <w:r>
        <w:rPr>
          <w:rFonts w:hint="eastAsia" w:ascii="宋体" w:hAnsi="宋体" w:eastAsia="宋体" w:cs="宋体"/>
          <w:color w:val="auto"/>
          <w:kern w:val="0"/>
          <w:sz w:val="22"/>
          <w:szCs w:val="22"/>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发包人在支付每期工程进度款时，如发现承包人存在欠缴违约金情形的，则发包人有权暂停支付承包人当期申请支付的进度款，直至承包人缴清违约金为止。</w:t>
      </w:r>
    </w:p>
    <w:p w14:paraId="271B9C0B">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28.2双方约定的工程进度款支付方式</w:t>
      </w:r>
    </w:p>
    <w:p w14:paraId="54DA59C3">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80"/>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（1）分部分项工程量清单项目</w:t>
      </w:r>
      <w:r>
        <w:rPr>
          <w:rFonts w:hint="eastAsia" w:ascii="宋体" w:hAnsi="宋体" w:eastAsia="宋体" w:cs="宋体"/>
          <w:color w:val="auto"/>
          <w:kern w:val="0"/>
          <w:sz w:val="24"/>
          <w:szCs w:val="24"/>
          <w:highlight w:val="none"/>
          <w:lang w:val="en-US" w:eastAsia="zh-CN" w:bidi="ar"/>
        </w:rPr>
        <w:t>工程进度款的支付方式</w:t>
      </w:r>
    </w:p>
    <w:p w14:paraId="165E797E">
      <w:pPr>
        <w:keepNext w:val="0"/>
        <w:keepLines w:val="0"/>
        <w:widowControl w:val="0"/>
        <w:suppressLineNumbers w:val="0"/>
        <w:adjustRightInd w:val="0"/>
        <w:snapToGrid w:val="0"/>
        <w:spacing w:before="0" w:beforeAutospacing="0" w:after="0" w:afterAutospacing="0" w:line="360" w:lineRule="auto"/>
        <w:ind w:left="0" w:right="11" w:firstLine="422" w:firstLineChars="200"/>
        <w:jc w:val="both"/>
        <w:outlineLvl w:val="5"/>
        <w:rPr>
          <w:rFonts w:hint="eastAsia" w:ascii="宋体" w:hAnsi="宋体" w:eastAsia="宋体" w:cs="宋体"/>
          <w:b/>
          <w:bCs w:val="0"/>
          <w:iCs/>
          <w:color w:val="auto"/>
          <w:kern w:val="0"/>
          <w:sz w:val="24"/>
          <w:szCs w:val="24"/>
          <w:highlight w:val="none"/>
        </w:rPr>
      </w:pP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宋体"/>
          <w:b/>
          <w:bCs w:val="0"/>
          <w:iCs/>
          <w:color w:val="auto"/>
          <w:kern w:val="0"/>
          <w:sz w:val="24"/>
          <w:szCs w:val="24"/>
          <w:highlight w:val="none"/>
          <w:lang w:val="en-US" w:eastAsia="zh-CN" w:bidi="ar"/>
        </w:rPr>
        <w:t xml:space="preserve"> 房屋建筑、装饰装修、机电安装及市政施工等项目：</w:t>
      </w:r>
    </w:p>
    <w:p w14:paraId="6A519BCC">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i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工程进度款以监理单位审核计量和发包人审定确认为准。承包人进场开工后，应依据每日申报的实物工程量完成统计报表在每月最后一日前统计上月25日至本月24日所发生的工作量，按工程量清单单价和取费标准，计算出已完工程价款，按规定格式编制工程进度款支付申请单报监理单位核实确认，并附上隐蔽工程验收记录作为支持材料。监理单位收到后，应在5天内审核并签署意见后报发包人，发包人在7天内审批完毕，</w:t>
      </w:r>
      <w:r>
        <w:rPr>
          <w:rFonts w:hint="eastAsia" w:ascii="宋体" w:hAnsi="宋体" w:eastAsia="宋体" w:cs="宋体"/>
          <w:iCs/>
          <w:color w:val="auto"/>
          <w:kern w:val="0"/>
          <w:sz w:val="24"/>
          <w:szCs w:val="24"/>
          <w:highlight w:val="none"/>
          <w:lang w:val="en-US" w:eastAsia="zh-CN" w:bidi="ar"/>
        </w:rPr>
        <w:t>并报政府有关部门办理统一拨付。</w:t>
      </w:r>
    </w:p>
    <w:p w14:paraId="54F05E1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2）工程进度款计算公式</w:t>
      </w:r>
    </w:p>
    <w:p w14:paraId="46D0CE49">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① 当期实际完成的工程进度款和已支付款（含预付款及由发包人预交的款项）累计总数＜合同清单内分部分项工程量清单计价×40%时</w:t>
      </w:r>
    </w:p>
    <w:p w14:paraId="5A2001FA">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当期可支付工程进度款＝承包人当期实际完成的工程进度款×90%</w:t>
      </w:r>
    </w:p>
    <w:p w14:paraId="15F7BE5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② 当期实际完成的工程进度款、已支付款（含预付款及由发包人预交的款项）累计总数≥合同清单内分部分项工程量清单计价×40%时，开始扣回预付款：</w:t>
      </w:r>
    </w:p>
    <w:p w14:paraId="0620FD8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当期可支付工程进度款＝承包人当期实际完成的工程进度款×90%-预付款总额×抵扣比例</w:t>
      </w:r>
    </w:p>
    <w:p w14:paraId="5BAE2C9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抵扣比例＝承包人当期实际完成的工程进度款中分部分项清单计价部分/（合同清单内分部分项工程量清单计价×40%）</w:t>
      </w:r>
    </w:p>
    <w:p w14:paraId="20CB10C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③ 当期实际完成的工程进度款、已支付款（含预付款及由发包人预交的款项）累计总数＝合同清单内分部分项工程量清单计价×80%时</w:t>
      </w:r>
    </w:p>
    <w:p w14:paraId="12C90F70">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当期可支付工程进度款＝承包人当期实际完成的工程进度款×90%-应扣预付款余额。</w:t>
      </w:r>
    </w:p>
    <w:p w14:paraId="6F8E990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④ 预付款扣清以后的工程进度款计算</w:t>
      </w:r>
    </w:p>
    <w:p w14:paraId="2F8EF54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5"/>
        <w:rPr>
          <w:rFonts w:hint="eastAsia" w:ascii="宋体" w:hAnsi="宋体" w:eastAsia="宋体" w:cs="宋体"/>
          <w:bCs/>
          <w:color w:val="auto"/>
          <w:kern w:val="2"/>
          <w:sz w:val="21"/>
          <w:szCs w:val="21"/>
          <w:highlight w:val="none"/>
        </w:rPr>
      </w:pPr>
      <w:r>
        <w:rPr>
          <w:rFonts w:hint="eastAsia" w:ascii="宋体" w:hAnsi="宋体" w:eastAsia="宋体" w:cs="宋体"/>
          <w:color w:val="auto"/>
          <w:kern w:val="0"/>
          <w:sz w:val="24"/>
          <w:szCs w:val="24"/>
          <w:highlight w:val="none"/>
          <w:lang w:val="en-US" w:eastAsia="zh-CN" w:bidi="ar"/>
        </w:rPr>
        <w:t>当期可支付工程进度款＝承包人当期实际完成的工程进度款×90%</w:t>
      </w:r>
    </w:p>
    <w:p w14:paraId="20522698">
      <w:pPr>
        <w:keepNext w:val="0"/>
        <w:keepLines w:val="0"/>
        <w:widowControl w:val="0"/>
        <w:suppressLineNumbers w:val="0"/>
        <w:adjustRightInd w:val="0"/>
        <w:snapToGrid w:val="0"/>
        <w:spacing w:before="0" w:beforeAutospacing="0" w:after="0" w:afterAutospacing="0" w:line="360" w:lineRule="auto"/>
        <w:ind w:left="0" w:right="11" w:firstLine="422" w:firstLineChars="200"/>
        <w:jc w:val="both"/>
        <w:outlineLvl w:val="5"/>
        <w:rPr>
          <w:rFonts w:hint="eastAsia" w:ascii="宋体" w:hAnsi="宋体" w:eastAsia="宋体" w:cs="宋体"/>
          <w:b/>
          <w:bCs w:val="0"/>
          <w:iCs/>
          <w:color w:val="auto"/>
          <w:kern w:val="0"/>
          <w:sz w:val="24"/>
          <w:szCs w:val="24"/>
          <w:highlight w:val="none"/>
        </w:rPr>
      </w:pP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宋体"/>
          <w:b/>
          <w:bCs w:val="0"/>
          <w:iCs/>
          <w:color w:val="auto"/>
          <w:kern w:val="0"/>
          <w:sz w:val="24"/>
          <w:szCs w:val="24"/>
          <w:highlight w:val="none"/>
          <w:lang w:val="en-US" w:eastAsia="zh-CN" w:bidi="ar"/>
        </w:rPr>
        <w:t xml:space="preserve"> 智能化工程项目：</w:t>
      </w:r>
    </w:p>
    <w:p w14:paraId="084C048B">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分部分项工程量清单项目的工程进度款支付分为三部分，第一部分为“关键材料设备表”中主材费的支付，第二部分为“关键材料设备表”中主材安装费的支付，第三部分为除“关键材料设备表”的主材费和安装费以外其他分部分项工程量清单项目价款的支付。</w:t>
      </w:r>
    </w:p>
    <w:p w14:paraId="0FC38505">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1）“关键材料设备表”中的主材费支付</w:t>
      </w:r>
    </w:p>
    <w:p w14:paraId="6D483031">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① 承包人与发包人签署本合同并且深化设计图纸和“关键材料设备表”经发包人审核通过，发包人应当在14天内向承包人支付金额为“关键材料设备表”中的主材费总价20%的定金。结算时，定金抵作合同价款。</w:t>
      </w:r>
    </w:p>
    <w:p w14:paraId="7D0161AD">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② 承包人应根据合同规定的交货计划将“关键材料设备表”中的主材运抵施工现场并负责有关的装卸和保管；承包人与发包人或发包人委派的单位将共同对到货材料设备进行开箱检查和清点，双方核实无误后签署到货清单及开箱检验清单。承包人凭到货清单及开箱检验清单申报工程进度款。</w:t>
      </w:r>
    </w:p>
    <w:p w14:paraId="62F42CAB">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③ 承包人应于每月5日前，按月申请支付实际到货的“关键材料设备表”中的主材费的到货款。经监理单位和发包人审核后，按月支付当月关键材料设备到货款的40%，计算公式为：</w:t>
      </w:r>
    </w:p>
    <w:p w14:paraId="76D5A5CD">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可支付的“关键材料设备表”中主材费的到货款＝承包人当月实际到货的“关键材料设备表”中的主材费累计价款×40%</w:t>
      </w:r>
    </w:p>
    <w:p w14:paraId="772F4339">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④ 承包人应于每月5日前，按月申请支付实际完成安装的“关键材料设备表”中的主材费的工程进度款。经监理单位和发包人审核后，按月支付“关键材料设备表”中主材费的10%。计算公式为：</w:t>
      </w:r>
    </w:p>
    <w:p w14:paraId="0CE2BEF6">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可支付的“关键材料设备表”中主材费的工程进度款＝承包人当月实际完成安装的“关键材料设备表”中的主材费累计价款×10%</w:t>
      </w:r>
    </w:p>
    <w:p w14:paraId="2E7540AA">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⑤ 承包人应于每月5日前，按月申请支付实际完成调试的子系统中属于“关键材料设备表”的主材费的工程进度款。经监理单位和发包人审核后，按月支付“关键材料设备表”中主材费的子系统调试完成工程进度款。计算公式为：</w:t>
      </w:r>
    </w:p>
    <w:p w14:paraId="4A2ABB5D">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可支付的“关键材料设备表”中主材费的子系统调试完成工程进度款＝承包人当月实际完成子系统调试的“关键材料设备表”中的主材费累计价款×10%</w:t>
      </w:r>
    </w:p>
    <w:p w14:paraId="4F835B34">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⑥ 当整个系统调试及联合调试完成后，发包人与承包人共同组织系统验收并签署系统调试及联合调试合格证书，承包人凭系统调试及联合调试合格证书申请支付“关键材料设备表”中主材费的联合调试完成工程进度款。经监理单位和发包人审核后，支付“关键材料设备表”中主材费的联合调试完成工程进度款。计算公式为：</w:t>
      </w:r>
    </w:p>
    <w:p w14:paraId="306E102B">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可支付的“关键材料设备表”中主材费的联合调试完成工程进度款＝“关键材料设备表”的主材费合计价款×5%</w:t>
      </w:r>
    </w:p>
    <w:p w14:paraId="443B8715">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⑦ 当“关键材料设备表”中主材费工程进度款累计支付达到“关键材料设备表”中的主材费的总价款的85%时，暂停支付“关键材料设备表”中的主材的工程进度款。</w:t>
      </w:r>
    </w:p>
    <w:p w14:paraId="17C8514F">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⑧ 在工程竣工结算确认且承包人按时完整移交工程竣工档案后，发包人付至关键材料设备表中的主材费结算造价的95%。</w:t>
      </w:r>
    </w:p>
    <w:p w14:paraId="7CFFBBCB">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⑨ 特殊情况下，发包人可以凭承包人与材料设备供货商所签订的供货合同，由发包人直接转付“关键材料设备表”中主材费给材料设备供货商，并纳入月“关键材料设备表”中的主材费工程进度款中统计“关键材料设备表”中的主材费月工程进度款。</w:t>
      </w:r>
    </w:p>
    <w:p w14:paraId="4504C946">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80"/>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bCs/>
          <w:color w:val="auto"/>
          <w:kern w:val="0"/>
          <w:sz w:val="24"/>
          <w:szCs w:val="24"/>
          <w:highlight w:val="none"/>
          <w:lang w:val="en-US" w:eastAsia="zh-CN" w:bidi="ar"/>
        </w:rPr>
        <w:t>“关键材料设备表”中的安装费支付</w:t>
      </w:r>
    </w:p>
    <w:p w14:paraId="51677318">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① 承包人应于每月5日前，按当月实际完成的“关键材料设备表”中主材安装的工程量申报安装费工程进度款，经监理单位和发包人审核后，支付“关键材料设备表”中主材的安装费的工程进度款。在支付该部分费用时发包人视情况扣回部分工程预付款。计算公式为：</w:t>
      </w:r>
    </w:p>
    <w:p w14:paraId="4DDEFB81">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可支付的当月“关键材料设备表”中主材安装费工程进度款＝承包人当月实际完成的“关键材料设备表”中主材安装费工程进度款×90%－发包人视情况扣回的部分工程预付款。</w:t>
      </w:r>
    </w:p>
    <w:p w14:paraId="1257F95E">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② 当“关键材料设备表”中主材安装费工程进度款累计支付达到“关键材料设备表”中的安装费的总价款的85%时，暂停支付“关键材料设备表”中的安装费的工程进度款。</w:t>
      </w:r>
    </w:p>
    <w:p w14:paraId="713D7233">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3）除“关键材料设备表”的主材费和安装费以外其他分部分项工程量清单项目价款的支付</w:t>
      </w:r>
    </w:p>
    <w:p w14:paraId="646A0E53">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① 承包人应于每月5日前，按当月完成的除“关键材料设备表”的主材费和安装费以外其他分部分项工程量清单项目的工程量申报工程进度款（以下简称该部分的分部分项工程量清单项目的工程进度款），经监理单位和发包人审核后，可予支付该部分的分部分项工程量清单项目的工程进度款，按规定办理相关手续。在支付该部分费用时发包人视情况扣回部分工程预付款。</w:t>
      </w:r>
    </w:p>
    <w:p w14:paraId="5EF213AB">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第一次支付该部分分部分项工程量清单项目工程进度款的计算公式：</w:t>
      </w:r>
    </w:p>
    <w:p w14:paraId="03DD6428">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可支付的该部分分部分项工程量清单工程进度款＝承包人当月实际完成的除“关键材料设备表”中主材费和安装费以外其他分部分项工程量清单项目的工程进度款×90%－发包人视情况扣回的部分工程预付款。</w:t>
      </w:r>
    </w:p>
    <w:p w14:paraId="410F1B20">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以后支付该部分分部分项工程量清单项目工程进度款的计算公式：</w:t>
      </w:r>
    </w:p>
    <w:p w14:paraId="7B48720F">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可支付的该部分分部分项工程量清单工程进度款＝承包人当月实际完成的除“关键材料设备表”中主材费和安装费以外其他分部分项工程量清单项目的工程进度款×90%－发包人视情况扣回的部分工程预付款。</w:t>
      </w:r>
    </w:p>
    <w:p w14:paraId="3604F6EF">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② 当该部分的分部分项工程量清单项目的工程进度款累计支付达到除“关键材料设备表”的主材费和安装费以外其他分部分项工程量清单项目的总价款的85%时，暂停支付该部分的分部分项工程量清单项目的工程进度款。</w:t>
      </w:r>
    </w:p>
    <w:p w14:paraId="4F60283D">
      <w:pPr>
        <w:keepNext w:val="0"/>
        <w:keepLines w:val="0"/>
        <w:widowControl w:val="0"/>
        <w:suppressLineNumbers w:val="0"/>
        <w:adjustRightInd w:val="0"/>
        <w:snapToGrid w:val="0"/>
        <w:spacing w:before="0" w:beforeAutospacing="0" w:after="0" w:afterAutospacing="0" w:line="360" w:lineRule="auto"/>
        <w:ind w:left="0" w:right="11" w:firstLine="420" w:firstLineChars="200"/>
        <w:jc w:val="both"/>
        <w:outlineLvl w:val="5"/>
        <w:rPr>
          <w:rFonts w:hint="eastAsia" w:ascii="宋体" w:hAnsi="宋体" w:eastAsia="宋体" w:cs="宋体"/>
          <w:b/>
          <w:bCs w:val="0"/>
          <w:iCs/>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iCs/>
          <w:color w:val="auto"/>
          <w:kern w:val="0"/>
          <w:sz w:val="24"/>
          <w:szCs w:val="24"/>
          <w:highlight w:val="none"/>
          <w:lang w:val="en-US" w:eastAsia="zh-CN" w:bidi="ar"/>
        </w:rPr>
        <w:t xml:space="preserve"> 园林绿化景观工程项目：</w:t>
      </w:r>
    </w:p>
    <w:p w14:paraId="6E047873">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i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工程进度款以监理单位审核计量和发包人审定确认为准。承包人进场开工后，应依据每日申报的实物工程量完成统计报表在每月最后一日前统计上月25日至本月24日所发生的工作量，按工程量清单单价和取费标准，计算出已完工程价款，按规定格式编制工程款支付申请单报监理单位核实确认。监理单位收到后，应在规定的时间内审核并签署意见后报发包人，发包人在7天内审批完毕，</w:t>
      </w:r>
      <w:r>
        <w:rPr>
          <w:rFonts w:hint="eastAsia" w:ascii="宋体" w:hAnsi="宋体" w:eastAsia="宋体" w:cs="宋体"/>
          <w:iCs/>
          <w:color w:val="auto"/>
          <w:kern w:val="0"/>
          <w:sz w:val="24"/>
          <w:szCs w:val="24"/>
          <w:highlight w:val="none"/>
          <w:lang w:val="en-US" w:eastAsia="zh-CN" w:bidi="ar"/>
        </w:rPr>
        <w:t>并报政府有关部门办理统一拨付。</w:t>
      </w:r>
    </w:p>
    <w:p w14:paraId="143B2022">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2）工程进度款计算公式</w:t>
      </w:r>
    </w:p>
    <w:p w14:paraId="2FCB715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ⅰ 除绿化工程外的其他所有工程的工程进度款计算公式</w:t>
      </w:r>
    </w:p>
    <w:p w14:paraId="3604E59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① 当期实际完成的工程进度款（不含绿化工程）、预付款和已支付款（不含绿化工程）累计总数＜（合同清单内分部分项工程量清单计价－绿化分部分项工程量清单计价）×40%时</w:t>
      </w:r>
    </w:p>
    <w:p w14:paraId="7EC98A8A">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当期可支付工程进度款＝承包人当期实际完成的工程进度款（不含绿化工程）×90%</w:t>
      </w:r>
    </w:p>
    <w:p w14:paraId="7ED9F17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② 当期实际完成的工程进度款（不含绿化工程）、预付款和已支付款（不含绿化工程）累计总数≥（合同清单内分部分项工程量清单计价－绿化分部分项工程量清单计价）×40%时，开始扣回预付款</w:t>
      </w:r>
    </w:p>
    <w:p w14:paraId="04C99C3C">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当期可支付工程进度款＝承包人当期实际完成的工程进度款（不含绿化工程）×90%－预付款总额×抵扣比例</w:t>
      </w:r>
    </w:p>
    <w:p w14:paraId="412D30EF">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抵扣比例＝承包人当期实际完成的工程进度款（不含绿化工程）中分部分项工程量清单计价部分/[（合同清单内分部分项工程量清单计价－绿化分部分项工程量清单计价）×40%]</w:t>
      </w:r>
    </w:p>
    <w:p w14:paraId="75B32D0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③ 当期实际完成的工程进度款（不含绿化工程）、预付款和已支付款（不含绿化工程）累计总数＝（合同清单内分部分项工程量清单计价－绿化分部分项工程量清单计价）×</w:t>
      </w:r>
      <w:r>
        <w:rPr>
          <w:rFonts w:hint="default" w:ascii="Times New Roman" w:hAnsi="Times New Roman" w:eastAsia="宋体" w:cs="Times New Roman"/>
          <w:color w:val="auto"/>
          <w:kern w:val="0"/>
          <w:sz w:val="24"/>
          <w:szCs w:val="24"/>
          <w:highlight w:val="none"/>
          <w:lang w:val="en-US" w:eastAsia="zh-CN" w:bidi="ar"/>
        </w:rPr>
        <w:t>80%</w:t>
      </w:r>
      <w:r>
        <w:rPr>
          <w:rFonts w:hint="eastAsia" w:ascii="宋体" w:hAnsi="宋体" w:eastAsia="宋体" w:cs="宋体"/>
          <w:color w:val="auto"/>
          <w:kern w:val="0"/>
          <w:sz w:val="24"/>
          <w:szCs w:val="24"/>
          <w:highlight w:val="none"/>
          <w:lang w:val="en-US" w:eastAsia="zh-CN" w:bidi="ar"/>
        </w:rPr>
        <w:t>时</w:t>
      </w:r>
    </w:p>
    <w:p w14:paraId="20FE9C78">
      <w:pPr>
        <w:pStyle w:val="3"/>
        <w:keepNext w:val="0"/>
        <w:keepLines w:val="0"/>
        <w:widowControl w:val="0"/>
        <w:suppressLineNumbers w:val="0"/>
        <w:autoSpaceDE w:val="0"/>
        <w:autoSpaceDN w:val="0"/>
        <w:adjustRightInd w:val="0"/>
        <w:snapToGrid w:val="0"/>
        <w:spacing w:before="0" w:beforeAutospacing="1" w:after="0" w:afterAutospacing="1" w:line="360" w:lineRule="auto"/>
        <w:ind w:left="0" w:leftChars="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当期可支付工程进度款＝承包人当期实际完成的工程进度款（不含绿化工程）×90%－应扣预付款余额</w:t>
      </w:r>
    </w:p>
    <w:p w14:paraId="27EDE55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④ 预付款扣清以后的工程进度款计算</w:t>
      </w:r>
    </w:p>
    <w:p w14:paraId="620A1D2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当期可支付工程进度款＝承包人当期实际完成的工程进度款（不含绿化工程）×90%</w:t>
      </w:r>
    </w:p>
    <w:p w14:paraId="3C705AC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ⅱ 绿化工程的工程进度款计算公式</w:t>
      </w:r>
    </w:p>
    <w:p w14:paraId="4DFE9F2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① 全部绿化种植完成前，当期可支付工程进度款＝承包人当期实际完成的绿化工程的工程进度款×70%</w:t>
      </w:r>
    </w:p>
    <w:p w14:paraId="6E7F14B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② 工程竣工验收合格后，累计支付至绿化工程分部分项工程量清单计价的85%。</w:t>
      </w:r>
    </w:p>
    <w:p w14:paraId="4148EF6A">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80"/>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（2）措施项目费和其他项目费的支付方式</w:t>
      </w:r>
    </w:p>
    <w:p w14:paraId="45F51214">
      <w:pPr>
        <w:keepNext w:val="0"/>
        <w:keepLines w:val="0"/>
        <w:widowControl w:val="0"/>
        <w:suppressLineNumbers w:val="0"/>
        <w:adjustRightInd w:val="0"/>
        <w:snapToGrid w:val="0"/>
        <w:spacing w:before="0" w:beforeAutospacing="0" w:after="0" w:afterAutospacing="0" w:line="300" w:lineRule="auto"/>
        <w:ind w:left="0" w:right="11"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1）措施项目费的支付</w:t>
      </w:r>
    </w:p>
    <w:tbl>
      <w:tblPr>
        <w:tblStyle w:val="4"/>
        <w:tblW w:w="7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80"/>
        <w:gridCol w:w="576"/>
        <w:gridCol w:w="2668"/>
        <w:gridCol w:w="3244"/>
      </w:tblGrid>
      <w:tr w14:paraId="006D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3B7B7EFF">
            <w:pPr>
              <w:keepNext w:val="0"/>
              <w:keepLines w:val="0"/>
              <w:widowControl/>
              <w:suppressLineNumbers w:val="0"/>
              <w:topLinePunct/>
              <w:adjustRightInd w:val="0"/>
              <w:snapToGrid w:val="0"/>
              <w:spacing w:before="156" w:beforeLines="50" w:beforeAutospacing="0" w:after="156" w:afterLines="50" w:afterAutospacing="0" w:line="271" w:lineRule="auto"/>
              <w:ind w:left="-1" w:leftChars="-28" w:right="-111" w:rightChars="-53" w:hanging="58" w:hangingChars="28"/>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选项</w:t>
            </w:r>
          </w:p>
        </w:tc>
        <w:tc>
          <w:tcPr>
            <w:tcW w:w="576" w:type="dxa"/>
            <w:tcBorders>
              <w:top w:val="single" w:color="auto" w:sz="4" w:space="0"/>
              <w:left w:val="nil"/>
              <w:bottom w:val="single" w:color="auto" w:sz="4" w:space="0"/>
              <w:right w:val="single" w:color="auto" w:sz="4" w:space="0"/>
            </w:tcBorders>
            <w:shd w:val="clear" w:color="auto" w:fill="auto"/>
            <w:vAlign w:val="center"/>
          </w:tcPr>
          <w:p w14:paraId="4FCB8B70">
            <w:pPr>
              <w:keepNext w:val="0"/>
              <w:keepLines w:val="0"/>
              <w:widowControl/>
              <w:suppressLineNumbers w:val="0"/>
              <w:adjustRightInd w:val="0"/>
              <w:snapToGrid w:val="0"/>
              <w:spacing w:before="0" w:beforeAutospacing="0" w:after="0" w:afterAutospacing="0" w:line="271" w:lineRule="auto"/>
              <w:ind w:left="0" w:leftChars="-21" w:right="-69" w:rightChars="-33" w:hanging="44" w:hangingChars="2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序号</w:t>
            </w:r>
          </w:p>
        </w:tc>
        <w:tc>
          <w:tcPr>
            <w:tcW w:w="2668" w:type="dxa"/>
            <w:tcBorders>
              <w:top w:val="single" w:color="auto" w:sz="4" w:space="0"/>
              <w:left w:val="nil"/>
              <w:bottom w:val="single" w:color="auto" w:sz="4" w:space="0"/>
              <w:right w:val="single" w:color="auto" w:sz="4" w:space="0"/>
            </w:tcBorders>
            <w:shd w:val="clear" w:color="auto" w:fill="auto"/>
            <w:vAlign w:val="center"/>
          </w:tcPr>
          <w:p w14:paraId="78806963">
            <w:pPr>
              <w:keepNext w:val="0"/>
              <w:keepLines w:val="0"/>
              <w:widowControl/>
              <w:suppressLineNumbers w:val="0"/>
              <w:adjustRightInd w:val="0"/>
              <w:snapToGrid w:val="0"/>
              <w:spacing w:before="0" w:beforeAutospacing="0" w:after="0" w:afterAutospacing="0" w:line="271"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项 目 名 称</w:t>
            </w:r>
          </w:p>
        </w:tc>
        <w:tc>
          <w:tcPr>
            <w:tcW w:w="3244" w:type="dxa"/>
            <w:tcBorders>
              <w:top w:val="single" w:color="auto" w:sz="4" w:space="0"/>
              <w:left w:val="nil"/>
              <w:bottom w:val="single" w:color="auto" w:sz="4" w:space="0"/>
              <w:right w:val="single" w:color="auto" w:sz="4" w:space="0"/>
            </w:tcBorders>
            <w:shd w:val="clear" w:color="auto" w:fill="auto"/>
            <w:vAlign w:val="center"/>
          </w:tcPr>
          <w:p w14:paraId="562ECBC8">
            <w:pPr>
              <w:keepNext w:val="0"/>
              <w:keepLines w:val="0"/>
              <w:widowControl/>
              <w:suppressLineNumbers w:val="0"/>
              <w:adjustRightInd w:val="0"/>
              <w:snapToGrid w:val="0"/>
              <w:spacing w:before="0" w:beforeAutospacing="0" w:after="0" w:afterAutospacing="0" w:line="271"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计 量 方 式</w:t>
            </w:r>
          </w:p>
        </w:tc>
      </w:tr>
      <w:tr w14:paraId="3E36E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0BB8F02">
            <w:pPr>
              <w:keepNext w:val="0"/>
              <w:keepLines w:val="0"/>
              <w:widowControl w:val="0"/>
              <w:suppressLineNumbers w:val="0"/>
              <w:adjustRightInd w:val="0"/>
              <w:snapToGrid w:val="0"/>
              <w:spacing w:before="0" w:beforeAutospacing="0" w:after="0" w:afterAutospacing="0" w:line="271"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576" w:type="dxa"/>
            <w:tcBorders>
              <w:top w:val="single" w:color="auto" w:sz="4" w:space="0"/>
              <w:left w:val="nil"/>
              <w:bottom w:val="single" w:color="auto" w:sz="4" w:space="0"/>
              <w:right w:val="single" w:color="auto" w:sz="4" w:space="0"/>
            </w:tcBorders>
            <w:shd w:val="clear" w:color="auto" w:fill="auto"/>
            <w:vAlign w:val="center"/>
          </w:tcPr>
          <w:p w14:paraId="3B744A34">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一</w:t>
            </w:r>
          </w:p>
        </w:tc>
        <w:tc>
          <w:tcPr>
            <w:tcW w:w="2668" w:type="dxa"/>
            <w:tcBorders>
              <w:top w:val="single" w:color="auto" w:sz="4" w:space="0"/>
              <w:left w:val="nil"/>
              <w:bottom w:val="single" w:color="auto" w:sz="4" w:space="0"/>
              <w:right w:val="single" w:color="auto" w:sz="4" w:space="0"/>
            </w:tcBorders>
            <w:shd w:val="clear" w:color="auto" w:fill="auto"/>
            <w:vAlign w:val="center"/>
          </w:tcPr>
          <w:p w14:paraId="3A86D2FE">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绿色施工安全防护措施费</w:t>
            </w:r>
          </w:p>
        </w:tc>
        <w:tc>
          <w:tcPr>
            <w:tcW w:w="3244" w:type="dxa"/>
            <w:tcBorders>
              <w:top w:val="single" w:color="auto" w:sz="4" w:space="0"/>
              <w:left w:val="nil"/>
              <w:bottom w:val="single" w:color="auto" w:sz="4" w:space="0"/>
              <w:right w:val="single" w:color="auto" w:sz="4" w:space="0"/>
            </w:tcBorders>
            <w:shd w:val="clear" w:color="auto" w:fill="auto"/>
            <w:vAlign w:val="center"/>
          </w:tcPr>
          <w:p w14:paraId="752F66E7">
            <w:pPr>
              <w:keepNext w:val="0"/>
              <w:keepLines w:val="0"/>
              <w:widowControl w:val="0"/>
              <w:suppressLineNumbers w:val="0"/>
              <w:adjustRightInd w:val="0"/>
              <w:snapToGrid w:val="0"/>
              <w:spacing w:before="0" w:beforeAutospacing="0" w:after="0" w:afterAutospacing="0" w:line="271" w:lineRule="auto"/>
              <w:ind w:left="0" w:right="0"/>
              <w:jc w:val="both"/>
              <w:rPr>
                <w:rFonts w:hint="eastAsia" w:ascii="宋体" w:hAnsi="宋体" w:eastAsia="宋体" w:cs="宋体"/>
                <w:color w:val="auto"/>
                <w:kern w:val="0"/>
                <w:sz w:val="21"/>
                <w:szCs w:val="21"/>
                <w:highlight w:val="none"/>
              </w:rPr>
            </w:pPr>
          </w:p>
        </w:tc>
      </w:tr>
      <w:tr w14:paraId="2A4D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2C77EB25">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576" w:type="dxa"/>
            <w:tcBorders>
              <w:top w:val="single" w:color="auto" w:sz="4" w:space="0"/>
              <w:left w:val="nil"/>
              <w:bottom w:val="single" w:color="auto" w:sz="4" w:space="0"/>
              <w:right w:val="single" w:color="auto" w:sz="4" w:space="0"/>
            </w:tcBorders>
            <w:shd w:val="clear" w:color="auto" w:fill="auto"/>
            <w:vAlign w:val="center"/>
          </w:tcPr>
          <w:p w14:paraId="1E82BA13">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2668" w:type="dxa"/>
            <w:tcBorders>
              <w:top w:val="single" w:color="auto" w:sz="4" w:space="0"/>
              <w:left w:val="nil"/>
              <w:bottom w:val="single" w:color="auto" w:sz="4" w:space="0"/>
              <w:right w:val="single" w:color="auto" w:sz="4" w:space="0"/>
            </w:tcBorders>
            <w:shd w:val="clear" w:color="auto" w:fill="auto"/>
            <w:vAlign w:val="center"/>
          </w:tcPr>
          <w:p w14:paraId="12F50AF7">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绿色施工安全防护措施费（按系数计算）</w:t>
            </w:r>
          </w:p>
        </w:tc>
        <w:tc>
          <w:tcPr>
            <w:tcW w:w="3244" w:type="dxa"/>
            <w:tcBorders>
              <w:top w:val="single" w:color="auto" w:sz="4" w:space="0"/>
              <w:left w:val="nil"/>
              <w:bottom w:val="single" w:color="auto" w:sz="4" w:space="0"/>
              <w:right w:val="single" w:color="auto" w:sz="4" w:space="0"/>
            </w:tcBorders>
            <w:shd w:val="clear" w:color="auto" w:fill="auto"/>
            <w:vAlign w:val="center"/>
          </w:tcPr>
          <w:p w14:paraId="6ED851CE">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该项价款的50%经发包人审查符合进场条件支付；40%以月度安全文明检查评价结果为依据按月平均支付；剩余10%在工程竣工安全评价合格后支付。</w:t>
            </w:r>
          </w:p>
        </w:tc>
      </w:tr>
      <w:tr w14:paraId="624C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DD53DF5">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576" w:type="dxa"/>
            <w:tcBorders>
              <w:top w:val="single" w:color="auto" w:sz="4" w:space="0"/>
              <w:left w:val="nil"/>
              <w:bottom w:val="single" w:color="auto" w:sz="4" w:space="0"/>
              <w:right w:val="single" w:color="auto" w:sz="4" w:space="0"/>
            </w:tcBorders>
            <w:shd w:val="clear" w:color="auto" w:fill="auto"/>
            <w:vAlign w:val="center"/>
          </w:tcPr>
          <w:p w14:paraId="26B5B92D">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2668" w:type="dxa"/>
            <w:tcBorders>
              <w:top w:val="single" w:color="auto" w:sz="4" w:space="0"/>
              <w:left w:val="nil"/>
              <w:bottom w:val="single" w:color="auto" w:sz="4" w:space="0"/>
              <w:right w:val="single" w:color="auto" w:sz="4" w:space="0"/>
            </w:tcBorders>
            <w:shd w:val="clear" w:color="auto" w:fill="auto"/>
            <w:vAlign w:val="center"/>
          </w:tcPr>
          <w:p w14:paraId="51DD3D39">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绿色施工安全防护措施费（按子目计算）</w:t>
            </w:r>
          </w:p>
        </w:tc>
        <w:tc>
          <w:tcPr>
            <w:tcW w:w="3244" w:type="dxa"/>
            <w:tcBorders>
              <w:top w:val="single" w:color="auto" w:sz="4" w:space="0"/>
              <w:left w:val="nil"/>
              <w:bottom w:val="single" w:color="auto" w:sz="4" w:space="0"/>
              <w:right w:val="single" w:color="auto" w:sz="4" w:space="0"/>
            </w:tcBorders>
            <w:shd w:val="clear" w:color="auto" w:fill="auto"/>
            <w:vAlign w:val="center"/>
          </w:tcPr>
          <w:p w14:paraId="4A02B6D8">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总价包干项目，按分部分项工程量清单项目的支付方式。</w:t>
            </w:r>
          </w:p>
        </w:tc>
      </w:tr>
      <w:tr w14:paraId="28E52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9CF46BA">
            <w:pPr>
              <w:keepNext w:val="0"/>
              <w:keepLines w:val="0"/>
              <w:widowControl w:val="0"/>
              <w:suppressLineNumbers w:val="0"/>
              <w:adjustRightInd w:val="0"/>
              <w:snapToGrid w:val="0"/>
              <w:spacing w:before="0" w:beforeAutospacing="0" w:after="0" w:afterAutospacing="0" w:line="271" w:lineRule="auto"/>
              <w:ind w:left="0" w:right="0"/>
              <w:jc w:val="center"/>
              <w:rPr>
                <w:rFonts w:hint="eastAsia" w:ascii="宋体" w:hAnsi="宋体" w:eastAsia="宋体" w:cs="宋体"/>
                <w:color w:val="auto"/>
                <w:kern w:val="0"/>
                <w:sz w:val="21"/>
                <w:szCs w:val="21"/>
                <w:highlight w:val="none"/>
              </w:rPr>
            </w:pPr>
          </w:p>
        </w:tc>
        <w:tc>
          <w:tcPr>
            <w:tcW w:w="576" w:type="dxa"/>
            <w:tcBorders>
              <w:top w:val="single" w:color="auto" w:sz="4" w:space="0"/>
              <w:left w:val="nil"/>
              <w:bottom w:val="single" w:color="auto" w:sz="4" w:space="0"/>
              <w:right w:val="single" w:color="auto" w:sz="4" w:space="0"/>
            </w:tcBorders>
            <w:shd w:val="clear" w:color="auto" w:fill="auto"/>
            <w:vAlign w:val="center"/>
          </w:tcPr>
          <w:p w14:paraId="78A09A07">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二</w:t>
            </w:r>
          </w:p>
        </w:tc>
        <w:tc>
          <w:tcPr>
            <w:tcW w:w="2668" w:type="dxa"/>
            <w:tcBorders>
              <w:top w:val="single" w:color="auto" w:sz="4" w:space="0"/>
              <w:left w:val="nil"/>
              <w:bottom w:val="single" w:color="auto" w:sz="4" w:space="0"/>
              <w:right w:val="single" w:color="auto" w:sz="4" w:space="0"/>
            </w:tcBorders>
            <w:shd w:val="clear" w:color="auto" w:fill="auto"/>
            <w:vAlign w:val="center"/>
          </w:tcPr>
          <w:p w14:paraId="355CE150">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其他措施项目费</w:t>
            </w:r>
          </w:p>
        </w:tc>
        <w:tc>
          <w:tcPr>
            <w:tcW w:w="3244" w:type="dxa"/>
            <w:tcBorders>
              <w:top w:val="single" w:color="auto" w:sz="4" w:space="0"/>
              <w:left w:val="nil"/>
              <w:bottom w:val="single" w:color="auto" w:sz="4" w:space="0"/>
              <w:right w:val="single" w:color="auto" w:sz="4" w:space="0"/>
            </w:tcBorders>
            <w:shd w:val="clear" w:color="auto" w:fill="auto"/>
            <w:vAlign w:val="center"/>
          </w:tcPr>
          <w:p w14:paraId="1E7BEF84">
            <w:pPr>
              <w:keepNext w:val="0"/>
              <w:keepLines w:val="0"/>
              <w:widowControl w:val="0"/>
              <w:suppressLineNumbers w:val="0"/>
              <w:adjustRightInd w:val="0"/>
              <w:snapToGrid w:val="0"/>
              <w:spacing w:before="0" w:beforeAutospacing="0" w:after="0" w:afterAutospacing="0" w:line="271" w:lineRule="auto"/>
              <w:ind w:left="0" w:right="0"/>
              <w:jc w:val="both"/>
              <w:rPr>
                <w:rFonts w:hint="eastAsia" w:ascii="宋体" w:hAnsi="宋体" w:eastAsia="宋体" w:cs="宋体"/>
                <w:color w:val="auto"/>
                <w:kern w:val="0"/>
                <w:sz w:val="21"/>
                <w:szCs w:val="21"/>
                <w:highlight w:val="none"/>
              </w:rPr>
            </w:pPr>
          </w:p>
        </w:tc>
      </w:tr>
      <w:tr w14:paraId="5E710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7A5024F8">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576" w:type="dxa"/>
            <w:tcBorders>
              <w:top w:val="single" w:color="auto" w:sz="4" w:space="0"/>
              <w:left w:val="nil"/>
              <w:bottom w:val="single" w:color="auto" w:sz="4" w:space="0"/>
              <w:right w:val="single" w:color="auto" w:sz="4" w:space="0"/>
            </w:tcBorders>
            <w:shd w:val="clear" w:color="auto" w:fill="auto"/>
            <w:vAlign w:val="center"/>
          </w:tcPr>
          <w:p w14:paraId="3D32E10E">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2668" w:type="dxa"/>
            <w:tcBorders>
              <w:top w:val="single" w:color="auto" w:sz="4" w:space="0"/>
              <w:left w:val="nil"/>
              <w:bottom w:val="single" w:color="auto" w:sz="4" w:space="0"/>
              <w:right w:val="single" w:color="auto" w:sz="4" w:space="0"/>
            </w:tcBorders>
            <w:shd w:val="clear" w:color="auto" w:fill="auto"/>
            <w:vAlign w:val="center"/>
          </w:tcPr>
          <w:p w14:paraId="31C84D8D">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脚手架搭拆及摊销费</w:t>
            </w:r>
          </w:p>
        </w:tc>
        <w:tc>
          <w:tcPr>
            <w:tcW w:w="3244" w:type="dxa"/>
            <w:tcBorders>
              <w:top w:val="single" w:color="auto" w:sz="4" w:space="0"/>
              <w:left w:val="nil"/>
              <w:bottom w:val="single" w:color="auto" w:sz="4" w:space="0"/>
              <w:right w:val="single" w:color="auto" w:sz="4" w:space="0"/>
            </w:tcBorders>
            <w:shd w:val="clear" w:color="auto" w:fill="auto"/>
            <w:vAlign w:val="center"/>
          </w:tcPr>
          <w:p w14:paraId="53D5E916">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总价包干项目，按分部分项工程量清单项目的支付方式。</w:t>
            </w:r>
          </w:p>
        </w:tc>
      </w:tr>
      <w:tr w14:paraId="12E72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41471CAB">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576" w:type="dxa"/>
            <w:tcBorders>
              <w:top w:val="single" w:color="auto" w:sz="4" w:space="0"/>
              <w:left w:val="nil"/>
              <w:bottom w:val="single" w:color="auto" w:sz="4" w:space="0"/>
              <w:right w:val="single" w:color="auto" w:sz="4" w:space="0"/>
            </w:tcBorders>
            <w:shd w:val="clear" w:color="auto" w:fill="auto"/>
            <w:vAlign w:val="center"/>
          </w:tcPr>
          <w:p w14:paraId="4D5DCE32">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2668" w:type="dxa"/>
            <w:tcBorders>
              <w:top w:val="single" w:color="auto" w:sz="4" w:space="0"/>
              <w:left w:val="nil"/>
              <w:bottom w:val="single" w:color="auto" w:sz="4" w:space="0"/>
              <w:right w:val="single" w:color="auto" w:sz="4" w:space="0"/>
            </w:tcBorders>
            <w:shd w:val="clear" w:color="auto" w:fill="auto"/>
            <w:vAlign w:val="center"/>
          </w:tcPr>
          <w:p w14:paraId="31A057F3">
            <w:pPr>
              <w:keepNext w:val="0"/>
              <w:keepLines w:val="0"/>
              <w:widowControl w:val="0"/>
              <w:suppressLineNumbers w:val="0"/>
              <w:topLinePunct/>
              <w:adjustRightInd w:val="0"/>
              <w:snapToGrid w:val="0"/>
              <w:spacing w:before="156" w:beforeLines="50" w:beforeAutospacing="0" w:after="156" w:afterLines="50" w:afterAutospacing="0" w:line="268" w:lineRule="auto"/>
              <w:ind w:left="0" w:right="0"/>
              <w:jc w:val="left"/>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为配合第三方检测所发生的费用</w:t>
            </w:r>
          </w:p>
        </w:tc>
        <w:tc>
          <w:tcPr>
            <w:tcW w:w="3244" w:type="dxa"/>
            <w:tcBorders>
              <w:top w:val="single" w:color="auto" w:sz="4" w:space="0"/>
              <w:left w:val="nil"/>
              <w:bottom w:val="single" w:color="auto" w:sz="4" w:space="0"/>
              <w:right w:val="single" w:color="auto" w:sz="4" w:space="0"/>
            </w:tcBorders>
            <w:shd w:val="clear" w:color="auto" w:fill="auto"/>
            <w:vAlign w:val="center"/>
          </w:tcPr>
          <w:p w14:paraId="02D3C282">
            <w:pPr>
              <w:keepNext w:val="0"/>
              <w:keepLines w:val="0"/>
              <w:widowControl w:val="0"/>
              <w:suppressLineNumbers w:val="0"/>
              <w:topLinePunct/>
              <w:adjustRightInd w:val="0"/>
              <w:snapToGrid w:val="0"/>
              <w:spacing w:before="156" w:beforeLines="50" w:beforeAutospacing="0" w:after="156" w:afterLines="50" w:afterAutospacing="0" w:line="268" w:lineRule="auto"/>
              <w:ind w:left="0" w:right="0"/>
              <w:jc w:val="left"/>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总价包干项目，按施工期分月平均支付。</w:t>
            </w:r>
          </w:p>
        </w:tc>
      </w:tr>
      <w:tr w14:paraId="7328E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80" w:type="dxa"/>
            <w:tcBorders>
              <w:top w:val="single" w:color="auto" w:sz="4" w:space="0"/>
              <w:left w:val="single" w:color="auto" w:sz="4" w:space="0"/>
              <w:bottom w:val="single" w:color="auto" w:sz="4" w:space="0"/>
              <w:right w:val="single" w:color="auto" w:sz="4" w:space="0"/>
            </w:tcBorders>
            <w:shd w:val="clear" w:color="auto" w:fill="auto"/>
            <w:vAlign w:val="center"/>
          </w:tcPr>
          <w:p w14:paraId="0A4E4163">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default" w:ascii="Calibri" w:hAnsi="Calibri" w:cs="Calibri"/>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576" w:type="dxa"/>
            <w:tcBorders>
              <w:top w:val="single" w:color="auto" w:sz="4" w:space="0"/>
              <w:left w:val="nil"/>
              <w:bottom w:val="single" w:color="auto" w:sz="4" w:space="0"/>
              <w:right w:val="single" w:color="auto" w:sz="4" w:space="0"/>
            </w:tcBorders>
            <w:shd w:val="clear" w:color="auto" w:fill="auto"/>
            <w:vAlign w:val="center"/>
          </w:tcPr>
          <w:p w14:paraId="4B114198">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2668" w:type="dxa"/>
            <w:tcBorders>
              <w:top w:val="single" w:color="auto" w:sz="4" w:space="0"/>
              <w:left w:val="nil"/>
              <w:bottom w:val="single" w:color="auto" w:sz="4" w:space="0"/>
              <w:right w:val="single" w:color="auto" w:sz="4" w:space="0"/>
            </w:tcBorders>
            <w:shd w:val="clear" w:color="auto" w:fill="auto"/>
            <w:vAlign w:val="center"/>
          </w:tcPr>
          <w:p w14:paraId="06CDEAFA">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其他措施费</w:t>
            </w:r>
          </w:p>
        </w:tc>
        <w:tc>
          <w:tcPr>
            <w:tcW w:w="3244" w:type="dxa"/>
            <w:tcBorders>
              <w:top w:val="single" w:color="auto" w:sz="4" w:space="0"/>
              <w:left w:val="nil"/>
              <w:bottom w:val="single" w:color="auto" w:sz="4" w:space="0"/>
              <w:right w:val="single" w:color="auto" w:sz="4" w:space="0"/>
            </w:tcBorders>
            <w:shd w:val="clear" w:color="auto" w:fill="auto"/>
            <w:vAlign w:val="center"/>
          </w:tcPr>
          <w:p w14:paraId="70A64596">
            <w:pPr>
              <w:keepNext w:val="0"/>
              <w:keepLines w:val="0"/>
              <w:widowControl w:val="0"/>
              <w:suppressLineNumbers w:val="0"/>
              <w:topLinePunct/>
              <w:adjustRightInd w:val="0"/>
              <w:snapToGrid w:val="0"/>
              <w:spacing w:before="156" w:beforeLines="50" w:beforeAutospacing="0" w:after="156" w:afterLines="50" w:afterAutospacing="0" w:line="271"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总价包干项目，按施工期分月平均支付。</w:t>
            </w:r>
          </w:p>
        </w:tc>
      </w:tr>
    </w:tbl>
    <w:p w14:paraId="5ED7D746">
      <w:pPr>
        <w:pStyle w:val="2"/>
        <w:widowControl/>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 xml:space="preserve"> </w:t>
      </w:r>
    </w:p>
    <w:p w14:paraId="22CA3610">
      <w:pPr>
        <w:keepNext w:val="0"/>
        <w:keepLines w:val="0"/>
        <w:widowControl w:val="0"/>
        <w:suppressLineNumbers w:val="0"/>
        <w:topLinePunct/>
        <w:adjustRightInd w:val="0"/>
        <w:snapToGrid w:val="0"/>
        <w:spacing w:before="156" w:beforeLines="50" w:beforeAutospacing="0" w:after="156" w:afterLines="50" w:afterAutospacing="0" w:line="300" w:lineRule="auto"/>
        <w:ind w:left="0" w:right="0" w:firstLine="420"/>
        <w:jc w:val="left"/>
        <w:outlineLvl w:val="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其他项目费的支付</w:t>
      </w:r>
    </w:p>
    <w:tbl>
      <w:tblPr>
        <w:tblStyle w:val="4"/>
        <w:tblW w:w="7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9"/>
        <w:gridCol w:w="761"/>
        <w:gridCol w:w="1612"/>
        <w:gridCol w:w="4324"/>
      </w:tblGrid>
      <w:tr w14:paraId="7E0F4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86" w:hRule="atLeast"/>
          <w:jc w:val="center"/>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77E27C82">
            <w:pPr>
              <w:keepNext w:val="0"/>
              <w:keepLines w:val="0"/>
              <w:widowControl/>
              <w:suppressLineNumbers w:val="0"/>
              <w:adjustRightInd w:val="0"/>
              <w:snapToGrid w:val="0"/>
              <w:spacing w:before="0" w:beforeAutospacing="0" w:after="0" w:afterAutospacing="0" w:line="300" w:lineRule="auto"/>
              <w:ind w:left="0" w:leftChars="-42" w:right="-143" w:rightChars="-68" w:hanging="88" w:hangingChars="42"/>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选项</w:t>
            </w:r>
          </w:p>
        </w:tc>
        <w:tc>
          <w:tcPr>
            <w:tcW w:w="761" w:type="dxa"/>
            <w:tcBorders>
              <w:top w:val="single" w:color="auto" w:sz="4" w:space="0"/>
              <w:left w:val="nil"/>
              <w:bottom w:val="single" w:color="auto" w:sz="4" w:space="0"/>
              <w:right w:val="single" w:color="auto" w:sz="4" w:space="0"/>
            </w:tcBorders>
            <w:shd w:val="clear" w:color="auto" w:fill="auto"/>
            <w:vAlign w:val="center"/>
          </w:tcPr>
          <w:p w14:paraId="155138F9">
            <w:pPr>
              <w:keepNext w:val="0"/>
              <w:keepLines w:val="0"/>
              <w:widowControl/>
              <w:suppressLineNumbers w:val="0"/>
              <w:adjustRightInd w:val="0"/>
              <w:snapToGrid w:val="0"/>
              <w:spacing w:before="0" w:beforeAutospacing="0" w:after="0" w:afterAutospacing="0" w:line="300" w:lineRule="auto"/>
              <w:ind w:left="0" w:leftChars="-54" w:right="-109" w:rightChars="-52" w:hanging="113" w:hangingChars="54"/>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序号</w:t>
            </w:r>
          </w:p>
        </w:tc>
        <w:tc>
          <w:tcPr>
            <w:tcW w:w="1612" w:type="dxa"/>
            <w:tcBorders>
              <w:top w:val="single" w:color="auto" w:sz="4" w:space="0"/>
              <w:left w:val="nil"/>
              <w:bottom w:val="single" w:color="auto" w:sz="4" w:space="0"/>
              <w:right w:val="single" w:color="auto" w:sz="4" w:space="0"/>
            </w:tcBorders>
            <w:shd w:val="clear" w:color="auto" w:fill="auto"/>
            <w:vAlign w:val="center"/>
          </w:tcPr>
          <w:p w14:paraId="6899536D">
            <w:pPr>
              <w:keepNext w:val="0"/>
              <w:keepLines w:val="0"/>
              <w:widowControl/>
              <w:suppressLineNumbers w:val="0"/>
              <w:adjustRightInd w:val="0"/>
              <w:snapToGrid w:val="0"/>
              <w:spacing w:before="0" w:beforeAutospacing="0" w:after="0" w:afterAutospacing="0" w:line="300" w:lineRule="auto"/>
              <w:ind w:left="0" w:right="-107" w:rightChars="-5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项 目 名 称</w:t>
            </w:r>
          </w:p>
        </w:tc>
        <w:tc>
          <w:tcPr>
            <w:tcW w:w="4324" w:type="dxa"/>
            <w:tcBorders>
              <w:top w:val="single" w:color="auto" w:sz="4" w:space="0"/>
              <w:left w:val="nil"/>
              <w:bottom w:val="single" w:color="auto" w:sz="4" w:space="0"/>
              <w:right w:val="single" w:color="auto" w:sz="4" w:space="0"/>
            </w:tcBorders>
            <w:shd w:val="clear" w:color="auto" w:fill="auto"/>
            <w:vAlign w:val="center"/>
          </w:tcPr>
          <w:p w14:paraId="351A1647">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计 量 方 式</w:t>
            </w:r>
          </w:p>
        </w:tc>
      </w:tr>
      <w:tr w14:paraId="3118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5EDF4AF0">
            <w:pPr>
              <w:keepNext w:val="0"/>
              <w:keepLines w:val="0"/>
              <w:widowControl w:val="0"/>
              <w:suppressLineNumbers w:val="0"/>
              <w:topLinePunct/>
              <w:adjustRightInd w:val="0"/>
              <w:snapToGrid w:val="0"/>
              <w:spacing w:before="156" w:beforeLines="50" w:beforeAutospacing="0" w:after="156" w:afterLines="50" w:afterAutospacing="0"/>
              <w:ind w:left="0" w:right="0"/>
              <w:jc w:val="center"/>
              <w:outlineLvl w:val="1"/>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761" w:type="dxa"/>
            <w:tcBorders>
              <w:top w:val="single" w:color="auto" w:sz="4" w:space="0"/>
              <w:left w:val="nil"/>
              <w:bottom w:val="single" w:color="auto" w:sz="4" w:space="0"/>
              <w:right w:val="single" w:color="auto" w:sz="4" w:space="0"/>
            </w:tcBorders>
            <w:shd w:val="clear" w:color="auto" w:fill="auto"/>
            <w:vAlign w:val="center"/>
          </w:tcPr>
          <w:p w14:paraId="13443168">
            <w:pPr>
              <w:keepNext w:val="0"/>
              <w:keepLines w:val="0"/>
              <w:widowControl/>
              <w:suppressLineNumbers w:val="0"/>
              <w:topLinePunct/>
              <w:adjustRightInd w:val="0"/>
              <w:snapToGrid w:val="0"/>
              <w:spacing w:before="156" w:beforeLines="50" w:beforeAutospacing="0" w:after="156" w:afterLines="50" w:afterAutospacing="0" w:line="300"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1612" w:type="dxa"/>
            <w:tcBorders>
              <w:top w:val="single" w:color="auto" w:sz="4" w:space="0"/>
              <w:left w:val="nil"/>
              <w:bottom w:val="single" w:color="auto" w:sz="4" w:space="0"/>
              <w:right w:val="single" w:color="auto" w:sz="4" w:space="0"/>
            </w:tcBorders>
            <w:shd w:val="clear" w:color="auto" w:fill="auto"/>
            <w:vAlign w:val="center"/>
          </w:tcPr>
          <w:p w14:paraId="3F7527B4">
            <w:pPr>
              <w:keepNext w:val="0"/>
              <w:keepLines w:val="0"/>
              <w:widowControl/>
              <w:suppressLineNumbers w:val="0"/>
              <w:topLinePunct/>
              <w:adjustRightInd w:val="0"/>
              <w:snapToGrid w:val="0"/>
              <w:spacing w:before="156" w:beforeLines="50" w:beforeAutospacing="0" w:after="156" w:afterLines="50" w:afterAutospacing="0" w:line="300" w:lineRule="auto"/>
              <w:ind w:left="0" w:right="0"/>
              <w:jc w:val="left"/>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预算包干费</w:t>
            </w:r>
          </w:p>
        </w:tc>
        <w:tc>
          <w:tcPr>
            <w:tcW w:w="4324" w:type="dxa"/>
            <w:tcBorders>
              <w:top w:val="single" w:color="auto" w:sz="4" w:space="0"/>
              <w:left w:val="nil"/>
              <w:bottom w:val="single" w:color="auto" w:sz="4" w:space="0"/>
              <w:right w:val="single" w:color="auto" w:sz="4" w:space="0"/>
            </w:tcBorders>
            <w:shd w:val="clear" w:color="auto" w:fill="auto"/>
            <w:vAlign w:val="center"/>
          </w:tcPr>
          <w:p w14:paraId="23F9B3EB">
            <w:pPr>
              <w:keepNext w:val="0"/>
              <w:keepLines w:val="0"/>
              <w:widowControl/>
              <w:suppressLineNumbers w:val="0"/>
              <w:topLinePunct/>
              <w:adjustRightInd w:val="0"/>
              <w:snapToGrid w:val="0"/>
              <w:spacing w:before="156" w:beforeLines="50" w:beforeAutospacing="0" w:after="156" w:afterLines="50" w:afterAutospacing="0" w:line="300" w:lineRule="auto"/>
              <w:ind w:left="0" w:right="0"/>
              <w:jc w:val="left"/>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总价包干项目，按施工期分月平均支付。</w:t>
            </w:r>
          </w:p>
        </w:tc>
      </w:tr>
      <w:tr w14:paraId="42DF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jc w:val="center"/>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325186F7">
            <w:pPr>
              <w:keepNext w:val="0"/>
              <w:keepLines w:val="0"/>
              <w:widowControl w:val="0"/>
              <w:suppressLineNumbers w:val="0"/>
              <w:topLinePunct/>
              <w:adjustRightInd w:val="0"/>
              <w:snapToGrid w:val="0"/>
              <w:spacing w:before="156" w:beforeLines="50" w:beforeAutospacing="0" w:after="156" w:afterLines="50" w:afterAutospacing="0" w:line="300" w:lineRule="auto"/>
              <w:ind w:left="0" w:right="0"/>
              <w:jc w:val="center"/>
              <w:outlineLvl w:val="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761" w:type="dxa"/>
            <w:tcBorders>
              <w:top w:val="single" w:color="auto" w:sz="4" w:space="0"/>
              <w:left w:val="nil"/>
              <w:bottom w:val="single" w:color="auto" w:sz="4" w:space="0"/>
              <w:right w:val="single" w:color="auto" w:sz="4" w:space="0"/>
            </w:tcBorders>
            <w:shd w:val="clear" w:color="auto" w:fill="auto"/>
            <w:vAlign w:val="center"/>
          </w:tcPr>
          <w:p w14:paraId="72A2F4B6">
            <w:pPr>
              <w:keepNext w:val="0"/>
              <w:keepLines w:val="0"/>
              <w:widowControl/>
              <w:suppressLineNumbers w:val="0"/>
              <w:topLinePunct/>
              <w:adjustRightInd w:val="0"/>
              <w:snapToGrid w:val="0"/>
              <w:spacing w:before="156" w:beforeLines="50" w:beforeAutospacing="0" w:after="156" w:afterLines="50" w:afterAutospacing="0" w:line="300"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p>
        </w:tc>
        <w:tc>
          <w:tcPr>
            <w:tcW w:w="1612" w:type="dxa"/>
            <w:tcBorders>
              <w:top w:val="single" w:color="auto" w:sz="4" w:space="0"/>
              <w:left w:val="nil"/>
              <w:bottom w:val="single" w:color="auto" w:sz="4" w:space="0"/>
              <w:right w:val="single" w:color="auto" w:sz="4" w:space="0"/>
            </w:tcBorders>
            <w:shd w:val="clear" w:color="auto" w:fill="auto"/>
            <w:vAlign w:val="center"/>
          </w:tcPr>
          <w:p w14:paraId="524A4082">
            <w:pPr>
              <w:keepNext w:val="0"/>
              <w:keepLines w:val="0"/>
              <w:widowControl w:val="0"/>
              <w:suppressLineNumbers w:val="0"/>
              <w:topLinePunct/>
              <w:adjustRightInd w:val="0"/>
              <w:snapToGrid w:val="0"/>
              <w:spacing w:before="156" w:beforeLines="50" w:beforeAutospacing="0" w:after="156" w:afterLines="50" w:afterAutospacing="0" w:line="268" w:lineRule="auto"/>
              <w:ind w:left="0" w:right="0"/>
              <w:jc w:val="left"/>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运行维护管理费用</w:t>
            </w:r>
          </w:p>
        </w:tc>
        <w:tc>
          <w:tcPr>
            <w:tcW w:w="4324" w:type="dxa"/>
            <w:tcBorders>
              <w:top w:val="single" w:color="auto" w:sz="4" w:space="0"/>
              <w:left w:val="nil"/>
              <w:bottom w:val="single" w:color="auto" w:sz="4" w:space="0"/>
              <w:right w:val="single" w:color="auto" w:sz="4" w:space="0"/>
            </w:tcBorders>
            <w:shd w:val="clear" w:color="auto" w:fill="auto"/>
            <w:vAlign w:val="center"/>
          </w:tcPr>
          <w:p w14:paraId="1DF3E08A">
            <w:pPr>
              <w:keepNext w:val="0"/>
              <w:keepLines w:val="0"/>
              <w:widowControl w:val="0"/>
              <w:suppressLineNumbers w:val="0"/>
              <w:topLinePunct/>
              <w:adjustRightInd w:val="0"/>
              <w:snapToGrid w:val="0"/>
              <w:spacing w:before="156" w:beforeLines="50" w:beforeAutospacing="0" w:after="156" w:afterLines="50" w:afterAutospacing="0" w:line="268" w:lineRule="auto"/>
              <w:ind w:left="0" w:right="0"/>
              <w:jc w:val="left"/>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按月综合单价包干，按实际时间计量（暂定为6个月）。不足一个月的，该部分费用=月综合单价÷30天×天数。该综合单价成本参考价格为1万元/月，实施过程承包人必须严格按照招标文件及发包人要求执行，承包人不得因此提出调价要求；如该项目不实施，则按成本参考扣除。</w:t>
            </w:r>
          </w:p>
        </w:tc>
      </w:tr>
      <w:tr w14:paraId="239A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jc w:val="center"/>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14:paraId="79ED45E2">
            <w:pPr>
              <w:keepNext w:val="0"/>
              <w:keepLines w:val="0"/>
              <w:widowControl w:val="0"/>
              <w:suppressLineNumbers w:val="0"/>
              <w:topLinePunct/>
              <w:adjustRightInd w:val="0"/>
              <w:snapToGrid w:val="0"/>
              <w:spacing w:before="156" w:beforeLines="50" w:beforeAutospacing="0" w:after="156" w:afterLines="50" w:afterAutospacing="0" w:line="300" w:lineRule="auto"/>
              <w:ind w:left="0" w:right="0"/>
              <w:jc w:val="center"/>
              <w:outlineLvl w:val="1"/>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w:t>
            </w:r>
          </w:p>
        </w:tc>
        <w:tc>
          <w:tcPr>
            <w:tcW w:w="761" w:type="dxa"/>
            <w:tcBorders>
              <w:top w:val="single" w:color="auto" w:sz="4" w:space="0"/>
              <w:left w:val="nil"/>
              <w:bottom w:val="single" w:color="auto" w:sz="4" w:space="0"/>
              <w:right w:val="single" w:color="auto" w:sz="4" w:space="0"/>
            </w:tcBorders>
            <w:shd w:val="clear" w:color="auto" w:fill="auto"/>
            <w:vAlign w:val="center"/>
          </w:tcPr>
          <w:p w14:paraId="59D15862">
            <w:pPr>
              <w:keepNext w:val="0"/>
              <w:keepLines w:val="0"/>
              <w:widowControl/>
              <w:suppressLineNumbers w:val="0"/>
              <w:topLinePunct/>
              <w:adjustRightInd w:val="0"/>
              <w:snapToGrid w:val="0"/>
              <w:spacing w:before="156" w:beforeLines="50" w:beforeAutospacing="0" w:after="156" w:afterLines="50" w:afterAutospacing="0" w:line="300" w:lineRule="auto"/>
              <w:ind w:left="0" w:right="0"/>
              <w:jc w:val="center"/>
              <w:outlineLvl w:val="1"/>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1612" w:type="dxa"/>
            <w:tcBorders>
              <w:top w:val="single" w:color="auto" w:sz="4" w:space="0"/>
              <w:left w:val="nil"/>
              <w:bottom w:val="single" w:color="auto" w:sz="4" w:space="0"/>
              <w:right w:val="single" w:color="auto" w:sz="4" w:space="0"/>
            </w:tcBorders>
            <w:shd w:val="clear" w:color="auto" w:fill="auto"/>
            <w:vAlign w:val="center"/>
          </w:tcPr>
          <w:p w14:paraId="3C6917D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工程保险费（</w:t>
            </w:r>
            <w:r>
              <w:rPr>
                <w:rFonts w:hint="eastAsia" w:ascii="宋体" w:hAnsi="宋体" w:eastAsia="宋体" w:cs="宋体"/>
                <w:color w:val="auto"/>
                <w:kern w:val="0"/>
                <w:sz w:val="21"/>
                <w:szCs w:val="21"/>
                <w:highlight w:val="none"/>
                <w:lang w:val="en-US" w:eastAsia="zh-CN" w:bidi="ar"/>
              </w:rPr>
              <w:t xml:space="preserve">仅指建筑（安装）一切险、安全生产责任险中第三者人身伤亡和财产损失赔偿等保险及其他保险 </w:t>
            </w:r>
            <w:r>
              <w:rPr>
                <w:rFonts w:hint="eastAsia" w:ascii="宋体" w:hAnsi="宋体" w:eastAsia="宋体" w:cs="宋体"/>
                <w:color w:val="auto"/>
                <w:kern w:val="2"/>
                <w:sz w:val="21"/>
                <w:szCs w:val="21"/>
                <w:highlight w:val="none"/>
                <w:lang w:val="en-US" w:eastAsia="zh-CN" w:bidi="ar"/>
              </w:rPr>
              <w:t>）</w:t>
            </w:r>
          </w:p>
        </w:tc>
        <w:tc>
          <w:tcPr>
            <w:tcW w:w="4324" w:type="dxa"/>
            <w:tcBorders>
              <w:top w:val="single" w:color="auto" w:sz="4" w:space="0"/>
              <w:left w:val="nil"/>
              <w:bottom w:val="single" w:color="auto" w:sz="4" w:space="0"/>
              <w:right w:val="single" w:color="auto" w:sz="4" w:space="0"/>
            </w:tcBorders>
            <w:shd w:val="clear" w:color="auto" w:fill="auto"/>
            <w:vAlign w:val="center"/>
          </w:tcPr>
          <w:p w14:paraId="54AD07E8">
            <w:pPr>
              <w:keepNext w:val="0"/>
              <w:keepLines w:val="0"/>
              <w:widowControl w:val="0"/>
              <w:suppressLineNumbers w:val="0"/>
              <w:topLinePunct/>
              <w:adjustRightInd w:val="0"/>
              <w:snapToGrid w:val="0"/>
              <w:spacing w:before="156" w:beforeLines="50" w:beforeAutospacing="0" w:after="156" w:afterLines="50" w:afterAutospacing="0" w:line="268" w:lineRule="auto"/>
              <w:ind w:left="0" w:right="0"/>
              <w:jc w:val="left"/>
              <w:outlineLvl w:val="1"/>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按实际保费单据结算，该保险费结算价不得超过招标控制价公布函中的对应金额。承包人提供符合合同约定的投保证明资料且概算批复后，可申请支付该保险费，发包人审核合格后支付该保险费的85%，该保险费经有权结算终审部门审定后，发包人支付剩余金额。</w:t>
            </w:r>
          </w:p>
        </w:tc>
      </w:tr>
    </w:tbl>
    <w:p w14:paraId="124374DE">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5CDC02A">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3）若发生上述表格以外的措施项目和其他项目，由双方根据实际情况协商确定。不发生的项目不予支付及结算计量。</w:t>
      </w:r>
    </w:p>
    <w:p w14:paraId="14D6FAE8">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4）按施工期分月平均支付的措施项目费和其他项目费，第一期支付款应在相应项目开始实施之后才支付。</w:t>
      </w:r>
    </w:p>
    <w:p w14:paraId="151D562A">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200"/>
        <w:jc w:val="both"/>
        <w:outlineLvl w:val="4"/>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（3）暂列金额的支付方式</w:t>
      </w:r>
    </w:p>
    <w:p w14:paraId="31EBB325">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当分部分项工程量清单项目工程款（含预付款等）累计支付超过分部分项工程量清单计价中现金支付部分所占份额相应金额的90%时，当超出的变更部分费用小于合同分部分项工程量清单计价中现金支付部分所占份额相应金额的10%时，超出的部分从暂列金额中支付，支付方式仍按分部分项工程量清单项目的月进度款的支付方式执行。</w:t>
      </w:r>
    </w:p>
    <w:p w14:paraId="0FF4B3CE">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措施项目清单费用的进度款累计支付超过措施项目清单计价中现金支付部分所占份额相应金额的90%时，当超出的变更部分费用小于措施项目清单计价中现金支付部分所占份额相应金额的10%时，超出部分从暂列金额中支付，支付方式仍按措施项目清单费的支付方式执行。</w:t>
      </w:r>
    </w:p>
    <w:p w14:paraId="4794160F">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其他项目清单费用的进度款累计支付超过其他项目清单计价中现金支付部分所占份额相应金额的90%时，当超出的变更部分费用小于其他项目清单计价中现金支付部分所占份额相应金额的10%时，超出部分从暂列金额中支付，支付方式仍按其他项目清单费的支付方式执行。</w:t>
      </w:r>
    </w:p>
    <w:p w14:paraId="757956C3">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（4）税金项目的支付方式</w:t>
      </w:r>
    </w:p>
    <w:p w14:paraId="0135CF6C">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税金按政府、广东及广州地区税务部门有关规定计算，根据当期进度款按月支付。</w:t>
      </w:r>
    </w:p>
    <w:p w14:paraId="397ACDAC">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（5）现场组织实施管理费及其支付方式</w:t>
      </w:r>
    </w:p>
    <w:p w14:paraId="775D6DEF">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现场组织实施管理费以月为单位，进行计量支付。现场组织实施管理费的支付标准为：项目经理3万元/月；技术负责人2万元/月；专职安全员1万元/月。在支付工程预付款时，按上述标准扣减此项费用；在支付进度款时，按上述标准支付此项费用。（说明：该费用已包含在合同价款中，是发包人向承包人支付本项目现场组织实施管理费的依据，不作为承包人向上述相关人员支付工资费用的标准。）</w:t>
      </w:r>
    </w:p>
    <w:p w14:paraId="2E6867D7">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在施工期内，如承包人的上述相关人员在一个月内经监理单位、发包人书面确认的现场办公管理天数不低于20个日历天，则相应人员在该月的现场组织实施管理费予以全额支付；如低于20个日历天，则相应人员在该月的现场组织实施管理费不予支付，结算时相应扣除。</w:t>
      </w:r>
    </w:p>
    <w:p w14:paraId="229339AD">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3）对承包人主要技术及管理人员驻场办公时间进行考核，考核结果作为管理费支付依据，考核须由总监理工程师及发包人现场代表书面签名确认。</w:t>
      </w:r>
    </w:p>
    <w:p w14:paraId="6EE119CC">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当发包人累计支付达到现场组织实施管理费总额（扣除不予支付部分）的85%时暂停支付，剩余费用按合同专用条款第28.1（7）、28.1（9）、28.1（10）、28.1（11）、28.1（12）款约定的支付比例支付。</w:t>
      </w:r>
    </w:p>
    <w:p w14:paraId="65CBC775">
      <w:pPr>
        <w:pStyle w:val="3"/>
        <w:keepNext w:val="0"/>
        <w:keepLines w:val="0"/>
        <w:widowControl w:val="0"/>
        <w:suppressLineNumbers w:val="0"/>
        <w:adjustRightInd w:val="0"/>
        <w:snapToGrid w:val="0"/>
        <w:spacing w:before="0" w:beforeAutospacing="0" w:after="0" w:afterAutospacing="0" w:line="360" w:lineRule="auto"/>
        <w:ind w:left="0" w:right="0" w:firstLine="42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iCs/>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28.3若本工程含有甲招乙供材料设备，承包人应严格按照本合同、招标文件及与甲招乙供材料设备供应商所签合同的约定及时审核、申请支付甲招乙供材料设备进度款（含到货款、安装调试验收款、竣工验收款、质量保证金），并在银行的监控下，按照发包人的要求直接将甲招乙供材料设备款项按合同专用条款第30.7（8）款的约定支付给材料设备供应商，否则应按合同专用条款第38.15款承担违约责任。</w:t>
      </w:r>
    </w:p>
    <w:p w14:paraId="04921E52">
      <w:pPr>
        <w:pStyle w:val="3"/>
        <w:keepNext w:val="0"/>
        <w:keepLines w:val="0"/>
        <w:widowControl w:val="0"/>
        <w:suppressLineNumbers w:val="0"/>
        <w:adjustRightInd w:val="0"/>
        <w:snapToGrid w:val="0"/>
        <w:spacing w:before="0" w:beforeAutospacing="0" w:after="0" w:afterAutospacing="0" w:line="360" w:lineRule="auto"/>
        <w:ind w:left="0" w:right="0" w:firstLine="465"/>
        <w:jc w:val="both"/>
        <w:outlineLvl w:val="3"/>
        <w:rPr>
          <w:rFonts w:hint="eastAsia" w:ascii="宋体" w:hAnsi="宋体" w:eastAsia="宋体" w:cs="宋体"/>
          <w:b/>
          <w:bCs w:val="0"/>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28.4如本工程含有甲管乙供材料设备，承包人应严格按照本合同、</w:t>
      </w:r>
      <w:r>
        <w:rPr>
          <w:rFonts w:hint="eastAsia" w:ascii="宋体" w:hAnsi="宋体" w:eastAsia="宋体" w:cs="宋体"/>
          <w:color w:val="auto"/>
          <w:kern w:val="2"/>
          <w:sz w:val="24"/>
          <w:szCs w:val="24"/>
          <w:highlight w:val="none"/>
          <w:lang w:val="en-US" w:eastAsia="zh-CN" w:bidi="ar"/>
        </w:rPr>
        <w:t>招标文件或</w:t>
      </w:r>
      <w:r>
        <w:rPr>
          <w:rFonts w:hint="eastAsia" w:ascii="宋体" w:hAnsi="宋体" w:eastAsia="宋体" w:cs="宋体"/>
          <w:color w:val="auto"/>
          <w:kern w:val="0"/>
          <w:sz w:val="24"/>
          <w:szCs w:val="24"/>
          <w:highlight w:val="none"/>
          <w:lang w:val="en-US" w:eastAsia="zh-CN" w:bidi="ar"/>
        </w:rPr>
        <w:t>公开择优竞价文件及与甲管乙供材料设备供应商所签合同的约定及时审核、申请支付甲管乙供材料设备进度款（含到货款、安装调试验收款、竣工验收款、质量保证金），且在收到发包人支付的款项后三个工作日内将该款项支付给甲管乙供材料设备供应商，并在下一次申请付款时向发包人提交本次支付凭证复印件作为支持材料，否则应按合同专用条款第38.15款承担违约责任。</w:t>
      </w:r>
    </w:p>
    <w:p w14:paraId="63270A17">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28.5因变更引起的工程项目支付方式</w:t>
      </w:r>
    </w:p>
    <w:p w14:paraId="1FB5FD98">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经发包人审核后纳入每期进度款中一并支付。</w:t>
      </w:r>
    </w:p>
    <w:p w14:paraId="27A8D70D">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82"/>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28.6发包人原则上按每个季度统计并计算一次变更工程和新增工程、暂列金额支付情况，当发包人统计的本合同承包范围内的总金额大于本合同价款时，发包人与承包人双方应按有关规定报相关政府主管部门同意或批准后签订补充合同。</w:t>
      </w:r>
    </w:p>
    <w:p w14:paraId="66582FD8">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补充合同签订后，发包人按本合同约定已支付给承包人的暂列金额，应分别回归到调整后的分部分项工程量清单、措施项目清单、其他项目清单的累计支付价款中，即补充合同的暂列金额累计支付归零。补充合同签订后暂列金额一般不再支付，在特殊情况下，经监理单位及发包人审定后可予支付，但累计支付额不得超过暂列金额总额的85%。</w:t>
      </w:r>
    </w:p>
    <w:p w14:paraId="5D71870C">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7C7C789">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
        </w:rPr>
        <w:t>七、材料设备供应</w:t>
      </w:r>
    </w:p>
    <w:p w14:paraId="1916150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（一）材料设备的分类</w:t>
      </w:r>
    </w:p>
    <w:p w14:paraId="7A29DC8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1、按照备货时间的长短，本工程的材料设备分为A、B、C三大类：</w:t>
      </w:r>
    </w:p>
    <w:p w14:paraId="53686B7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（1）A类材料设备：指备货期在六个月以上（含六个月）的材料设备。主要为进口材料设备。</w:t>
      </w:r>
    </w:p>
    <w:p w14:paraId="5387172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（2）B类材料设备：指备货期在三个月以上（含三个月）不足六个月的材料设备。主要有：柴油发电机组、冷水机组、电梯等。</w:t>
      </w:r>
    </w:p>
    <w:p w14:paraId="2705137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（3）C类材料设备：指备货期不足三月的材料设备。主要有：阀门、水泵、冷却塔、变压器、高低压开关柜、EPS电源、消防报警、石材等。</w:t>
      </w:r>
    </w:p>
    <w:p w14:paraId="0EAE7C0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对于上述各类材料设备，承包人签订供货合同的时间必须至少比第一批货物计划进场的时间提前两个月+备货期。</w:t>
      </w:r>
    </w:p>
    <w:p w14:paraId="1E162E2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按照供应单位产生方式不同，工程的材料设备分为甲供材料设备、甲招乙供材料设备、甲管乙供材料设备和乙供材料设备四大类。其中，甲招乙供材料设备、甲管乙供材料设备和乙供材料设备均属承包人采购材料设备，不因发包人及监理单位参与管理而减轻或免除承包人的任何责任及义务。本合同工程的材料设备主要为（</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甲供材料设备 </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甲招乙供材料设备  </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甲管乙供材料设备）和乙供材料设备，其中，若有以暂估价形式包括在本合同承包范围内的工程、货物、服务属于依法必须进行招标的项目范围且达到国家规定规模标准的，应当依法进行招标。</w:t>
      </w:r>
    </w:p>
    <w:p w14:paraId="3811FB8D">
      <w:pPr>
        <w:keepNext w:val="0"/>
        <w:keepLines w:val="0"/>
        <w:widowControl w:val="0"/>
        <w:suppressLineNumbers w:val="0"/>
        <w:adjustRightInd w:val="0"/>
        <w:snapToGrid w:val="0"/>
        <w:spacing w:before="0" w:beforeAutospacing="0" w:after="0" w:afterAutospacing="0" w:line="360" w:lineRule="auto"/>
        <w:ind w:left="0" w:right="11" w:firstLine="403" w:firstLineChars="192"/>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1）甲供材料设备：即发包人供应材料设备，是指由发包人直接与材料设备供应商签订供货合同并支付合同货款的材料设备。本合同中其品种、规格型号及数量等以发包人与相关材料设备供应商所签合同约定的内容为准。</w:t>
      </w:r>
    </w:p>
    <w:p w14:paraId="731F73BD">
      <w:pPr>
        <w:keepNext w:val="0"/>
        <w:keepLines w:val="0"/>
        <w:widowControl w:val="0"/>
        <w:suppressLineNumbers w:val="0"/>
        <w:adjustRightInd w:val="0"/>
        <w:snapToGrid w:val="0"/>
        <w:spacing w:before="0" w:beforeAutospacing="0" w:after="0" w:afterAutospacing="0" w:line="360" w:lineRule="auto"/>
        <w:ind w:left="0" w:right="11" w:firstLine="403" w:firstLineChars="192"/>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2）甲招乙供材料设备：属承包人采购材料设备范畴，是指由发包人通过公开招标的方式确定材料设备供应商，发包人与材料设备供应商签订材料设备供货条件合同，承包人与材料设备供应商在供货条件合同的原则下签订具体的供货合同，并由承包人在银行的监控下，按照发包人的要求直接将甲招乙供材料设备款项支付给材料设备供应商的材料设备。本合同中其品种、规格型号、单价等以发包人公开招标所确定的内容为准，暂定数量以甲招乙供材料设备招标文件列明的内容为准。</w:t>
      </w:r>
    </w:p>
    <w:p w14:paraId="61481FD7">
      <w:pPr>
        <w:pStyle w:val="3"/>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3）甲管乙供材料设备：属承包人采购材料设备范畴，指本合同工程的某些材料设备在招标文件中设为暂定价，由承包人与发包人共同组织招标或通过公开择优竞价方式确定材料设备供应商，然后由承包人与材料设备供应商签订供货合同并直接支付合同货款、发包人予以监管的材料设备。本合同中其品种、规格型号及数量、单价等以承包人与发包人共同组织招标或通过公开择优竞价方式所确定的内容为准。</w:t>
      </w:r>
    </w:p>
    <w:p w14:paraId="319DF17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（4）乙供材料设备：属承包人采购材料设备范畴，是指由承包人根据招标文件列明的推荐品牌和合同约定自行采购并支付货款的材料设备。</w:t>
      </w:r>
    </w:p>
    <w:p w14:paraId="6B84FAAD">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3、发包人有权根据工程实际情况对材料设备分类、供应方式进行调整。</w:t>
      </w:r>
    </w:p>
    <w:p w14:paraId="4E16C20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二）发包人、承包人一致同意在本合同签订后一个月内，会同监理单位参照上述分类及分工编制本工程主要材料设备供应计划并严格执行（数量较大的材料设备应分批到货，不可分割的材料设备应同时到货）。其中，所有材料设备的下料单均应由承包人填报并经监理单位及发包人批准方可实施，发包人及监理单位的批准不免除承包人因下料单失误（包括但不限于供应计划不准确、不及时、数量规格与实际需求不符等）影响工程质量、进度等的责任。</w:t>
      </w:r>
    </w:p>
    <w:p w14:paraId="72B9802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2"/>
        <w:rPr>
          <w:rFonts w:hint="eastAsia" w:ascii="宋体" w:hAnsi="宋体" w:eastAsia="宋体" w:cs="宋体"/>
          <w:color w:val="auto"/>
          <w:kern w:val="0"/>
          <w:sz w:val="24"/>
          <w:szCs w:val="24"/>
          <w:highlight w:val="none"/>
        </w:rPr>
      </w:pPr>
      <w:r>
        <w:rPr>
          <w:rFonts w:hint="default" w:ascii="宋体" w:hAnsi="宋体" w:eastAsia="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val="en-US" w:eastAsia="zh-CN" w:bidi="ar"/>
        </w:rPr>
        <w:t>（三）发包人将委托有资质的产品质量监督检验机构并由该机构依据合同约定对本工程进行材料设备技术检验（包括到厂抽检）和现场技术质量管理，承包人应予积极配合。凡用于本工程的材料设备必须贴上该机构的检验合格标志方可使用，没有该检验合格标志的材料设备视同不合格产品，发包人有权要求承包人拆除、调换或运出施工场地，或发包人自行组织拆除、调换或运出施工场地，因此所发生的费用和所造成的损失及责任全部由承包人承担。</w:t>
      </w:r>
    </w:p>
    <w:p w14:paraId="3C92E06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四）承包人承诺：所有的材料设备均严格按照相关技术规范、用户需求书选用，并保证材料设备参数的真实性、有效性，如发生材料设备货不对板、或以低品质材料设备冒充高品质材料设备、或以低技术档次系列的产品冒充高技术档次系列的产品的情况，该材料设备不得在本工程使用。发包人有权按照对本工程最有利的原则要求承包人更换为满足设计要求的高品质材料设备或高技术档次系列的产品，且价格不作调整；同时承包人应承担由此产生的有关违约责任和其他法律责任。</w:t>
      </w:r>
    </w:p>
    <w:p w14:paraId="7A5B235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2"/>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（五）发包人通过</w:t>
      </w:r>
      <w:r>
        <w:rPr>
          <w:rFonts w:hint="eastAsia" w:ascii="宋体" w:hAnsi="宋体" w:eastAsia="宋体" w:cs="宋体"/>
          <w:color w:val="auto"/>
          <w:kern w:val="2"/>
          <w:sz w:val="24"/>
          <w:szCs w:val="24"/>
          <w:highlight w:val="none"/>
          <w:lang w:val="en-US" w:eastAsia="zh-CN" w:bidi="ar"/>
        </w:rPr>
        <w:t>招标或</w:t>
      </w:r>
      <w:r>
        <w:rPr>
          <w:rFonts w:hint="eastAsia" w:ascii="宋体" w:hAnsi="宋体" w:eastAsia="宋体" w:cs="宋体"/>
          <w:color w:val="auto"/>
          <w:kern w:val="0"/>
          <w:sz w:val="24"/>
          <w:szCs w:val="24"/>
          <w:highlight w:val="none"/>
          <w:lang w:val="en-US" w:eastAsia="zh-CN" w:bidi="ar"/>
        </w:rPr>
        <w:t>公开征集的方式确定本工程所需材料设备的合格供应商。承包人承诺：发包人通过</w:t>
      </w:r>
      <w:r>
        <w:rPr>
          <w:rFonts w:hint="eastAsia" w:ascii="宋体" w:hAnsi="宋体" w:eastAsia="宋体" w:cs="宋体"/>
          <w:color w:val="auto"/>
          <w:kern w:val="2"/>
          <w:sz w:val="24"/>
          <w:szCs w:val="24"/>
          <w:highlight w:val="none"/>
          <w:lang w:val="en-US" w:eastAsia="zh-CN" w:bidi="ar"/>
        </w:rPr>
        <w:t>招标或</w:t>
      </w:r>
      <w:r>
        <w:rPr>
          <w:rFonts w:hint="eastAsia" w:ascii="宋体" w:hAnsi="宋体" w:eastAsia="宋体" w:cs="宋体"/>
          <w:color w:val="auto"/>
          <w:kern w:val="0"/>
          <w:sz w:val="24"/>
          <w:szCs w:val="24"/>
          <w:highlight w:val="none"/>
          <w:lang w:val="en-US" w:eastAsia="zh-CN" w:bidi="ar"/>
        </w:rPr>
        <w:t>公开征集确定的合格供应商的产品优先用于本工程，投标文件拟投入本工程的材料设备在工程实施过程中不得更换；实施时如确需更换供应商或材料设备，须报发包人同意。</w:t>
      </w:r>
    </w:p>
    <w:p w14:paraId="0656F12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着对项目有利的原则，发包人有权选用合格供应商名录中信誉更好的供应商、《设备材料品牌推荐表》中档次更高、质量更优的材料设备投入本工程，但结算时材料设备单价按中标单价保持不变。只有当发包人明确放弃上述权利时，承包人方可在合格供应商名录及推荐品牌中自主选择，报发包人同意后更换，但结算时材料设备单价按中标单价保持不变。</w:t>
      </w:r>
    </w:p>
    <w:p w14:paraId="4212FA31">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承包人与发包人一致同意不适用合同通用条款第29条的约定，代之以：</w:t>
      </w:r>
    </w:p>
    <w:p w14:paraId="352DFD97">
      <w:pPr>
        <w:keepNext w:val="0"/>
        <w:keepLines w:val="0"/>
        <w:widowControl w:val="0"/>
        <w:suppressLineNumbers w:val="0"/>
        <w:adjustRightInd w:val="0"/>
        <w:snapToGrid w:val="0"/>
        <w:spacing w:before="0" w:beforeAutospacing="0" w:after="0" w:afterAutospacing="0" w:line="360" w:lineRule="auto"/>
        <w:ind w:left="0" w:right="11" w:firstLine="403" w:firstLineChars="192"/>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 xml:space="preserve"> 29、发包人供应材料设备（甲供材料设备）</w:t>
      </w:r>
    </w:p>
    <w:p w14:paraId="761A44A8">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29.1由发包人供应的材料设备，发包人委托承包人承担本条款所约定工作，发包人依据招标文件和本合同约定向承包人另行支付相应的材料设备管理费。</w:t>
      </w:r>
    </w:p>
    <w:p w14:paraId="230FE08E">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29.2承包人负责甲供材料设备的设计联络，负责提供甲供材料设备清单，并详细说明规格、型号、数量、有关技术参数以及计划使用和要求进场时间，负责编制甲供材料设备的供应总计划和分阶段供应计划，并根据工程建设的实际需要及时调整计划，经监理单位审核后，报发包人审批。承包人编制的计划必须充分考虑甲供材料设备的备货期，必须保证签订供货合同的时间至少比第一批货物计划进场的时间提前两个月+备货期。</w:t>
      </w:r>
    </w:p>
    <w:p w14:paraId="228C3D1D">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29.3承包人应对其编制的甲供材料设备供货计划（包括计划调整）的正确性、及时性和完整性全面负责。由于承包人原因（如供货计划不正确、不及时或调整的供货计划未及时书面通知供货人等）造成供货人未按供货计划提供货物，由承包人承担工期延误责任，工期不予顺延，并按合同专用条款第38.8款的有关约定承担违约责任并赔偿由此给发包人造成的损失。</w:t>
      </w:r>
    </w:p>
    <w:p w14:paraId="1E12F9E0">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29.4承包人承担甲供材料设备催交的责任，监督检查供货人按供货计划执行，若供货人未按计划执行，承包人应及时把信息反馈给监理单位及发包人，并及时调整供货计划，否则造成的工期延误由承包人负责。</w:t>
      </w:r>
    </w:p>
    <w:p w14:paraId="16B1947A">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29.5若因发包人原因造成供货人未按供货计划提供货物，由发包人承担工期延误责任。</w:t>
      </w:r>
    </w:p>
    <w:p w14:paraId="5D5B4B43">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29.6供货人负责将甲供材料设备运至工地现场并卸车至承包人指定仓库。承包人负责对甲供材料设备质量和数量的验收、从仓库至施工现场的搬运、垂直运输、保管（含工地仓库的材料存储损耗）、安装、验收等，并于到货之日起2日内及时签发甲供材料设备到货凭证并协助供货人办理必要的支付手续，否则按合同专用条款第38.15款承担违约责任。</w:t>
      </w:r>
    </w:p>
    <w:p w14:paraId="74343AD2">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29.7承包人应及时验收并妥善保管本工程的全部甲供材料设备，因承包人原因发生丢失损坏的，由承包人负责赔偿。</w:t>
      </w:r>
    </w:p>
    <w:p w14:paraId="281971CA">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29.8工程结算时，发包人依据竣工图对甲供材料设备进行结算，超出竣工图数量而承包人供应计划已下达并已签收的货物的价款由承包人承担，并在结算时相应扣除。</w:t>
      </w:r>
    </w:p>
    <w:p w14:paraId="3BB3BA88">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30、承包人采购材料设备</w:t>
      </w:r>
    </w:p>
    <w:p w14:paraId="57F6723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30.1承包人采购的材料设备主要为（</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甲招乙供材料设备 </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甲管乙供材料设备）和乙供材料设备。</w:t>
      </w:r>
    </w:p>
    <w:p w14:paraId="49BDBC2F">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承包人和发包人一致同意增加30.7至30.9：</w:t>
      </w:r>
    </w:p>
    <w:p w14:paraId="5E9DDF3F">
      <w:pPr>
        <w:keepNext w:val="0"/>
        <w:keepLines w:val="0"/>
        <w:widowControl w:val="0"/>
        <w:suppressLineNumbers w:val="0"/>
        <w:adjustRightInd w:val="0"/>
        <w:snapToGrid w:val="0"/>
        <w:spacing w:before="0" w:beforeAutospacing="0" w:after="0" w:afterAutospacing="0" w:line="360" w:lineRule="auto"/>
        <w:ind w:left="0" w:right="11" w:firstLine="403"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30.7甲招乙供材料设备的管理</w:t>
      </w:r>
    </w:p>
    <w:p w14:paraId="45C4F510">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Courier New"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甲招乙供材料设备属承包人采购材料设备范畴，承包人确认发包人通过公开招标方式选定的本合同工程所需的甲招乙供材料设备供应商及货物品牌是为确保工程质量达到要求所必需的，符合承包人的利益，承包人承诺无条件按发包人的要求与甲招乙供材料设备供应商签订供货合同并接受相对应招投标文件及供货条件合同的约束。</w:t>
      </w:r>
    </w:p>
    <w:p w14:paraId="7B5A8F86">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承包人必须严格按照本合同有关承包人采购材料设备的约定对甲招乙供材料设备进行管理，对甲招乙供材料设备的供应和质量承担全部责任。因甲招乙供材料设备供应不及时造成工期延误的，由承包人按合同专用条款第38.8款的有关约定承担违约责任；因甲招乙供材料设备质量问题给本工程造成损害的，由承包人按合同专用条款第38.10款的有关约定承担违约责任。</w:t>
      </w:r>
    </w:p>
    <w:p w14:paraId="199C9686">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承包人应以中标通知书确定的单价为依据与甲招乙供材料设备供应商签订合同，发包人依据招标文件和本合同约定向承包人另行支付相应管理费及工程税金。承包人不得以任何理由要求甲招乙供材料设备供应商支付相应管理费及工程税金。</w:t>
      </w:r>
    </w:p>
    <w:p w14:paraId="71627B89">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承包人应严格按照本合同、招标文件及与甲招乙供材料设备供应商所签合同的约定及时审核、申请、支付甲招乙供材料设备价款，并在银行的监控下，按照发包人的要求直接将甲招乙供材料设备款项按合同专用条款第30.7（8）款的约定支付给材料设备供应商，否则应按合同专用条款第38.15款承担违约责任。</w:t>
      </w:r>
    </w:p>
    <w:p w14:paraId="0D2321F8">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（5）承包人应严格按照本合同、招标文件及与甲招乙供材料设备供应商所签合同的约定及时组织对进场的甲招乙供材料设备进行清点验收，并严把甲招乙供材料设备质量关。</w:t>
      </w:r>
    </w:p>
    <w:p w14:paraId="42A49E92">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（6）由于承包人原因导致本工程甲招乙供材料设备供货不及时，造成发包人需向其他供应商购买相关材料设备的，所发生的增加费用全部由承包人承担，发包人有权在支付给承包人合同价款时予以直接扣除。</w:t>
      </w:r>
    </w:p>
    <w:p w14:paraId="4C634D9C">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（7）承包人和甲招乙供材料设备供应商都应当严格按照合同约定履行各自的义务。承包人依据合同约定对甲招乙供材料设备供应商进行违约处理时应事先报请发包人批准。</w:t>
      </w:r>
    </w:p>
    <w:p w14:paraId="24C80B58">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8）为确保专款专用，减少争议，避免纠纷，承包人应按照发包人的要求，在发包人与甲招乙供材料设备供应商签订供货条件合同、甲招乙供材料设备供应商足额向发包人提交履约担保且承包人与甲招乙供材料设备供应商签订供货合同后的7个工作日内，与发包人、发包人指定的银行及甲招乙供材料设备供应商签订四方协议，并按照四方协议约定在银行的监控下，通过专用账号将甲招乙供材料设备款项直接支付至材料设备供应商的专用账号。</w:t>
      </w:r>
    </w:p>
    <w:p w14:paraId="6C01447B">
      <w:pPr>
        <w:keepNext w:val="0"/>
        <w:keepLines w:val="0"/>
        <w:widowControl w:val="0"/>
        <w:suppressLineNumbers w:val="0"/>
        <w:adjustRightInd w:val="0"/>
        <w:snapToGrid w:val="0"/>
        <w:spacing w:before="0" w:beforeAutospacing="0" w:after="0" w:afterAutospacing="0" w:line="360" w:lineRule="auto"/>
        <w:ind w:left="0" w:right="11" w:firstLine="403"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30.8甲管乙供材料设备的管理</w:t>
      </w:r>
    </w:p>
    <w:p w14:paraId="0742FFC3">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甲管乙供材料设备属承包人采购材料设备范畴，承包人必须严格按照本合同有关承包人采购材料设备的约定对甲管乙供材料设备进行管理，对甲管乙供材料设备的供应和质量承担全部责任。因甲管乙供材料设备供应不及时造成工期延误的，由承包人按合同专用条款第38.8款的有关约定承担违约责任；因甲管乙供材料设备质量问题给本工程造成损害的，由承包人按合同专用条款第38.10款的有关约定承担违约责任。</w:t>
      </w:r>
    </w:p>
    <w:p w14:paraId="07173750">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（2）承包人与发包人共同组织本工程甲管乙供材料设备的</w:t>
      </w:r>
      <w:r>
        <w:rPr>
          <w:rFonts w:hint="eastAsia" w:ascii="宋体" w:hAnsi="宋体" w:eastAsia="宋体" w:cs="宋体"/>
          <w:color w:val="auto"/>
          <w:kern w:val="2"/>
          <w:sz w:val="24"/>
          <w:szCs w:val="24"/>
          <w:highlight w:val="none"/>
          <w:lang w:val="en-US" w:eastAsia="zh-CN" w:bidi="ar"/>
        </w:rPr>
        <w:t>招标或</w:t>
      </w:r>
      <w:r>
        <w:rPr>
          <w:rFonts w:hint="eastAsia" w:ascii="宋体" w:hAnsi="宋体" w:eastAsia="宋体" w:cs="宋体"/>
          <w:color w:val="auto"/>
          <w:kern w:val="0"/>
          <w:sz w:val="24"/>
          <w:szCs w:val="24"/>
          <w:highlight w:val="none"/>
          <w:lang w:val="en-US" w:eastAsia="zh-CN" w:bidi="ar"/>
        </w:rPr>
        <w:t>公开择优竞价工作，共同起草、审核</w:t>
      </w:r>
      <w:r>
        <w:rPr>
          <w:rFonts w:hint="eastAsia" w:ascii="宋体" w:hAnsi="宋体" w:eastAsia="宋体" w:cs="宋体"/>
          <w:color w:val="auto"/>
          <w:kern w:val="2"/>
          <w:sz w:val="24"/>
          <w:szCs w:val="24"/>
          <w:highlight w:val="none"/>
          <w:lang w:val="en-US" w:eastAsia="zh-CN" w:bidi="ar"/>
        </w:rPr>
        <w:t>招标文件或</w:t>
      </w:r>
      <w:r>
        <w:rPr>
          <w:rFonts w:hint="eastAsia" w:ascii="宋体" w:hAnsi="宋体" w:eastAsia="宋体" w:cs="宋体"/>
          <w:color w:val="auto"/>
          <w:kern w:val="0"/>
          <w:sz w:val="24"/>
          <w:szCs w:val="24"/>
          <w:highlight w:val="none"/>
          <w:lang w:val="en-US" w:eastAsia="zh-CN" w:bidi="ar"/>
        </w:rPr>
        <w:t>公开择优竞价文件，并予以会签确认，按有关规定或项目要求组织有关专家进行评审。</w:t>
      </w:r>
    </w:p>
    <w:p w14:paraId="608CDD33">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（3）承包人应在中标（选）单位确定后两天（或发包人通知的时间）内书面通知中标（选）单位进场对现场安装条件进行核对并交发包人备案确认。</w:t>
      </w:r>
    </w:p>
    <w:p w14:paraId="663D70E0">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（4）承包人应于中标（选）通知书发出后7天内通知中标（选）单位按甲管乙供材料设备暂定总价款的5%向发包人交纳供货措施保证金并负责督促落实。此供货措施保证金按</w:t>
      </w:r>
      <w:r>
        <w:rPr>
          <w:rFonts w:hint="eastAsia" w:ascii="宋体" w:hAnsi="宋体" w:eastAsia="宋体" w:cs="宋体"/>
          <w:color w:val="auto"/>
          <w:kern w:val="2"/>
          <w:sz w:val="24"/>
          <w:szCs w:val="24"/>
          <w:highlight w:val="none"/>
          <w:lang w:val="en-US" w:eastAsia="zh-CN" w:bidi="ar"/>
        </w:rPr>
        <w:t>招标文件或</w:t>
      </w:r>
      <w:r>
        <w:rPr>
          <w:rFonts w:hint="eastAsia" w:ascii="宋体" w:hAnsi="宋体" w:eastAsia="宋体" w:cs="宋体"/>
          <w:color w:val="auto"/>
          <w:kern w:val="0"/>
          <w:sz w:val="24"/>
          <w:szCs w:val="24"/>
          <w:highlight w:val="none"/>
          <w:lang w:val="en-US" w:eastAsia="zh-CN" w:bidi="ar"/>
        </w:rPr>
        <w:t>公开择优竞价文件约定用于甲管乙供材料设备管理，并于此甲管乙供材料设备供应工作结束后10天内无息退回（扣除已发生的违约处罚金额）。</w:t>
      </w:r>
    </w:p>
    <w:p w14:paraId="2EFE19A5">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（5）承包人应按</w:t>
      </w:r>
      <w:r>
        <w:rPr>
          <w:rFonts w:hint="eastAsia" w:ascii="宋体" w:hAnsi="宋体" w:eastAsia="宋体" w:cs="宋体"/>
          <w:color w:val="auto"/>
          <w:kern w:val="2"/>
          <w:sz w:val="24"/>
          <w:szCs w:val="24"/>
          <w:highlight w:val="none"/>
          <w:lang w:val="en-US" w:eastAsia="zh-CN" w:bidi="ar"/>
        </w:rPr>
        <w:t>招标文件或</w:t>
      </w:r>
      <w:r>
        <w:rPr>
          <w:rFonts w:hint="eastAsia" w:ascii="宋体" w:hAnsi="宋体" w:eastAsia="宋体" w:cs="宋体"/>
          <w:color w:val="auto"/>
          <w:kern w:val="0"/>
          <w:sz w:val="24"/>
          <w:szCs w:val="24"/>
          <w:highlight w:val="none"/>
          <w:lang w:val="en-US" w:eastAsia="zh-CN" w:bidi="ar"/>
        </w:rPr>
        <w:t>公开择优竞价文件规定的时间或者发包人限定的时间以中标（选）通知书确定的单价为依据与甲管乙供材料设备供应单位签订合同[最迟不得超过中标（选）通知书发出后30天]，发包人依据</w:t>
      </w:r>
      <w:r>
        <w:rPr>
          <w:rFonts w:hint="eastAsia" w:ascii="宋体" w:hAnsi="宋体" w:eastAsia="宋体" w:cs="宋体"/>
          <w:color w:val="auto"/>
          <w:kern w:val="2"/>
          <w:sz w:val="24"/>
          <w:szCs w:val="24"/>
          <w:highlight w:val="none"/>
          <w:lang w:val="en-US" w:eastAsia="zh-CN" w:bidi="ar"/>
        </w:rPr>
        <w:t>招标文件或</w:t>
      </w:r>
      <w:r>
        <w:rPr>
          <w:rFonts w:hint="eastAsia" w:ascii="宋体" w:hAnsi="宋体" w:eastAsia="宋体" w:cs="宋体"/>
          <w:color w:val="auto"/>
          <w:kern w:val="0"/>
          <w:sz w:val="24"/>
          <w:szCs w:val="24"/>
          <w:highlight w:val="none"/>
          <w:lang w:val="en-US" w:eastAsia="zh-CN" w:bidi="ar"/>
        </w:rPr>
        <w:t>公开择优竞价文件和本合同约定向承包人另行支付相应工程税金。承包人相应管理费已含于甲管乙供材料设备单价中，按</w:t>
      </w:r>
      <w:r>
        <w:rPr>
          <w:rFonts w:hint="eastAsia" w:ascii="宋体" w:hAnsi="宋体" w:eastAsia="宋体" w:cs="宋体"/>
          <w:color w:val="auto"/>
          <w:kern w:val="2"/>
          <w:sz w:val="24"/>
          <w:szCs w:val="24"/>
          <w:highlight w:val="none"/>
          <w:lang w:val="en-US" w:eastAsia="zh-CN" w:bidi="ar"/>
        </w:rPr>
        <w:t>招标文件或</w:t>
      </w:r>
      <w:r>
        <w:rPr>
          <w:rFonts w:hint="eastAsia" w:ascii="宋体" w:hAnsi="宋体" w:eastAsia="宋体" w:cs="宋体"/>
          <w:color w:val="auto"/>
          <w:kern w:val="0"/>
          <w:sz w:val="24"/>
          <w:szCs w:val="24"/>
          <w:highlight w:val="none"/>
          <w:lang w:val="en-US" w:eastAsia="zh-CN" w:bidi="ar"/>
        </w:rPr>
        <w:t>公开择优竞价文件约定执行。</w:t>
      </w:r>
    </w:p>
    <w:p w14:paraId="3C411A32">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（6）承包人应严格按照本合同、</w:t>
      </w:r>
      <w:r>
        <w:rPr>
          <w:rFonts w:hint="eastAsia" w:ascii="宋体" w:hAnsi="宋体" w:eastAsia="宋体" w:cs="宋体"/>
          <w:color w:val="auto"/>
          <w:kern w:val="2"/>
          <w:sz w:val="24"/>
          <w:szCs w:val="24"/>
          <w:highlight w:val="none"/>
          <w:lang w:val="en-US" w:eastAsia="zh-CN" w:bidi="ar"/>
        </w:rPr>
        <w:t>招标文件或</w:t>
      </w:r>
      <w:r>
        <w:rPr>
          <w:rFonts w:hint="eastAsia" w:ascii="宋体" w:hAnsi="宋体" w:eastAsia="宋体" w:cs="宋体"/>
          <w:color w:val="auto"/>
          <w:kern w:val="0"/>
          <w:sz w:val="24"/>
          <w:szCs w:val="24"/>
          <w:highlight w:val="none"/>
          <w:lang w:val="en-US" w:eastAsia="zh-CN" w:bidi="ar"/>
        </w:rPr>
        <w:t>公开择优竞价文件及与甲管乙供材料设备供应商所签合同的约定及时审核、申请支付甲管乙供材料设备价款，且在收到发包人支付的款项后三个工作日内将相关款项支付给甲管乙供材料设备供应单位，并在下一次申请付款时向发包人提交本次支付凭证复印件作为支持材料。</w:t>
      </w:r>
    </w:p>
    <w:p w14:paraId="44C29A48">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（7）承包人应严格按照</w:t>
      </w:r>
      <w:r>
        <w:rPr>
          <w:rFonts w:hint="eastAsia" w:ascii="宋体" w:hAnsi="宋体" w:eastAsia="宋体" w:cs="宋体"/>
          <w:color w:val="auto"/>
          <w:kern w:val="2"/>
          <w:sz w:val="24"/>
          <w:szCs w:val="24"/>
          <w:highlight w:val="none"/>
          <w:lang w:val="en-US" w:eastAsia="zh-CN" w:bidi="ar"/>
        </w:rPr>
        <w:t>招标文件或</w:t>
      </w:r>
      <w:r>
        <w:rPr>
          <w:rFonts w:hint="eastAsia" w:ascii="宋体" w:hAnsi="宋体" w:eastAsia="宋体" w:cs="宋体"/>
          <w:color w:val="auto"/>
          <w:kern w:val="0"/>
          <w:sz w:val="24"/>
          <w:szCs w:val="24"/>
          <w:highlight w:val="none"/>
          <w:lang w:val="en-US" w:eastAsia="zh-CN" w:bidi="ar"/>
        </w:rPr>
        <w:t>公开择优竞价文件和与甲管乙供材料设备供应商所签合同的约定及时组织对进场的甲管乙供材料设备进行清点验收，并严把甲管乙供材料设备质量关。</w:t>
      </w:r>
    </w:p>
    <w:p w14:paraId="35063649">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（8）由于承包人原因导致本工程甲管乙供材料设备供货不及时，造成发包人需向其他供应商购买相关材料设备的，所发生的费用全部由承包人承担，发包人有权在结算时予以直接扣除。</w:t>
      </w:r>
    </w:p>
    <w:p w14:paraId="73E0F5D9">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Courier New"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（9）承包人和甲管乙供材料设备供应商都应当严格按照合同约定履行各自的义务。承包人依据合同约定对甲管乙供材料设备供应商进行违约处理时应事先报请发包人批准。</w:t>
      </w:r>
    </w:p>
    <w:p w14:paraId="296011F3">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30.9对材料设备采购的相关要求</w:t>
      </w:r>
    </w:p>
    <w:p w14:paraId="32DAA8FF">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（1）乙供材料设备</w:t>
      </w:r>
    </w:p>
    <w:p w14:paraId="66C059DA">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1）招标文件已列明推荐品牌的材料设备</w:t>
      </w:r>
    </w:p>
    <w:p w14:paraId="72D96CD2">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① 主材若属发包人推荐品牌范围的，承包人须按发包人推荐的供货厂家进行报价。承包人必须在《主要材料设备品牌选用表》中列明所选用材料及设备的品牌、产地等，否则承包人中标后，发包人有权要求承包人按发包人的要求采购，并保留调整其材料价格的权利。</w:t>
      </w:r>
    </w:p>
    <w:p w14:paraId="6E5FB74F">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② 承包人必须在满足或优于招标文件（包括招标文件各专业主要设备材料技术参数）、招标图纸和相关规范要求的条件下，从招标文件材料设备推荐品牌范围中进行选择（招标文件有规定推荐品牌系列范围的承包人须明确其相应品牌的档次、系列）；承包人可以填报其中的一种或多种推荐品牌，但承包人在中标后选用推荐品牌中的任一品牌，均不予调整其投标价。</w:t>
      </w:r>
    </w:p>
    <w:p w14:paraId="6FB5CF19">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③ 若因发包人调整招标文件各专业主要设备材料技术参数的相关要求导致招标文件材料设备推荐品牌范围中的所有厂家产品均无法满足要求，则参照本条第（1）2）款“招标文件未列明推荐品牌的材料设备”的相关规定执行。</w:t>
      </w:r>
    </w:p>
    <w:p w14:paraId="41F7007B">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④ 承包人进场后，在同一标段内同一类材料设备的品牌应为同一品牌；特殊情况下，经发包人同意后，同一标段内同一类材料设备的品牌方可不同，但承包人至少应保证同一单体内的同一类材料设备的品牌应为同一品牌。</w:t>
      </w:r>
    </w:p>
    <w:p w14:paraId="42DB13B8">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2）招标文件未列明推荐品牌的材料设备</w:t>
      </w:r>
    </w:p>
    <w:p w14:paraId="78CEF98C">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① 招标文件未列明推荐供货厂家的，承包人必须注明所选用材料设备的品牌、产地、规格、等级，如未列明，则按发包人的要求采购，且发包人保留调整其材料价格的权利。</w:t>
      </w:r>
    </w:p>
    <w:p w14:paraId="2F095175">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② 承包人在满足或优于招标文件各专业主要设备材料技术参数的前提下，可以选择一种或多种品牌；中标后只要发包人未有对各专业主要设备材料技术参数的相关要求进行调整则均不因承包人改变选用的品牌而调整其中标价。</w:t>
      </w:r>
    </w:p>
    <w:p w14:paraId="67620A92">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承包人在投标报价时所选定的材料设备供应商，应是与承包人有长期合作关系、有良好商业信誉和雄厚实力的材料设备生产供应能力的合格供应商。以保证按项目的质量、数量和时间要求，以合理的价格和可靠的供货来源，获得所需的设备、材料及有关服务。</w:t>
      </w:r>
    </w:p>
    <w:p w14:paraId="0AB7B439">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承包人在投标时所选定材料设备的品牌、规格和供应商，一经发包人确认，承包人不得对此进行更改。如因特殊原因（如不可抗力、生产厂商破产）确需变更供应商时，承包人须按发包人关于乙供材料设备、工程变更及设计变更管理的相关规定向发包人申请变更材料设备的供应商（品牌），经发包人审批同意后方可进行变更。承包人应优先在招标文件推荐品牌范围中选择变更后的供应商（品牌）和供应商。</w:t>
      </w:r>
    </w:p>
    <w:p w14:paraId="3E8E7A17">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4"/>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（4）材料设备采购的变更</w:t>
      </w:r>
    </w:p>
    <w:p w14:paraId="3167ABAE">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在工程施工过程中，根据工程的具体情况，从有利于保证工程质量、进度和投资控制角度考虑，发包人有权对相应材料设备的采购供应方式进行适当的变更（如甲供改乙供，或乙供改甲供，或乙供改甲招乙供），承包人在接到发包人的变更通知后，应无条件地接受发包人对材料设备采购供应方式的变更并予以积极配合。</w:t>
      </w:r>
    </w:p>
    <w:p w14:paraId="6906FCAD">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color w:val="auto"/>
          <w:spacing w:val="-4"/>
          <w:kern w:val="0"/>
          <w:sz w:val="24"/>
          <w:szCs w:val="24"/>
          <w:highlight w:val="none"/>
          <w:lang w:val="en-US" w:eastAsia="zh-CN" w:bidi="ar"/>
        </w:rPr>
        <w:t>出于为保证本工程的整体质量和效果等特殊原因，发包人决定将某种材料设备的供货方式由乙供改为甲供或甲招乙供时，承包人应提前做好材料到货及使用时间计划给发包人，发包人根据材料到货及使用时间计划确定购买时间后将书面通知承包人。发包人将以设计图纸结算用量（含定额规定的损耗）乘以合同中的相应材料设备价格后从合同总价款中扣除相应的材料设备价款及其相关取费。若实际供应的甲供材料设备数量超出按图纸计算用量（含定额规定的损耗）的差异部分则从承包人的工程结算款中扣除。如不由承包人安装，安装费也相应扣除。</w:t>
      </w:r>
    </w:p>
    <w:p w14:paraId="5BEE86AD">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材料设备采购方式改变后，发包人将根据招标文件的相关约定调整甲供、甲招乙供材料设备管理费。材料设备采购方式由甲供改为乙供的，其主材费按合同换算综合单价及合同外新增项目综合单价的主材价格确定方式执行。</w:t>
      </w:r>
    </w:p>
    <w:p w14:paraId="24247738">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4）合同履行过程中出现中标品牌以外的乙供材料设备，其品牌的选用按招标文件推荐品牌、中国名牌、国家免检产品、省知名品牌的顺序确定。</w:t>
      </w:r>
    </w:p>
    <w:p w14:paraId="71F53489">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5）对装饰、装修或景观效果可能产生影响的新增乙供材料设备（如开关插座面板、景观灯具及装饰灯具等）的品牌确定须同时按照发包人看样定板的相关规定执行。</w:t>
      </w:r>
    </w:p>
    <w:p w14:paraId="5CCA90B1">
      <w:pPr>
        <w:pStyle w:val="3"/>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Courier New" w:eastAsia="宋体" w:cs="宋体"/>
          <w:color w:val="auto"/>
          <w:kern w:val="0"/>
          <w:sz w:val="24"/>
          <w:szCs w:val="24"/>
          <w:highlight w:val="none"/>
        </w:rPr>
      </w:pPr>
      <w:r>
        <w:rPr>
          <w:rFonts w:hint="eastAsia" w:ascii="宋体" w:hAnsi="Courier New" w:eastAsia="宋体" w:cs="宋体"/>
          <w:color w:val="auto"/>
          <w:kern w:val="0"/>
          <w:sz w:val="24"/>
          <w:szCs w:val="24"/>
          <w:highlight w:val="none"/>
          <w:lang w:val="en-US" w:eastAsia="zh-CN" w:bidi="ar"/>
        </w:rPr>
        <w:t xml:space="preserve"> </w:t>
      </w:r>
    </w:p>
    <w:p w14:paraId="6CC4632F">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
        </w:rPr>
        <w:t>八、工程变更</w:t>
      </w:r>
    </w:p>
    <w:p w14:paraId="2026E982">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31、工程设计变更</w:t>
      </w:r>
    </w:p>
    <w:p w14:paraId="79AD16B3">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31.1工程设计变更是指任何改变这类工程的性质、质量、种类、数量。</w:t>
      </w:r>
    </w:p>
    <w:p w14:paraId="50A92C3B">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承包人和发包人一致同意增加31.4、31.5：</w:t>
      </w:r>
    </w:p>
    <w:p w14:paraId="501D522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31.4如承包人在实施过程中发现设计上有错误或严重不合理，应以书面形式通知发包人，由发包人与设计单位商定修改或变更设计方案进行实施。</w:t>
      </w:r>
    </w:p>
    <w:p w14:paraId="73A9F41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31.5所有涉及工期的变更均应获得发包人正式批准才能生效。</w:t>
      </w:r>
    </w:p>
    <w:p w14:paraId="3486478C">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32、其他变更</w:t>
      </w:r>
    </w:p>
    <w:p w14:paraId="02E668F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按合同专用条款相关约定和发包人的有关管理制度及实施细则执行。</w:t>
      </w:r>
    </w:p>
    <w:p w14:paraId="7E993FC0">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承包人和发包人一致同意不适用合同通用条款第33条的约定，代之以：</w:t>
      </w:r>
    </w:p>
    <w:p w14:paraId="39DB8986">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33、确定变更价款</w:t>
      </w:r>
    </w:p>
    <w:p w14:paraId="68A974C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33.1在发生合同专用条款第31条约定的工程设计变更后，承包人在收到发包人变更通知的7天内按合同约定的计价方式和内容编制出变更工程预算送交监理单位，监理单位在3天内审核并签署意见后报发包人，发包人收到后10天内答复。</w:t>
      </w:r>
    </w:p>
    <w:p w14:paraId="1C53726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33.2</w:t>
      </w:r>
      <w:r>
        <w:rPr>
          <w:rFonts w:hint="eastAsia" w:ascii="宋体" w:hAnsi="宋体" w:eastAsia="宋体" w:cs="宋体"/>
          <w:color w:val="auto"/>
          <w:kern w:val="2"/>
          <w:sz w:val="24"/>
          <w:szCs w:val="24"/>
          <w:highlight w:val="none"/>
          <w:lang w:val="en-US" w:eastAsia="zh-CN" w:bidi="ar"/>
        </w:rPr>
        <w:t>对于合同承包范围及内容发生变化的设计变更、工程签证、新增工程等，包括合同专用条款第31条所定义的工程设计变更和第32条所定义的其他变更，由于设计需要或项目建设实际需要，这些变化会导致合同承包范围内的工程量发生变化、或工程量清单内项目的局部内容发生变化、或新增了工程量清单内没有的项目、或招标工程量偏差。出现上述变化需计算工程价款时，承包人按如下方法提出变更价格，报监理单位和发包人批准：</w:t>
      </w:r>
    </w:p>
    <w:p w14:paraId="029EB21D">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33.2.1工程量确定方式（按以下先后顺序执行）</w:t>
      </w:r>
    </w:p>
    <w:p w14:paraId="463CAF3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（1）按本工程招标文件中的“工程量清单计价说明和补充规定”的相关规定执行；</w:t>
      </w:r>
    </w:p>
    <w:p w14:paraId="505C5BD3">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（2）按《建设工程工程量清单计价规范（GB50500-2013）》的相关规定执行；</w:t>
      </w:r>
    </w:p>
    <w:p w14:paraId="1857933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4"/>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按《广东省房屋建筑与装饰工程综合定额（2018）》、《广东省市政工程综合定额（2018）》、《广东省通用安装工程综合定额（2018）》、《广东省园林绿化工程综合定额（2018）》、2012年《广东省修缮工程综合定额》的相关规定执行；</w:t>
      </w:r>
    </w:p>
    <w:p w14:paraId="75E5BEE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strike/>
          <w:dstrike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（4）按发包人与承包人协商确定的计算办法执行。</w:t>
      </w:r>
    </w:p>
    <w:p w14:paraId="18BE8FB1">
      <w:pPr>
        <w:pStyle w:val="3"/>
        <w:keepNext w:val="0"/>
        <w:keepLines w:val="0"/>
        <w:widowControl/>
        <w:suppressLineNumbers w:val="0"/>
        <w:adjustRightInd w:val="0"/>
        <w:snapToGrid w:val="0"/>
        <w:spacing w:before="0" w:beforeAutospacing="0" w:after="0" w:afterAutospacing="0" w:line="360" w:lineRule="auto"/>
        <w:ind w:left="-8" w:leftChars="-4" w:right="0" w:firstLine="477" w:firstLineChars="199"/>
        <w:jc w:val="left"/>
        <w:outlineLvl w:val="4"/>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33.2.2合同换算综合单价及合同外新增项目综合单价的主材价格确定方式</w:t>
      </w:r>
    </w:p>
    <w:p w14:paraId="0349B059">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（1）除机电安装、绿化工程以外的其他工程：</w:t>
      </w:r>
    </w:p>
    <w:p w14:paraId="2A0D1CE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除机电安装、绿化工程以外的其他工程的合同换算综合单价及合同外新增项目综合单价的主材价格确定方式按照如下约定执行：</w:t>
      </w:r>
    </w:p>
    <w:p w14:paraId="7278C9B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工程量报价清单中已有适用且合理的材料单价，则按已有的材料单价执行；若工程量报价清单中已有的材料单价高出招标当期广州市建设工程造价管理站发布的相应月份建设工程价格信息及有关计价办法所附《广州地区建设工程常用材料税前综合价格》（以下简称“《综合价格》”）中相应材料综合价格的30%时，则按《综合价格》中相应材料综合价格执行；若工程量报价清单中已有的材料单价在招标当期《综合价格》中没有但又严重偏离市场价格时，则由发包人与承包人结合招标当期广州市工程造价行业协会发布的《广州地区建设工程材料（设备）厂商价格信息》的税前材料价格（以下简称“《厂商价格信息》”）及合理的市场价格协商确定；若工程量报价清单中已有的材料单价在招标当期《综合价格》和《厂商价格信息》中均没有但又严重偏离市场价格时，则按合理的市场价格执行。工程量报价清单中已有的材料单价是否严重偏离市场价格由监理单位提供相应支持材料加以界定，合理的市场价格由发包人与承包人协商确定。</w:t>
      </w:r>
    </w:p>
    <w:p w14:paraId="083BF52D">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2）工程量报价清单中没有适用的但属于招标当期《综合价格》范围的，则直接采用相应材料综合价格。</w:t>
      </w:r>
    </w:p>
    <w:p w14:paraId="77513950">
      <w:pPr>
        <w:keepNext w:val="0"/>
        <w:keepLines w:val="0"/>
        <w:widowControl w:val="0"/>
        <w:suppressLineNumbers w:val="0"/>
        <w:adjustRightInd w:val="0"/>
        <w:snapToGrid w:val="0"/>
        <w:spacing w:before="0" w:beforeAutospacing="0" w:after="0" w:afterAutospacing="0" w:line="360" w:lineRule="auto"/>
        <w:ind w:left="0" w:right="0"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若工程量报价清单中没有适用的材料单价，且《综合价格》中也没有，但《厂商价格信息》中有类似（当双方对类似一词的理解不同时，由发包人按有关规定和本工程实际情况确定，下同）材料价格的，则结合工程量清单计价补充规定按工程量报价清单中的类似材料单价相对于招标当期《厂商价格信息》中相应材料价格的下浮率（此处下浮率=（1－工程量报价清单中的类似材料单价/招标当期《厂商价格信息》中相应材料价格）×100％。当下浮率≤0，则按0计取，下同）计算，即新增材料价格=（1-下浮率）×招标当期《厂商价格信息》中相应材料（即新增主材）的价格。</w:t>
      </w:r>
    </w:p>
    <w:p w14:paraId="311D9AA1">
      <w:pPr>
        <w:keepNext w:val="0"/>
        <w:keepLines w:val="0"/>
        <w:widowControl w:val="0"/>
        <w:suppressLineNumbers w:val="0"/>
        <w:adjustRightInd w:val="0"/>
        <w:snapToGrid w:val="0"/>
        <w:spacing w:before="0" w:beforeAutospacing="0" w:after="0" w:afterAutospacing="0" w:line="360" w:lineRule="auto"/>
        <w:ind w:left="0" w:right="0"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①类似材料价格按以下顺序确定，且若《厂商价格信息》中的材料价有区间值的，取平均值计算：</w:t>
      </w:r>
    </w:p>
    <w:p w14:paraId="4C979A8A">
      <w:pPr>
        <w:keepNext w:val="0"/>
        <w:keepLines w:val="0"/>
        <w:widowControl w:val="0"/>
        <w:suppressLineNumbers w:val="0"/>
        <w:adjustRightInd w:val="0"/>
        <w:snapToGrid w:val="0"/>
        <w:spacing w:before="0" w:beforeAutospacing="0" w:after="0" w:afterAutospacing="0" w:line="360" w:lineRule="auto"/>
        <w:ind w:left="0" w:right="0"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a.有招标推荐品牌的，按对应推荐品牌表由下往上选5家以内（含5家）对应厂商价格的平均值计算类似材料价格；</w:t>
      </w:r>
    </w:p>
    <w:p w14:paraId="6CB49D0C">
      <w:pPr>
        <w:keepNext w:val="0"/>
        <w:keepLines w:val="0"/>
        <w:widowControl w:val="0"/>
        <w:suppressLineNumbers w:val="0"/>
        <w:adjustRightInd w:val="0"/>
        <w:snapToGrid w:val="0"/>
        <w:spacing w:before="0" w:beforeAutospacing="0" w:after="0" w:afterAutospacing="0" w:line="360" w:lineRule="auto"/>
        <w:ind w:left="0" w:right="0"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b.没有招标推荐品牌，但看样定板有选定品牌且有对应厂商价格的，按照选定品牌对应的厂商价格计算类似材料价格；</w:t>
      </w:r>
    </w:p>
    <w:p w14:paraId="47C87365">
      <w:pPr>
        <w:keepNext w:val="0"/>
        <w:keepLines w:val="0"/>
        <w:widowControl w:val="0"/>
        <w:suppressLineNumbers w:val="0"/>
        <w:adjustRightInd w:val="0"/>
        <w:snapToGrid w:val="0"/>
        <w:spacing w:before="0" w:beforeAutospacing="0" w:after="0" w:afterAutospacing="0" w:line="360" w:lineRule="auto"/>
        <w:ind w:left="0" w:right="0"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②若招标当期《厂商价格信息》中相应材料（即新增主材）价有区间值的，取低值计算；选用品牌与使用品牌不一致时，按低值取定。</w:t>
      </w:r>
    </w:p>
    <w:p w14:paraId="69E3DE61">
      <w:pPr>
        <w:keepNext w:val="0"/>
        <w:keepLines w:val="0"/>
        <w:widowControl w:val="0"/>
        <w:suppressLineNumbers w:val="0"/>
        <w:adjustRightInd w:val="0"/>
        <w:snapToGrid w:val="0"/>
        <w:spacing w:before="0" w:beforeAutospacing="0" w:after="0" w:afterAutospacing="0" w:line="360" w:lineRule="auto"/>
        <w:ind w:left="0" w:right="0"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若工程量报价清单中没有适用的材料单价且无类似材料单价的，招标当期《综合价格》中也没有相应的材料综合价格，则按招标当期《厂商价格信息》中所有品牌中相应材料的最低价下浮5%以上并结合合理的市场价格取定。若《厂商价格信息》中的材料价有区间值的，取低值。</w:t>
      </w:r>
    </w:p>
    <w:p w14:paraId="795FFC6D">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5）招标当期《综合价格》和《厂商价格信息》中均没有相应的价格的，由发包人与承包人根据合理的市场价格水平协商确定。</w:t>
      </w:r>
    </w:p>
    <w:p w14:paraId="69094B58">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无论是工程量报价清单中已有适用的材料单价，或按招标当期《综合价格》或《厂商价格信息》确定的材料单价，或由发包人与承包人协商确定的材料单价，均须按由发包人对材料看样定板（特别是主材设备可能影响装饰、装修或景观效果的）后才能确定材料单价。如需定价的则看样定板、材料设备定价与相应的设计变更确立应同时进行。</w:t>
      </w:r>
    </w:p>
    <w:p w14:paraId="690AE39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7）《综合价格》按上、下半月或区间价发布的，取当期上、下半月或区间值的平均值计算。</w:t>
      </w:r>
    </w:p>
    <w:p w14:paraId="30CDB2EC">
      <w:pPr>
        <w:keepNext w:val="0"/>
        <w:keepLines w:val="0"/>
        <w:widowControl w:val="0"/>
        <w:suppressLineNumbers w:val="0"/>
        <w:adjustRightInd w:val="0"/>
        <w:snapToGrid w:val="0"/>
        <w:spacing w:before="0" w:beforeAutospacing="0" w:after="0" w:afterAutospacing="0" w:line="360" w:lineRule="auto"/>
        <w:ind w:left="0" w:right="11" w:firstLine="403"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default" w:ascii="Times New Roman" w:hAnsi="Times New Roman" w:eastAsia="宋体" w:cs="Times New Roman"/>
          <w:bCs/>
          <w:color w:val="auto"/>
          <w:kern w:val="2"/>
          <w:sz w:val="21"/>
          <w:szCs w:val="21"/>
          <w:highlight w:val="none"/>
          <w:lang w:val="en-US" w:eastAsia="zh-CN" w:bidi="ar"/>
        </w:rPr>
        <w:t>8</w:t>
      </w:r>
      <w:r>
        <w:rPr>
          <w:rFonts w:hint="eastAsia" w:ascii="宋体" w:hAnsi="宋体" w:eastAsia="宋体" w:cs="宋体"/>
          <w:color w:val="auto"/>
          <w:kern w:val="2"/>
          <w:sz w:val="24"/>
          <w:szCs w:val="24"/>
          <w:highlight w:val="none"/>
          <w:lang w:val="en-US" w:eastAsia="zh-CN" w:bidi="ar"/>
        </w:rPr>
        <w:t xml:space="preserve">）对于甲管乙供材料，发包人已在招标文件中设定了暂定价（详见暂定主材价表），承包人在报价时按暂定价计入报价中，待承包人与发包人共同招标或择优竞价确定价格并选定确认的材料后，含有该材料的工程量清单的综合单价调整公式如下： </w:t>
      </w:r>
    </w:p>
    <w:p w14:paraId="34044E4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调整的综合单价＝工程量清单中综合单价＋材料价差。</w:t>
      </w:r>
    </w:p>
    <w:p w14:paraId="0E348871">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材料价差＝发包人及监理单位共同确认的最终材料单价－招标文件中的暂定材料单价。</w:t>
      </w:r>
    </w:p>
    <w:p w14:paraId="497C6E6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（2）机电安装工程：</w:t>
      </w:r>
    </w:p>
    <w:p w14:paraId="2E2BB55D">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机电安装工程的合同换算综合单价及合同外新增项目综合单价的主材价格确定方式按照如下约定执行：</w:t>
      </w:r>
    </w:p>
    <w:p w14:paraId="57781751">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1）工程量清单中已有适用且合理的主材单价的，则按已有的主材单价执行。</w:t>
      </w:r>
    </w:p>
    <w:p w14:paraId="4D345073">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2）工程量报价清单中没有适用的材料单价，但招标当期《综合价格》中有的，则按招标当期《综合价格》中相应材料价格取定执行。</w:t>
      </w:r>
    </w:p>
    <w:p w14:paraId="113A6AD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3）工程量清单中没有适用的主材单价、且招标当期《综合价格》没有相应材料价格的，则按下列约定执行：</w:t>
      </w:r>
    </w:p>
    <w:p w14:paraId="79078923">
      <w:pPr>
        <w:keepNext w:val="0"/>
        <w:keepLines w:val="0"/>
        <w:widowControl/>
        <w:suppressLineNumbers w:val="0"/>
        <w:adjustRightInd w:val="0"/>
        <w:snapToGrid w:val="0"/>
        <w:spacing w:before="0" w:beforeAutospacing="0" w:after="0" w:afterAutospacing="0" w:line="360" w:lineRule="auto"/>
        <w:ind w:left="0" w:right="11" w:firstLine="460" w:firstLineChars="192"/>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① 有招标推荐品牌，且对应推荐品牌表由下往上选取5家以内（含5家）的主材设备品牌（厂家）在招标当期《厂商价格信息》中有价格的，确定主材价格时，按如下约定执行：</w:t>
      </w:r>
    </w:p>
    <w:p w14:paraId="64F8D5F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a.求出该类材料设备的“投标报价调整系数”：</w:t>
      </w:r>
    </w:p>
    <w:p w14:paraId="15911891">
      <w:pPr>
        <w:keepNext w:val="0"/>
        <w:keepLines w:val="0"/>
        <w:widowControl/>
        <w:suppressLineNumbers w:val="0"/>
        <w:adjustRightInd w:val="0"/>
        <w:snapToGrid w:val="0"/>
        <w:spacing w:before="0" w:beforeAutospacing="0" w:after="0" w:afterAutospacing="0" w:line="360" w:lineRule="auto"/>
        <w:ind w:left="0" w:right="11" w:firstLine="460" w:firstLineChars="192"/>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报价调整系数=∑【分部分项工程量清单计价汇总表中此类主材设备（组成中标总价的）各主材费单价÷招标当期《厂商价格信息》中对应推荐品牌表由下往上选取5家以内（含5家）品牌（厂家）此类主材设备各相应规格厂商价格平均值】÷【此类主材设备清单项目总数】；如对应推</w:t>
      </w:r>
      <w:r>
        <w:rPr>
          <w:rFonts w:hint="default" w:ascii="宋体" w:hAnsi="宋体" w:eastAsia="宋体" w:cs="宋体"/>
          <w:color w:val="auto"/>
          <w:kern w:val="2"/>
          <w:sz w:val="24"/>
          <w:szCs w:val="24"/>
          <w:highlight w:val="none"/>
          <w:lang w:eastAsia="zh-CN" w:bidi="ar"/>
        </w:rPr>
        <w:t>荐</w:t>
      </w:r>
      <w:r>
        <w:rPr>
          <w:rFonts w:hint="eastAsia" w:ascii="宋体" w:hAnsi="宋体" w:eastAsia="宋体" w:cs="宋体"/>
          <w:color w:val="auto"/>
          <w:kern w:val="2"/>
          <w:sz w:val="24"/>
          <w:szCs w:val="24"/>
          <w:highlight w:val="none"/>
          <w:lang w:val="en-US" w:eastAsia="zh-CN" w:bidi="ar"/>
        </w:rPr>
        <w:t>品牌表由下往上选取5家以内（含5家）的此类材料设备的品牌（厂家）有2个或以上在招标当期《厂商价格信息》中有价格的，按其中价格水平最高的品牌（厂家）取定上述公式中的厂商价格。</w:t>
      </w:r>
    </w:p>
    <w:p w14:paraId="75D93A32">
      <w:pPr>
        <w:keepNext w:val="0"/>
        <w:keepLines w:val="0"/>
        <w:widowControl/>
        <w:suppressLineNumbers w:val="0"/>
        <w:adjustRightInd w:val="0"/>
        <w:snapToGrid w:val="0"/>
        <w:spacing w:before="0" w:beforeAutospacing="0" w:after="0" w:afterAutospacing="0" w:line="360" w:lineRule="auto"/>
        <w:ind w:left="0" w:right="11" w:firstLine="460" w:firstLineChars="192"/>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当对应</w:t>
      </w:r>
      <w:r>
        <w:rPr>
          <w:rFonts w:hint="default" w:ascii="宋体" w:hAnsi="宋体" w:eastAsia="宋体" w:cs="宋体"/>
          <w:color w:val="auto"/>
          <w:kern w:val="2"/>
          <w:sz w:val="24"/>
          <w:szCs w:val="24"/>
          <w:highlight w:val="none"/>
          <w:lang w:eastAsia="zh-CN" w:bidi="ar"/>
        </w:rPr>
        <w:t>推荐</w:t>
      </w:r>
      <w:r>
        <w:rPr>
          <w:rFonts w:hint="eastAsia" w:ascii="宋体" w:hAnsi="宋体" w:eastAsia="宋体" w:cs="宋体"/>
          <w:color w:val="auto"/>
          <w:kern w:val="2"/>
          <w:sz w:val="24"/>
          <w:szCs w:val="24"/>
          <w:highlight w:val="none"/>
          <w:lang w:val="en-US" w:eastAsia="zh-CN" w:bidi="ar"/>
        </w:rPr>
        <w:t>品牌表由下往上选取5家以内（含5家）的某个材料设备品牌（厂家）的系数按【分部分项工程量清单计价汇总表中此类主材设备（组成中标总价的）各主材费单价÷招标当期《厂商价格信息》中对应</w:t>
      </w:r>
      <w:r>
        <w:rPr>
          <w:rFonts w:hint="default" w:ascii="宋体" w:hAnsi="宋体" w:eastAsia="宋体" w:cs="宋体"/>
          <w:color w:val="auto"/>
          <w:kern w:val="2"/>
          <w:sz w:val="24"/>
          <w:szCs w:val="24"/>
          <w:highlight w:val="none"/>
          <w:lang w:eastAsia="zh-CN" w:bidi="ar"/>
        </w:rPr>
        <w:t>推荐</w:t>
      </w:r>
      <w:r>
        <w:rPr>
          <w:rFonts w:hint="eastAsia" w:ascii="宋体" w:hAnsi="宋体" w:eastAsia="宋体" w:cs="宋体"/>
          <w:color w:val="auto"/>
          <w:kern w:val="2"/>
          <w:sz w:val="24"/>
          <w:szCs w:val="24"/>
          <w:highlight w:val="none"/>
          <w:lang w:val="en-US" w:eastAsia="zh-CN" w:bidi="ar"/>
        </w:rPr>
        <w:t>品牌表由下往上选取5家以内（含5家）品牌（厂家）此类主材设备各相应规格厂商价格平均值】大于或等于0.95时，按0.95计算。</w:t>
      </w:r>
    </w:p>
    <w:p w14:paraId="659C2168">
      <w:pPr>
        <w:keepNext w:val="0"/>
        <w:keepLines w:val="0"/>
        <w:widowControl w:val="0"/>
        <w:suppressLineNumbers w:val="0"/>
        <w:adjustRightInd w:val="0"/>
        <w:snapToGrid w:val="0"/>
        <w:spacing w:before="0" w:beforeAutospacing="0" w:after="0" w:afterAutospacing="0" w:line="360" w:lineRule="auto"/>
        <w:ind w:left="0" w:right="0"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b.直接套用招标当期《厂商价格信息》内对应</w:t>
      </w:r>
      <w:r>
        <w:rPr>
          <w:rFonts w:hint="default" w:ascii="宋体" w:hAnsi="宋体" w:eastAsia="宋体" w:cs="宋体"/>
          <w:color w:val="auto"/>
          <w:kern w:val="2"/>
          <w:sz w:val="24"/>
          <w:szCs w:val="24"/>
          <w:highlight w:val="none"/>
          <w:lang w:eastAsia="zh-CN" w:bidi="ar"/>
        </w:rPr>
        <w:t>推荐</w:t>
      </w:r>
      <w:r>
        <w:rPr>
          <w:rFonts w:hint="eastAsia" w:ascii="宋体" w:hAnsi="宋体" w:eastAsia="宋体" w:cs="宋体"/>
          <w:color w:val="auto"/>
          <w:kern w:val="2"/>
          <w:sz w:val="24"/>
          <w:szCs w:val="24"/>
          <w:highlight w:val="none"/>
          <w:lang w:val="en-US" w:eastAsia="zh-CN" w:bidi="ar"/>
        </w:rPr>
        <w:t>品牌表由下往上选取5家以内（含5家）品牌（厂家）中相应主材的最低价，并乘以“投标报价调整系数”计算，不能直接套用的则根据招标当期《厂商价格信息》内对应</w:t>
      </w:r>
      <w:r>
        <w:rPr>
          <w:rFonts w:hint="default" w:ascii="宋体" w:hAnsi="宋体" w:eastAsia="宋体" w:cs="宋体"/>
          <w:color w:val="auto"/>
          <w:kern w:val="2"/>
          <w:sz w:val="24"/>
          <w:szCs w:val="24"/>
          <w:highlight w:val="none"/>
          <w:lang w:eastAsia="zh-CN" w:bidi="ar"/>
        </w:rPr>
        <w:t>推荐</w:t>
      </w:r>
      <w:r>
        <w:rPr>
          <w:rFonts w:hint="eastAsia" w:ascii="宋体" w:hAnsi="宋体" w:eastAsia="宋体" w:cs="宋体"/>
          <w:color w:val="auto"/>
          <w:kern w:val="2"/>
          <w:sz w:val="24"/>
          <w:szCs w:val="24"/>
          <w:highlight w:val="none"/>
          <w:lang w:val="en-US" w:eastAsia="zh-CN" w:bidi="ar"/>
        </w:rPr>
        <w:t>品牌表由下往上选取5家以内（含5家）的品牌中相应主材规格的最低价用插值法或倍数法换算（优先采用插值法计算），并乘以“投标报价调整系数”计算。</w:t>
      </w:r>
    </w:p>
    <w:p w14:paraId="3F86FDB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② 无招标推荐品牌，但看样定板确定的主材设备品牌（厂家）在招标当期《厂商价格信息》中有价格的，确定主材价格时，按如下约定执行：</w:t>
      </w:r>
    </w:p>
    <w:p w14:paraId="7DB24FE9">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a.求出该类材料设备的“投标报价调整系数”：</w:t>
      </w:r>
    </w:p>
    <w:p w14:paraId="418C728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投标报价调整系数=∑【分部分项工程量清单计价汇总表中此类主材设备（组成中标总价的）各主材费单价÷招标当期《厂商价格信息》中看样定板确定品牌（厂家）此类主材设备各相应规格厂商价格】÷【此类主材设备清单项目总数】；如看样定板确定的此类材料设备的品牌（厂家）有2个或以上在招标当期《厂商价格信息》中有价格的，按其中价格水平最高的品牌（厂家）取定上述公式中的厂商价格。</w:t>
      </w:r>
    </w:p>
    <w:p w14:paraId="7DEDC19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当看样定板确定的某个材料设备品牌（厂家）的系数按【分部分项工程量清单计价汇总表中此类主材设备（组成中标总价的）各主材费单价÷招标当期《厂商价格信息》中看样定板确定品牌（厂家）此类主材设备各相应规格厂商价格】大于或等于0.95时，按0.95计算。</w:t>
      </w:r>
    </w:p>
    <w:p w14:paraId="4D59CAE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b.直接套用招标当期《厂商价格信息》内看样定板确定品牌（厂家）中相应主材的最低价，并乘以“投标报价调整系数”计算，不能直接套用的则根据招标当期《厂商价格信息》内看样定板确定的品牌中相应主材规格的最低价用插值法或倍数法换算（优先采用插值法计算），并乘以“投标报价调整系数”计算。</w:t>
      </w:r>
    </w:p>
    <w:p w14:paraId="6445A379">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③招标推荐品牌（厂家）、看样定板确定的主材设备品牌（厂家）在招标当期《厂商价格信息》中均未有价格，但其他品牌（厂家）在招标当期《厂商价格信息》中有价格，则按招标当期《厂商价格信息》中所有品牌相应规格型号材料单价的最低价下浮5％以上并结合合理的市场价格取定执行。</w:t>
      </w:r>
    </w:p>
    <w:p w14:paraId="215F3A3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4）工程量清单中没有适用的主材单价，同时招标当期《综合价格》和《厂商价格信息》中均没有相应材料价格的，由发包人与承包人根据合理的市场价格水平协商确定主材单价。</w:t>
      </w:r>
    </w:p>
    <w:p w14:paraId="4A83FAF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5）《综合价格》按上、下半月或区间价发布的，取当期上、下半月或区间值的平均值计算。</w:t>
      </w:r>
    </w:p>
    <w:p w14:paraId="63DFCFC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6）配电箱项目的主材费报价、及配电箱变更（新增）项目的计价按如下规定执行。</w:t>
      </w:r>
    </w:p>
    <w:p w14:paraId="13D2EBF9">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① 配电箱主材费报价说明：</w:t>
      </w:r>
    </w:p>
    <w:p w14:paraId="7DE865B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strike/>
          <w:dstrike w:val="0"/>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a.承包人申报配电箱主元器件品牌（厂家）须满足招标文件及设计文件要求。</w:t>
      </w:r>
    </w:p>
    <w:p w14:paraId="375CA05A">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b.每一台配电箱主材费由主元器件、箱体、综合费三部分费用组成，其中：</w:t>
      </w:r>
    </w:p>
    <w:p w14:paraId="5E22DDE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Ⅰ.配电箱箱内主元器件：指断路器、漏电开关、自动转换开关、接触器、隔离开关、继电器、浪涌保护产品、计量表（电度表）、互感器、避雷器。</w:t>
      </w:r>
    </w:p>
    <w:p w14:paraId="22E3234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Ⅱ.配电箱箱体报价中应包含箱内所有必须的隔板、挂板的费用。承包人填报《配电箱价格分析表》时须填写各配电箱的箱体规格（长×宽×高），并在“备注”栏中填写用箱体报价除以外箱体六个箱面的展开总面积（m</w:t>
      </w:r>
      <w:r>
        <w:rPr>
          <w:rFonts w:hint="eastAsia" w:ascii="宋体" w:hAnsi="宋体" w:eastAsia="宋体" w:cs="宋体"/>
          <w:color w:val="auto"/>
          <w:kern w:val="0"/>
          <w:sz w:val="24"/>
          <w:szCs w:val="24"/>
          <w:highlight w:val="none"/>
          <w:vertAlign w:val="superscript"/>
          <w:lang w:val="en-US" w:eastAsia="zh-CN" w:bidi="ar"/>
        </w:rPr>
        <w:t>2</w:t>
      </w:r>
      <w:r>
        <w:rPr>
          <w:rFonts w:hint="eastAsia" w:ascii="宋体" w:hAnsi="宋体" w:eastAsia="宋体" w:cs="宋体"/>
          <w:color w:val="auto"/>
          <w:kern w:val="0"/>
          <w:sz w:val="24"/>
          <w:szCs w:val="24"/>
          <w:highlight w:val="none"/>
          <w:lang w:val="en-US" w:eastAsia="zh-CN" w:bidi="ar"/>
        </w:rPr>
        <w:t>）得出的每m</w:t>
      </w:r>
      <w:r>
        <w:rPr>
          <w:rFonts w:hint="eastAsia" w:ascii="宋体" w:hAnsi="宋体" w:eastAsia="宋体" w:cs="宋体"/>
          <w:color w:val="auto"/>
          <w:kern w:val="0"/>
          <w:sz w:val="24"/>
          <w:szCs w:val="24"/>
          <w:highlight w:val="none"/>
          <w:vertAlign w:val="superscript"/>
          <w:lang w:val="en-US" w:eastAsia="zh-CN" w:bidi="ar"/>
        </w:rPr>
        <w:t>2</w:t>
      </w:r>
      <w:r>
        <w:rPr>
          <w:rFonts w:hint="eastAsia" w:ascii="宋体" w:hAnsi="宋体" w:eastAsia="宋体" w:cs="宋体"/>
          <w:color w:val="auto"/>
          <w:kern w:val="0"/>
          <w:sz w:val="24"/>
          <w:szCs w:val="24"/>
          <w:highlight w:val="none"/>
          <w:lang w:val="en-US" w:eastAsia="zh-CN" w:bidi="ar"/>
        </w:rPr>
        <w:t>价格[不得超过发包人给出的配电箱箱体单位面积限价（250元/m</w:t>
      </w:r>
      <w:r>
        <w:rPr>
          <w:rFonts w:hint="eastAsia" w:ascii="宋体" w:hAnsi="宋体" w:eastAsia="宋体" w:cs="宋体"/>
          <w:color w:val="auto"/>
          <w:kern w:val="0"/>
          <w:sz w:val="24"/>
          <w:szCs w:val="24"/>
          <w:highlight w:val="none"/>
          <w:vertAlign w:val="superscript"/>
          <w:lang w:val="en-US" w:eastAsia="zh-CN" w:bidi="ar"/>
        </w:rPr>
        <w:t>2</w:t>
      </w:r>
      <w:r>
        <w:rPr>
          <w:rFonts w:hint="eastAsia" w:ascii="宋体" w:hAnsi="宋体" w:eastAsia="宋体" w:cs="宋体"/>
          <w:color w:val="auto"/>
          <w:kern w:val="0"/>
          <w:sz w:val="24"/>
          <w:szCs w:val="24"/>
          <w:highlight w:val="none"/>
          <w:lang w:val="en-US" w:eastAsia="zh-CN" w:bidi="ar"/>
        </w:rPr>
        <w:t>），如承包人申报新增（变更）价格超出限价，则按配电箱箱体单位面积（250元/m</w:t>
      </w:r>
      <w:r>
        <w:rPr>
          <w:rFonts w:hint="eastAsia" w:ascii="宋体" w:hAnsi="宋体" w:eastAsia="宋体" w:cs="宋体"/>
          <w:color w:val="auto"/>
          <w:kern w:val="0"/>
          <w:sz w:val="24"/>
          <w:szCs w:val="24"/>
          <w:highlight w:val="none"/>
          <w:vertAlign w:val="superscript"/>
          <w:lang w:val="en-US" w:eastAsia="zh-CN" w:bidi="ar"/>
        </w:rPr>
        <w:t>2</w:t>
      </w:r>
      <w:r>
        <w:rPr>
          <w:rFonts w:hint="eastAsia" w:ascii="宋体" w:hAnsi="宋体" w:eastAsia="宋体" w:cs="宋体"/>
          <w:color w:val="auto"/>
          <w:kern w:val="0"/>
          <w:sz w:val="24"/>
          <w:szCs w:val="24"/>
          <w:highlight w:val="none"/>
          <w:lang w:val="en-US" w:eastAsia="zh-CN" w:bidi="ar"/>
        </w:rPr>
        <w:t>）执行]。</w:t>
      </w:r>
    </w:p>
    <w:p w14:paraId="5292BE9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Ⅲ.综合费包括除箱体、主元器件外的其他一切耗材及辅材费、组装费等一切相关费用。综合费费率统一取定为25%。</w:t>
      </w:r>
    </w:p>
    <w:p w14:paraId="39C00D1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Ⅳ.单个配电箱主材费＝∑【主元器件单价×数量】+箱体+(∑【主元器件单价×数量】+箱体)×综合费费率。</w:t>
      </w:r>
    </w:p>
    <w:p w14:paraId="3958EC3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Ⅴ.承包人对招标图纸中的配电箱的报价将作为固定单价，并且在图纸不变的情况下单价包干；除非发包人对招标图纸有明确的设计变更通知单，即原设计图纸的配电箱有设计变更，方能按配电箱变更及新增配电箱的计价说明中的相关规定调整。</w:t>
      </w:r>
    </w:p>
    <w:p w14:paraId="5E774A2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② 配电箱变更及新增配电箱的主材费计价说明：</w:t>
      </w:r>
    </w:p>
    <w:p w14:paraId="19759C5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a.承包人申报配电箱主元器件品牌（厂家）须满足招标文件及设计文件要求。</w:t>
      </w:r>
    </w:p>
    <w:p w14:paraId="32F24D3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b.《配电箱价格分析表》中主元器件单价定价原则：若合同内有类似单价且合理的，则参考合同单价，其他按看样定板确定品牌对应《电气元件价格表》相应主元器件的最低价为基准下浮30%并结合市场价格执行。</w:t>
      </w:r>
    </w:p>
    <w:p w14:paraId="16070BB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c.配电箱变更的主材费计价具体按如下约定执行：</w:t>
      </w:r>
    </w:p>
    <w:p w14:paraId="0B1D32B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Ⅰ.配电箱变更引起的主元器件主材费变化仅计算相关的主元器件的价差；</w:t>
      </w:r>
    </w:p>
    <w:p w14:paraId="0B6A4DF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Ⅱ.配电箱变更引起箱体的任何变化（包括但不限于箱体内回路的增减、隔板或挂板的增减、箱体材料厚度改变等变化），箱体价格均不再调整；</w:t>
      </w:r>
    </w:p>
    <w:tbl>
      <w:tblPr>
        <w:tblStyle w:val="4"/>
        <w:tblW w:w="8388"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88"/>
      </w:tblGrid>
      <w:tr w14:paraId="1531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8388" w:type="dxa"/>
            <w:tcBorders>
              <w:top w:val="nil"/>
              <w:left w:val="nil"/>
              <w:bottom w:val="nil"/>
              <w:right w:val="nil"/>
            </w:tcBorders>
            <w:shd w:val="clear" w:color="auto" w:fill="auto"/>
            <w:noWrap/>
            <w:vAlign w:val="center"/>
          </w:tcPr>
          <w:p w14:paraId="1A89BC57">
            <w:pPr>
              <w:keepNext w:val="0"/>
              <w:keepLines w:val="0"/>
              <w:widowControl/>
              <w:suppressLineNumbers w:val="0"/>
              <w:spacing w:before="0" w:beforeAutospacing="0" w:after="0" w:afterAutospacing="0" w:line="360" w:lineRule="auto"/>
              <w:ind w:left="0" w:right="0" w:firstLine="480"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Ⅲ.变更后的单个配电箱主材费＝(∑【变更后主元器件单价×数量】-∑【变更前主元器件单价×数量】）×（1+综合费费率）+变更前配电箱价格。综合费费率统一取定为25%。</w:t>
            </w:r>
          </w:p>
        </w:tc>
      </w:tr>
    </w:tbl>
    <w:p w14:paraId="67FB143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d.新增配电箱主材费计价具体按如下约定执行：</w:t>
      </w:r>
    </w:p>
    <w:p w14:paraId="60348B1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Ⅰ.工程量清单内已含的配电箱仅是数量发生变化的，增加的配电箱不作为新增配电箱计价；</w:t>
      </w:r>
    </w:p>
    <w:p w14:paraId="2F1E4F89">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Ⅱ.新增配电箱箱体根据配电箱所含出线回路的总位数计价：承包人投标文件《配电箱价格分析表》中有相同出线回路位数的配电箱的箱体单价，且低于或等于限价（250元/m²）的，直接套用；若超出限价（250元/m²）的，则按250元/m²执行。《配电箱价格分析表》中具有相同出线回路位数的配电箱的箱体单价不一致的，若相应箱体单价的平均价低于或等于限价（250元/m²），则按平均价计价；若超出限价（250元/m²）的，则按250元/m²计算。如承包人未填报工程量清单所包含的配电箱的《配电箱价格分析表》，则进行新增配电箱箱体价格计算时，工程量清单所包含的相应配电箱箱体价格以出线回路位数统一按下表计取：</w:t>
      </w:r>
    </w:p>
    <w:p w14:paraId="13F8EEC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33047C8">
      <w:pPr>
        <w:keepNext w:val="0"/>
        <w:keepLines w:val="0"/>
        <w:widowControl w:val="0"/>
        <w:suppressLineNumbers w:val="0"/>
        <w:adjustRightInd w:val="0"/>
        <w:snapToGrid w:val="0"/>
        <w:spacing w:before="0" w:beforeAutospacing="0" w:after="0" w:afterAutospacing="0" w:line="360" w:lineRule="auto"/>
        <w:ind w:left="0" w:right="11"/>
        <w:jc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2"/>
          <w:sz w:val="24"/>
          <w:szCs w:val="24"/>
          <w:highlight w:val="none"/>
          <w:lang w:val="en-US" w:eastAsia="zh-CN" w:bidi="ar"/>
        </w:rPr>
        <w:t>新增配电箱箱体税前价格计算表</w:t>
      </w:r>
    </w:p>
    <w:tbl>
      <w:tblPr>
        <w:tblStyle w:val="4"/>
        <w:tblW w:w="9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1"/>
        <w:gridCol w:w="2311"/>
        <w:gridCol w:w="3347"/>
        <w:gridCol w:w="3259"/>
      </w:tblGrid>
      <w:tr w14:paraId="1A969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721"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35A8843">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2311" w:type="dxa"/>
            <w:tcBorders>
              <w:top w:val="single" w:color="auto" w:sz="4" w:space="0"/>
              <w:left w:val="nil"/>
              <w:bottom w:val="single" w:color="auto" w:sz="4" w:space="0"/>
              <w:right w:val="single" w:color="000000" w:sz="4" w:space="0"/>
            </w:tcBorders>
            <w:shd w:val="clear" w:color="auto" w:fill="auto"/>
            <w:noWrap/>
            <w:vAlign w:val="bottom"/>
          </w:tcPr>
          <w:p w14:paraId="74A061AE">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配电箱出线回路位数</w:t>
            </w:r>
          </w:p>
        </w:tc>
        <w:tc>
          <w:tcPr>
            <w:tcW w:w="3347" w:type="dxa"/>
            <w:tcBorders>
              <w:top w:val="single" w:color="auto" w:sz="4" w:space="0"/>
              <w:left w:val="nil"/>
              <w:bottom w:val="single" w:color="auto" w:sz="4" w:space="0"/>
              <w:right w:val="single" w:color="000000" w:sz="4" w:space="0"/>
            </w:tcBorders>
            <w:shd w:val="clear" w:color="auto" w:fill="auto"/>
            <w:noWrap/>
            <w:vAlign w:val="bottom"/>
          </w:tcPr>
          <w:p w14:paraId="15492278">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照明配电箱箱体税前价格（元）</w:t>
            </w:r>
          </w:p>
        </w:tc>
        <w:tc>
          <w:tcPr>
            <w:tcW w:w="3259" w:type="dxa"/>
            <w:tcBorders>
              <w:top w:val="single" w:color="auto" w:sz="4" w:space="0"/>
              <w:left w:val="nil"/>
              <w:bottom w:val="single" w:color="auto" w:sz="4" w:space="0"/>
              <w:right w:val="single" w:color="000000" w:sz="4" w:space="0"/>
            </w:tcBorders>
            <w:shd w:val="clear" w:color="auto" w:fill="auto"/>
            <w:noWrap/>
            <w:vAlign w:val="bottom"/>
          </w:tcPr>
          <w:p w14:paraId="21EA89D6">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动力配电箱箱体税前价格（元）</w:t>
            </w:r>
          </w:p>
        </w:tc>
      </w:tr>
      <w:tr w14:paraId="5B4E7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63E6D79B">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739FFCB3">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3347" w:type="dxa"/>
            <w:vMerge w:val="restart"/>
            <w:tcBorders>
              <w:top w:val="nil"/>
              <w:left w:val="nil"/>
              <w:bottom w:val="single" w:color="000000" w:sz="4" w:space="0"/>
              <w:right w:val="single" w:color="000000" w:sz="4" w:space="0"/>
            </w:tcBorders>
            <w:shd w:val="clear" w:color="auto" w:fill="auto"/>
            <w:noWrap/>
            <w:vAlign w:val="center"/>
          </w:tcPr>
          <w:p w14:paraId="4148508E">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3259" w:type="dxa"/>
            <w:tcBorders>
              <w:top w:val="single" w:color="auto" w:sz="4" w:space="0"/>
              <w:left w:val="nil"/>
              <w:bottom w:val="single" w:color="auto" w:sz="4" w:space="0"/>
              <w:right w:val="single" w:color="000000" w:sz="4" w:space="0"/>
            </w:tcBorders>
            <w:shd w:val="clear" w:color="auto" w:fill="auto"/>
            <w:noWrap/>
            <w:vAlign w:val="center"/>
          </w:tcPr>
          <w:p w14:paraId="0D6D881A">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50</w:t>
            </w:r>
          </w:p>
        </w:tc>
      </w:tr>
      <w:tr w14:paraId="769A3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105563D5">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6D6E3623">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48ED2A7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tcBorders>
              <w:top w:val="single" w:color="auto" w:sz="4" w:space="0"/>
              <w:left w:val="nil"/>
              <w:bottom w:val="single" w:color="auto" w:sz="4" w:space="0"/>
              <w:right w:val="single" w:color="000000" w:sz="4" w:space="0"/>
            </w:tcBorders>
            <w:shd w:val="clear" w:color="auto" w:fill="auto"/>
            <w:noWrap/>
            <w:vAlign w:val="center"/>
          </w:tcPr>
          <w:p w14:paraId="77EE9D0D">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60</w:t>
            </w:r>
          </w:p>
        </w:tc>
      </w:tr>
      <w:tr w14:paraId="12D2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406F9F9D">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396B1AEA">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08CD1B7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tcBorders>
              <w:top w:val="single" w:color="auto" w:sz="4" w:space="0"/>
              <w:left w:val="nil"/>
              <w:bottom w:val="single" w:color="auto" w:sz="4" w:space="0"/>
              <w:right w:val="single" w:color="000000" w:sz="4" w:space="0"/>
            </w:tcBorders>
            <w:shd w:val="clear" w:color="auto" w:fill="auto"/>
            <w:noWrap/>
            <w:vAlign w:val="center"/>
          </w:tcPr>
          <w:p w14:paraId="0BBD55A6">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90</w:t>
            </w:r>
          </w:p>
        </w:tc>
      </w:tr>
      <w:tr w14:paraId="75F1D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29DEB018">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67D1E8AF">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11EDABE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7BD09E86">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105</w:t>
            </w:r>
          </w:p>
        </w:tc>
      </w:tr>
      <w:tr w14:paraId="7B65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7FD5A4F3">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5C14ADA4">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3347" w:type="dxa"/>
            <w:vMerge w:val="restart"/>
            <w:tcBorders>
              <w:top w:val="nil"/>
              <w:left w:val="nil"/>
              <w:bottom w:val="single" w:color="000000" w:sz="4" w:space="0"/>
              <w:right w:val="single" w:color="000000" w:sz="4" w:space="0"/>
            </w:tcBorders>
            <w:shd w:val="clear" w:color="auto" w:fill="auto"/>
            <w:noWrap/>
            <w:vAlign w:val="center"/>
          </w:tcPr>
          <w:p w14:paraId="308B4582">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35</w:t>
            </w: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0A6D152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110DA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33EC60D5">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12F67E9A">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3D99FF2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103AE7FA">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185</w:t>
            </w:r>
          </w:p>
        </w:tc>
      </w:tr>
      <w:tr w14:paraId="34C45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0834534A">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1D069623">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3347" w:type="dxa"/>
            <w:vMerge w:val="restart"/>
            <w:tcBorders>
              <w:top w:val="nil"/>
              <w:left w:val="nil"/>
              <w:bottom w:val="single" w:color="000000" w:sz="4" w:space="0"/>
              <w:right w:val="single" w:color="000000" w:sz="4" w:space="0"/>
            </w:tcBorders>
            <w:shd w:val="clear" w:color="auto" w:fill="auto"/>
            <w:noWrap/>
            <w:vAlign w:val="center"/>
          </w:tcPr>
          <w:p w14:paraId="661B819B">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40</w:t>
            </w: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31ADD10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3D2E0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56209F55">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0E8E8540">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7284322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1758556B">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220</w:t>
            </w:r>
          </w:p>
        </w:tc>
      </w:tr>
      <w:tr w14:paraId="5D1B4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3ED1BCF2">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01EE4A72">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7FAFE2A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4E96B02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BE5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07AA1002">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060F8723">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3347" w:type="dxa"/>
            <w:vMerge w:val="restart"/>
            <w:tcBorders>
              <w:top w:val="nil"/>
              <w:left w:val="nil"/>
              <w:bottom w:val="single" w:color="000000" w:sz="4" w:space="0"/>
              <w:right w:val="single" w:color="000000" w:sz="4" w:space="0"/>
            </w:tcBorders>
            <w:shd w:val="clear" w:color="auto" w:fill="auto"/>
            <w:noWrap/>
            <w:vAlign w:val="center"/>
          </w:tcPr>
          <w:p w14:paraId="2DCA1CDB">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50</w:t>
            </w:r>
          </w:p>
        </w:tc>
        <w:tc>
          <w:tcPr>
            <w:tcW w:w="3259" w:type="dxa"/>
            <w:vMerge w:val="restart"/>
            <w:tcBorders>
              <w:top w:val="nil"/>
              <w:left w:val="nil"/>
              <w:bottom w:val="single" w:color="000000" w:sz="4" w:space="0"/>
              <w:right w:val="single" w:color="000000" w:sz="4" w:space="0"/>
            </w:tcBorders>
            <w:shd w:val="clear" w:color="auto" w:fill="auto"/>
            <w:noWrap/>
            <w:vAlign w:val="center"/>
          </w:tcPr>
          <w:p w14:paraId="608CD599">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255</w:t>
            </w:r>
          </w:p>
        </w:tc>
      </w:tr>
      <w:tr w14:paraId="6935F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17FBC67D">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334A5743">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5443222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553104F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2022D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4A0E71D7">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61F06633">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32F675A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31A885A2">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260</w:t>
            </w:r>
          </w:p>
        </w:tc>
      </w:tr>
      <w:tr w14:paraId="4ABAF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4D5A5FEA">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77BC63E1">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3347" w:type="dxa"/>
            <w:vMerge w:val="restart"/>
            <w:tcBorders>
              <w:top w:val="nil"/>
              <w:left w:val="nil"/>
              <w:bottom w:val="single" w:color="000000" w:sz="4" w:space="0"/>
              <w:right w:val="single" w:color="000000" w:sz="4" w:space="0"/>
            </w:tcBorders>
            <w:shd w:val="clear" w:color="auto" w:fill="auto"/>
            <w:noWrap/>
            <w:vAlign w:val="center"/>
          </w:tcPr>
          <w:p w14:paraId="62542A3C">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53</w:t>
            </w: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170C706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AE45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6F882135">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5834945E">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148E0EB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2291E847">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285</w:t>
            </w:r>
          </w:p>
        </w:tc>
      </w:tr>
      <w:tr w14:paraId="23CF2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7198D134">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56E0242C">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15</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5268225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4CF4657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CD15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1E898F39">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16E8AF1A">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16</w:t>
            </w:r>
          </w:p>
        </w:tc>
        <w:tc>
          <w:tcPr>
            <w:tcW w:w="3347" w:type="dxa"/>
            <w:vMerge w:val="restart"/>
            <w:tcBorders>
              <w:top w:val="nil"/>
              <w:left w:val="nil"/>
              <w:bottom w:val="single" w:color="000000" w:sz="4" w:space="0"/>
              <w:right w:val="single" w:color="000000" w:sz="4" w:space="0"/>
            </w:tcBorders>
            <w:shd w:val="clear" w:color="auto" w:fill="auto"/>
            <w:noWrap/>
            <w:vAlign w:val="center"/>
          </w:tcPr>
          <w:p w14:paraId="52610306">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55</w:t>
            </w: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6F945F1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4C17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6313465B">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7831D9C0">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17</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17E259C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36618EAB">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330</w:t>
            </w:r>
          </w:p>
        </w:tc>
      </w:tr>
      <w:tr w14:paraId="2BF7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424325BE">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3D5E9A20">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18</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2F95529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0EB4D24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5B4C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0739AE72">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5A1678F8">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19</w:t>
            </w:r>
          </w:p>
        </w:tc>
        <w:tc>
          <w:tcPr>
            <w:tcW w:w="3347" w:type="dxa"/>
            <w:vMerge w:val="restart"/>
            <w:tcBorders>
              <w:top w:val="nil"/>
              <w:left w:val="nil"/>
              <w:bottom w:val="single" w:color="000000" w:sz="4" w:space="0"/>
              <w:right w:val="single" w:color="000000" w:sz="4" w:space="0"/>
            </w:tcBorders>
            <w:shd w:val="clear" w:color="auto" w:fill="auto"/>
            <w:noWrap/>
            <w:vAlign w:val="center"/>
          </w:tcPr>
          <w:p w14:paraId="6D1FB6F4">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65</w:t>
            </w:r>
          </w:p>
        </w:tc>
        <w:tc>
          <w:tcPr>
            <w:tcW w:w="3259" w:type="dxa"/>
            <w:vMerge w:val="restart"/>
            <w:tcBorders>
              <w:top w:val="nil"/>
              <w:left w:val="nil"/>
              <w:bottom w:val="single" w:color="000000" w:sz="4" w:space="0"/>
              <w:right w:val="single" w:color="000000" w:sz="4" w:space="0"/>
            </w:tcBorders>
            <w:shd w:val="clear" w:color="auto" w:fill="auto"/>
            <w:noWrap/>
            <w:vAlign w:val="center"/>
          </w:tcPr>
          <w:p w14:paraId="183B05C6">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355</w:t>
            </w:r>
          </w:p>
        </w:tc>
      </w:tr>
      <w:tr w14:paraId="7CD52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55CBA3DD">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0C56CEA3">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20</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4E42E20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32EF868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2EA7B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431D1584">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5A1DE6C6">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781BB87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67108547">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410</w:t>
            </w:r>
          </w:p>
        </w:tc>
      </w:tr>
      <w:tr w14:paraId="516EF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527B9594">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52378FB9">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22</w:t>
            </w:r>
          </w:p>
        </w:tc>
        <w:tc>
          <w:tcPr>
            <w:tcW w:w="3347" w:type="dxa"/>
            <w:vMerge w:val="restart"/>
            <w:tcBorders>
              <w:top w:val="nil"/>
              <w:left w:val="nil"/>
              <w:bottom w:val="single" w:color="000000" w:sz="4" w:space="0"/>
              <w:right w:val="single" w:color="000000" w:sz="4" w:space="0"/>
            </w:tcBorders>
            <w:shd w:val="clear" w:color="auto" w:fill="auto"/>
            <w:noWrap/>
            <w:vAlign w:val="center"/>
          </w:tcPr>
          <w:p w14:paraId="406EFF6A">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70</w:t>
            </w: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2A0E691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5D078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42D8ADE9">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549C133D">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23</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642B959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46CCDAA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3565F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12665EA5">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40775F36">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24</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472A5F2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2CE3F2E4">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435</w:t>
            </w:r>
          </w:p>
        </w:tc>
      </w:tr>
      <w:tr w14:paraId="7A02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37B7DD6A">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06C023EF">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25</w:t>
            </w:r>
          </w:p>
        </w:tc>
        <w:tc>
          <w:tcPr>
            <w:tcW w:w="3347" w:type="dxa"/>
            <w:vMerge w:val="restart"/>
            <w:tcBorders>
              <w:top w:val="nil"/>
              <w:left w:val="nil"/>
              <w:bottom w:val="single" w:color="000000" w:sz="4" w:space="0"/>
              <w:right w:val="single" w:color="000000" w:sz="4" w:space="0"/>
            </w:tcBorders>
            <w:shd w:val="clear" w:color="auto" w:fill="auto"/>
            <w:noWrap/>
            <w:vAlign w:val="center"/>
          </w:tcPr>
          <w:p w14:paraId="4FA5270A">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74C6C75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5AC6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7A612344">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26</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3C235C94">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26</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45938E8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5F72DA0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61620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6B4E7831">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27</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0B57F078">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27</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458CF42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5B4A5A1F">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450</w:t>
            </w:r>
          </w:p>
        </w:tc>
      </w:tr>
      <w:tr w14:paraId="220CF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59D75C14">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28</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07D86EDC">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28</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3A0B2DD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5FECBE8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46E8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384D8DD7">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29</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30CDA68C">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29</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4F9D5C4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77B91BC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7B4C7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7BED2C51">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30</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6C2E8C15">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30</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51D66CB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373CFAD7">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755</w:t>
            </w:r>
          </w:p>
        </w:tc>
      </w:tr>
      <w:tr w14:paraId="17A9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167FCD8B">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31</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716B2FBF">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31</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3FFF531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4ADF795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32435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01097EAB">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32</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532E411D">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32</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2CC9B07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6846630C">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770</w:t>
            </w:r>
          </w:p>
        </w:tc>
      </w:tr>
      <w:tr w14:paraId="57247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40452C74">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33</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33D80352">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33</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169CD6E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320E93F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20B16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2B5B6567">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34</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4D11D747">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34</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4FCF0E8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2DFC6024">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785</w:t>
            </w:r>
          </w:p>
        </w:tc>
      </w:tr>
      <w:tr w14:paraId="4BC7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7D44720F">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35</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502114D9">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35</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27C0182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05E811A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538A6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16BEAAFC">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36</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68DA75FC">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36</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2179D6F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57FECB04">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800</w:t>
            </w:r>
          </w:p>
        </w:tc>
      </w:tr>
      <w:tr w14:paraId="18AFB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4EF99D38">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37</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1906E931">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37</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4191A14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4E618A1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2A048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40B64073">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38</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4B61D14A">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38</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2868DC0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718AEB37">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815</w:t>
            </w:r>
          </w:p>
        </w:tc>
      </w:tr>
      <w:tr w14:paraId="415F4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31889613">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39</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07EB7DE8">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39</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1D21826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054D914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18006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4F8045F5">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40</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1CE34205">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40</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6C672C4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73B8D5CA">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830</w:t>
            </w:r>
          </w:p>
        </w:tc>
      </w:tr>
      <w:tr w14:paraId="43206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17B52DBF">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4F8C905C">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7486090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3347E8A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0927B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5E5566F2">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32E0C864">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5453826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7908981B">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840</w:t>
            </w:r>
          </w:p>
        </w:tc>
      </w:tr>
      <w:tr w14:paraId="3A754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3936A296">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1D37E07D">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43</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6865188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1074731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21F85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00E69D98">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44</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4E05BD8C">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44</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66EFCD8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5607E078">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850</w:t>
            </w:r>
          </w:p>
        </w:tc>
      </w:tr>
      <w:tr w14:paraId="64727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2AD6A0BD">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45</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3C98FFD4">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45</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582E8F3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57C9750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6310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33FFAD97">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46</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53E819B6">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46</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6FBABCE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restart"/>
            <w:tcBorders>
              <w:top w:val="nil"/>
              <w:left w:val="nil"/>
              <w:bottom w:val="single" w:color="000000" w:sz="4" w:space="0"/>
              <w:right w:val="single" w:color="000000" w:sz="4" w:space="0"/>
            </w:tcBorders>
            <w:shd w:val="clear" w:color="auto" w:fill="auto"/>
            <w:noWrap/>
            <w:vAlign w:val="center"/>
          </w:tcPr>
          <w:p w14:paraId="71AF1235">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870</w:t>
            </w:r>
          </w:p>
        </w:tc>
      </w:tr>
      <w:tr w14:paraId="1B0D4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77A7448D">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47</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75DFDA1A">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47</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533678D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0AC8E03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14:paraId="66C6B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721" w:type="dxa"/>
            <w:tcBorders>
              <w:top w:val="nil"/>
              <w:left w:val="single" w:color="auto" w:sz="4" w:space="0"/>
              <w:bottom w:val="single" w:color="auto" w:sz="4" w:space="0"/>
              <w:right w:val="single" w:color="auto" w:sz="4" w:space="0"/>
            </w:tcBorders>
            <w:shd w:val="clear" w:color="auto" w:fill="auto"/>
            <w:noWrap/>
            <w:vAlign w:val="bottom"/>
          </w:tcPr>
          <w:p w14:paraId="261DCBD4">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48</w:t>
            </w:r>
          </w:p>
        </w:tc>
        <w:tc>
          <w:tcPr>
            <w:tcW w:w="2311" w:type="dxa"/>
            <w:tcBorders>
              <w:top w:val="single" w:color="auto" w:sz="4" w:space="0"/>
              <w:left w:val="nil"/>
              <w:bottom w:val="single" w:color="auto" w:sz="4" w:space="0"/>
              <w:right w:val="single" w:color="000000" w:sz="4" w:space="0"/>
            </w:tcBorders>
            <w:shd w:val="clear" w:color="auto" w:fill="auto"/>
            <w:noWrap/>
            <w:vAlign w:val="center"/>
          </w:tcPr>
          <w:p w14:paraId="592566F0">
            <w:pPr>
              <w:pStyle w:val="3"/>
              <w:keepNext w:val="0"/>
              <w:keepLines w:val="0"/>
              <w:widowControl w:val="0"/>
              <w:suppressLineNumbers w:val="0"/>
              <w:adjustRightInd w:val="0"/>
              <w:snapToGrid w:val="0"/>
              <w:spacing w:before="0" w:beforeAutospacing="1" w:after="0" w:afterAutospacing="1"/>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48</w:t>
            </w:r>
          </w:p>
        </w:tc>
        <w:tc>
          <w:tcPr>
            <w:tcW w:w="3347" w:type="dxa"/>
            <w:vMerge w:val="continue"/>
            <w:tcBorders>
              <w:top w:val="nil"/>
              <w:left w:val="nil"/>
              <w:bottom w:val="single" w:color="000000" w:sz="4" w:space="0"/>
              <w:right w:val="single" w:color="000000" w:sz="4" w:space="0"/>
            </w:tcBorders>
            <w:shd w:val="clear" w:color="auto" w:fill="auto"/>
            <w:noWrap/>
            <w:vAlign w:val="center"/>
          </w:tcPr>
          <w:p w14:paraId="35F30D3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259" w:type="dxa"/>
            <w:vMerge w:val="continue"/>
            <w:tcBorders>
              <w:top w:val="nil"/>
              <w:left w:val="nil"/>
              <w:bottom w:val="single" w:color="000000" w:sz="4" w:space="0"/>
              <w:right w:val="single" w:color="000000" w:sz="4" w:space="0"/>
            </w:tcBorders>
            <w:shd w:val="clear" w:color="auto" w:fill="auto"/>
            <w:noWrap/>
            <w:vAlign w:val="center"/>
          </w:tcPr>
          <w:p w14:paraId="56361B2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bl>
    <w:p w14:paraId="3DD834A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236C537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新增配电箱按出线回路位数于工程量清单中未有对应的配电箱的，箱体单价根据已有配电箱箱体价格按出线回路总位数用插值法或倍数法换算（优先采用插值法）。</w:t>
      </w:r>
    </w:p>
    <w:p w14:paraId="4D44A92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Ⅲ.单个配电箱主材费＝∑【主元器件单价×数量】+箱体+（∑【主元器件单价×数量】+箱体）×综合费费率。其中主元器件单价的定价原则：若合同内有类似单价且合理的，则参考合同单价，其他按看样定板确定品牌对应《电气元件价格表》相应主元器件的最低价为基准下浮30%并结合市场价格执行。综合费费率统一取定为25%。</w:t>
      </w:r>
    </w:p>
    <w:p w14:paraId="325B294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e.若承包人不提供《配电箱价格分析表》，则发包人有权按有利于发包人的原则计算新增（变更）配电箱价格：</w:t>
      </w:r>
    </w:p>
    <w:p w14:paraId="76597B99">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③ 配电箱变更计价时不调整相应清单项目的安装费；新增配电箱项综合单价的安装费按合同约定的合同外新增项目计价规定确定。</w:t>
      </w:r>
    </w:p>
    <w:p w14:paraId="0E287DB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（3）绿化工程：</w:t>
      </w:r>
    </w:p>
    <w:p w14:paraId="574CE6F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绿化工程的合同换算综合单价及合同外新增项目综合单价的主材价格确定方式按照如下约定执行：</w:t>
      </w:r>
    </w:p>
    <w:p w14:paraId="122DFBC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1）工程量报价清单中已有相同材料：</w:t>
      </w:r>
    </w:p>
    <w:p w14:paraId="3CAF4328">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①工程量报价清单中已有相同材料，且价格合理，则按已有的材料单价执行；</w:t>
      </w:r>
    </w:p>
    <w:p w14:paraId="40EEDCC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②工程量报价清单中已有相同的材料，但单价高出《厂商价格信息》”）中相应材料最高价时，则按《厂商价格信息》中相应材料的最低价执行；</w:t>
      </w:r>
    </w:p>
    <w:p w14:paraId="04EAF30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③工程量报价清单中已有相同的材料，但其单价在招标当期《厂商价格信息》中没有但又严重偏离市场价格时，则按合理的市场价格执行。工程量报价清单中已有的材料单价是否严重偏离市场价格由监理单位提供相应支持材料加以界定，合理的市场价格由发包人与承包人协商确定。</w:t>
      </w:r>
    </w:p>
    <w:p w14:paraId="3674546A">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工程量报价清单中没有相同的，但有类似的苗木材料单价，且《厂商价格信息》中也有类似材料价格的，则结合工程量清单计价补充规定按类似材料单价相对于招标当期《厂商价格信息》中相应材料价格的下浮率乘以招标当期《厂商价格信息》中相应材料价格取定执行。</w:t>
      </w:r>
    </w:p>
    <w:p w14:paraId="4C1926C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3）工程量报价清单中没有相同且没有类似的，但《厂商价格信息》中有相应材料价格的，则按招标当期《厂商价格信息》中所有品牌中相应材料的最低价执行。</w:t>
      </w:r>
    </w:p>
    <w:p w14:paraId="0DC2725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4）工程量报价清单和《厂商价格信息》中均没有的，由发包人与承包人通过询价、比选三家以上苗木价格，结合合理的市场价格水平协商确定。</w:t>
      </w:r>
    </w:p>
    <w:p w14:paraId="483A5681">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无论是工程量报价清单中已有适用的材料单价，或按招标当期《厂商价格信息》确定的材料单价，或由发包人与承包人协商确定的材料单价，均须按由发包人对材料看样定板（特别是主材设备可能影响装饰、装修或景观效果的）后才能确定材料单价。如需定价的则看样定板、材料设备定价与相应的设计变更确立应同时进行。</w:t>
      </w:r>
    </w:p>
    <w:p w14:paraId="298B6AA4">
      <w:pPr>
        <w:keepNext w:val="0"/>
        <w:keepLines w:val="0"/>
        <w:widowControl w:val="0"/>
        <w:suppressLineNumbers w:val="0"/>
        <w:adjustRightInd w:val="0"/>
        <w:snapToGrid w:val="0"/>
        <w:spacing w:before="0" w:beforeAutospacing="0" w:after="0" w:afterAutospacing="0" w:line="360" w:lineRule="auto"/>
        <w:ind w:left="0" w:right="11" w:firstLine="403"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2"/>
          <w:sz w:val="24"/>
          <w:szCs w:val="24"/>
          <w:highlight w:val="none"/>
          <w:lang w:val="en-US" w:eastAsia="zh-CN" w:bidi="ar"/>
        </w:rPr>
        <w:t xml:space="preserve">6）对于甲管乙供材料，发包人已在招标文件中设定了暂定价（详见暂定主材价表），承包人在报价时按暂定价计入报价中，待承包人与发包人共同择优竞价确定价格并选定确认的材料后，含有该材料的工程量清单的综合单价调整公式如下： </w:t>
      </w:r>
    </w:p>
    <w:p w14:paraId="23E4E16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调整的综合单价＝工程量清单中综合单价＋材料价差。</w:t>
      </w:r>
    </w:p>
    <w:p w14:paraId="763B369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材料价差＝发包人及监理单位共同确认的最终材料单价－招标文件中的暂定材料单价。</w:t>
      </w:r>
    </w:p>
    <w:p w14:paraId="7A1DBF96">
      <w:pPr>
        <w:pStyle w:val="3"/>
        <w:keepNext w:val="0"/>
        <w:keepLines w:val="0"/>
        <w:widowControl/>
        <w:suppressLineNumbers w:val="0"/>
        <w:adjustRightInd w:val="0"/>
        <w:snapToGrid w:val="0"/>
        <w:spacing w:before="0" w:beforeAutospacing="0" w:after="0" w:afterAutospacing="0" w:line="360" w:lineRule="auto"/>
        <w:ind w:left="-8" w:leftChars="-4" w:right="0" w:firstLine="477" w:firstLineChars="199"/>
        <w:jc w:val="left"/>
        <w:outlineLvl w:val="4"/>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33.2.3综合单价确定方式</w:t>
      </w:r>
    </w:p>
    <w:p w14:paraId="51BB8E6A">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（1）合同换算综合单价按以下方式计价（仅适用于机电安装工程）：</w:t>
      </w:r>
    </w:p>
    <w:p w14:paraId="6D7DBCDA">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合同中没有完全一致的综合单价项目但在相应定额中套用的子目一致的综合单价项目（如开关插座、水箱、消防栓箱、消防喷淋喷头、消防自动报警设备等）、或虽规格发生变化但与合同原清单已有类似项目相比所套用的相应定额子目及定额调整系数均一致的综合单价项目，按合同原清单已有类似项目作换算处理。换算时按以下公式进行：</w:t>
      </w:r>
    </w:p>
    <w:p w14:paraId="53973DC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合同换算综合单价=主材费+安装费=实际使用的主材价格+合同原清单已有类似项目安装费；</w:t>
      </w:r>
    </w:p>
    <w:p w14:paraId="076EC853">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实际使用主材价格的确定按本条第33.2.2款执行；</w:t>
      </w:r>
    </w:p>
    <w:p w14:paraId="29B4100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合同原清单已有类似项目综合单价安装费有两个（含两个）以上时，按规格最接近的类似项目的安装费的最低值进行换算。</w:t>
      </w:r>
    </w:p>
    <w:p w14:paraId="78EF2AB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合同中没有完全一致的综合单价项目但只是规格等发生变化，且与合同原清单已有类似项目相比所套用的相应定额子目不一致的综合单价项目（如电缆等），其主材费按本条第33.2.2款执行，其安装费按本条第33.2.3（2）款中约定的安装费计价方法执行。</w:t>
      </w:r>
    </w:p>
    <w:p w14:paraId="49BA1E3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如合同综合单价中的安装费人工、辅材、机具的消耗量高于相应定额的消耗量，或合同综合单价中的综合管理费、利润等的取值高于省市相关造价文件所规定的上限值，否则在参照承包人综合单价安装费确定合同内已有类似项目（综合单价）的安装费时，按定额相应子目的消耗量及相关造价文件的上限值调整。</w:t>
      </w:r>
    </w:p>
    <w:p w14:paraId="2BCA46EA">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配电箱、电表箱、T接箱、端子箱（接线箱）变更时，其主材费的确定按本条第33.2.2款执行，其综合单价按照本条第33.2.3（2）款的约定计价。新增配电箱、电表箱、T接箱、端子箱（接线箱）的综合单价的确定按本条第33.2.3（2）款的约定执行。</w:t>
      </w:r>
    </w:p>
    <w:p w14:paraId="5A7FDFD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（2）综合单价确定方式</w:t>
      </w:r>
    </w:p>
    <w:p w14:paraId="55C3EEF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1）合同中已有适用的综合单价项目，即只是原有清单项目工程数量的增减，则按合同已有的综合单价变更合同价款，合同另有约定调整方式的除外。</w:t>
      </w:r>
    </w:p>
    <w:p w14:paraId="5B1EF0F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合同中没有完全一致的综合单价项目，但有类似综合单价项目，只是砼标号、品牌、规格、型号、厚度、产地等发生变化的，则按合同内类似综合单价项目作换算处理。换算时只计算主材价差，即合同换算综合单价=合同类似项目综合单价+材料价差。主材价差=实际使用的主材价格-合同类似项目综合单价中的主材价格，实际使用主材价格的确定按本条第33.2.2款执行。当合同内类似综合单价项目有两个（含两个）以上时，双方约定按主材价格最靠近和就低不就高的原则进行换算。</w:t>
      </w:r>
    </w:p>
    <w:p w14:paraId="4745540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3）若合同中既没有适用的综合单价项目，也不能按合同换算综合单价项目作换算处理，则作为合同外新增项目按下表进行计价：</w:t>
      </w:r>
    </w:p>
    <w:p w14:paraId="3594D80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A、机电安装工程： </w:t>
      </w:r>
    </w:p>
    <w:p w14:paraId="4770C66D">
      <w:pPr>
        <w:keepNext w:val="0"/>
        <w:keepLines w:val="0"/>
        <w:widowControl w:val="0"/>
        <w:suppressLineNumbers w:val="0"/>
        <w:adjustRightInd w:val="0"/>
        <w:snapToGrid w:val="0"/>
        <w:spacing w:before="0" w:beforeAutospacing="0" w:after="0" w:afterAutospacing="0" w:line="360" w:lineRule="auto"/>
        <w:ind w:left="0" w:right="11"/>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综合单价计价表</w:t>
      </w:r>
    </w:p>
    <w:tbl>
      <w:tblPr>
        <w:tblStyle w:val="4"/>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48"/>
        <w:gridCol w:w="1194"/>
        <w:gridCol w:w="857"/>
        <w:gridCol w:w="812"/>
        <w:gridCol w:w="221"/>
        <w:gridCol w:w="1033"/>
        <w:gridCol w:w="1103"/>
        <w:gridCol w:w="1524"/>
      </w:tblGrid>
      <w:tr w14:paraId="20EA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8"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629EF">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清单编码</w:t>
            </w:r>
          </w:p>
        </w:tc>
        <w:tc>
          <w:tcPr>
            <w:tcW w:w="1194" w:type="dxa"/>
            <w:tcBorders>
              <w:top w:val="single" w:color="auto" w:sz="4" w:space="0"/>
              <w:left w:val="nil"/>
              <w:bottom w:val="single" w:color="auto" w:sz="4" w:space="0"/>
              <w:right w:val="single" w:color="auto" w:sz="4" w:space="0"/>
            </w:tcBorders>
            <w:shd w:val="clear" w:color="auto" w:fill="auto"/>
            <w:noWrap/>
            <w:vAlign w:val="center"/>
          </w:tcPr>
          <w:p w14:paraId="5AFD9E2B">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项目名称</w:t>
            </w:r>
          </w:p>
        </w:tc>
        <w:tc>
          <w:tcPr>
            <w:tcW w:w="1669" w:type="dxa"/>
            <w:gridSpan w:val="2"/>
            <w:tcBorders>
              <w:top w:val="single" w:color="auto" w:sz="4" w:space="0"/>
              <w:left w:val="nil"/>
              <w:bottom w:val="single" w:color="auto" w:sz="4" w:space="0"/>
              <w:right w:val="single" w:color="auto" w:sz="4" w:space="0"/>
            </w:tcBorders>
            <w:shd w:val="clear" w:color="auto" w:fill="auto"/>
            <w:noWrap/>
            <w:vAlign w:val="center"/>
          </w:tcPr>
          <w:p w14:paraId="51A47230">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单位</w:t>
            </w:r>
          </w:p>
        </w:tc>
        <w:tc>
          <w:tcPr>
            <w:tcW w:w="2357" w:type="dxa"/>
            <w:gridSpan w:val="3"/>
            <w:tcBorders>
              <w:top w:val="single" w:color="auto" w:sz="4" w:space="0"/>
              <w:left w:val="nil"/>
              <w:bottom w:val="single" w:color="auto" w:sz="4" w:space="0"/>
              <w:right w:val="single" w:color="auto" w:sz="4" w:space="0"/>
            </w:tcBorders>
            <w:shd w:val="clear" w:color="auto" w:fill="auto"/>
            <w:noWrap/>
            <w:vAlign w:val="center"/>
          </w:tcPr>
          <w:p w14:paraId="7071B76E">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清单项目工程量</w:t>
            </w: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7781E159">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综合单价</w:t>
            </w:r>
          </w:p>
        </w:tc>
      </w:tr>
      <w:tr w14:paraId="3019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4"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DCEB7B">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194" w:type="dxa"/>
            <w:tcBorders>
              <w:top w:val="single" w:color="auto" w:sz="4" w:space="0"/>
              <w:left w:val="nil"/>
              <w:bottom w:val="single" w:color="auto" w:sz="4" w:space="0"/>
              <w:right w:val="single" w:color="auto" w:sz="4" w:space="0"/>
            </w:tcBorders>
            <w:shd w:val="clear" w:color="auto" w:fill="auto"/>
            <w:noWrap/>
            <w:vAlign w:val="center"/>
          </w:tcPr>
          <w:p w14:paraId="35F31F17">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669" w:type="dxa"/>
            <w:gridSpan w:val="2"/>
            <w:tcBorders>
              <w:top w:val="single" w:color="auto" w:sz="4" w:space="0"/>
              <w:left w:val="nil"/>
              <w:bottom w:val="single" w:color="auto" w:sz="4" w:space="0"/>
              <w:right w:val="single" w:color="auto" w:sz="4" w:space="0"/>
            </w:tcBorders>
            <w:shd w:val="clear" w:color="auto" w:fill="auto"/>
            <w:noWrap/>
            <w:vAlign w:val="center"/>
          </w:tcPr>
          <w:p w14:paraId="5451F10E">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2357" w:type="dxa"/>
            <w:gridSpan w:val="3"/>
            <w:tcBorders>
              <w:top w:val="single" w:color="auto" w:sz="4" w:space="0"/>
              <w:left w:val="nil"/>
              <w:bottom w:val="single" w:color="auto" w:sz="4" w:space="0"/>
              <w:right w:val="single" w:color="auto" w:sz="4" w:space="0"/>
            </w:tcBorders>
            <w:shd w:val="clear" w:color="auto" w:fill="auto"/>
            <w:noWrap/>
            <w:vAlign w:val="center"/>
          </w:tcPr>
          <w:p w14:paraId="646996E6">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45E53D41">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r w14:paraId="4C2D2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5"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C718F">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【项目特征】</w:t>
            </w:r>
          </w:p>
        </w:tc>
        <w:tc>
          <w:tcPr>
            <w:tcW w:w="5220" w:type="dxa"/>
            <w:gridSpan w:val="6"/>
            <w:tcBorders>
              <w:top w:val="single" w:color="auto" w:sz="4" w:space="0"/>
              <w:left w:val="nil"/>
              <w:bottom w:val="single" w:color="auto" w:sz="4" w:space="0"/>
              <w:right w:val="single" w:color="auto" w:sz="4" w:space="0"/>
            </w:tcBorders>
            <w:shd w:val="clear" w:color="auto" w:fill="auto"/>
            <w:noWrap/>
            <w:vAlign w:val="center"/>
          </w:tcPr>
          <w:p w14:paraId="78265C21">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43F17303">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r w14:paraId="78408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3"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37251">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【工程内容】</w:t>
            </w:r>
          </w:p>
        </w:tc>
        <w:tc>
          <w:tcPr>
            <w:tcW w:w="5220" w:type="dxa"/>
            <w:gridSpan w:val="6"/>
            <w:tcBorders>
              <w:top w:val="single" w:color="auto" w:sz="4" w:space="0"/>
              <w:left w:val="nil"/>
              <w:bottom w:val="single" w:color="auto" w:sz="4" w:space="0"/>
              <w:right w:val="single" w:color="auto" w:sz="4" w:space="0"/>
            </w:tcBorders>
            <w:shd w:val="clear" w:color="auto" w:fill="auto"/>
            <w:noWrap/>
            <w:vAlign w:val="center"/>
          </w:tcPr>
          <w:p w14:paraId="207426C6">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7FE6CA99">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r w14:paraId="5A60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04B83">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2051" w:type="dxa"/>
            <w:gridSpan w:val="2"/>
            <w:tcBorders>
              <w:top w:val="single" w:color="auto" w:sz="4" w:space="0"/>
              <w:left w:val="nil"/>
              <w:bottom w:val="single" w:color="auto" w:sz="4" w:space="0"/>
              <w:right w:val="single" w:color="auto" w:sz="4" w:space="0"/>
            </w:tcBorders>
            <w:shd w:val="clear" w:color="auto" w:fill="auto"/>
            <w:noWrap/>
            <w:vAlign w:val="top"/>
          </w:tcPr>
          <w:p w14:paraId="42EFCE65">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项目名称</w:t>
            </w:r>
          </w:p>
        </w:tc>
        <w:tc>
          <w:tcPr>
            <w:tcW w:w="1033" w:type="dxa"/>
            <w:gridSpan w:val="2"/>
            <w:tcBorders>
              <w:top w:val="single" w:color="auto" w:sz="4" w:space="0"/>
              <w:left w:val="nil"/>
              <w:bottom w:val="single" w:color="auto" w:sz="4" w:space="0"/>
              <w:right w:val="single" w:color="auto" w:sz="4" w:space="0"/>
            </w:tcBorders>
            <w:shd w:val="clear" w:color="auto" w:fill="auto"/>
            <w:noWrap/>
            <w:vAlign w:val="top"/>
          </w:tcPr>
          <w:p w14:paraId="36C01F1F">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单位</w:t>
            </w:r>
          </w:p>
        </w:tc>
        <w:tc>
          <w:tcPr>
            <w:tcW w:w="1033" w:type="dxa"/>
            <w:tcBorders>
              <w:top w:val="single" w:color="auto" w:sz="4" w:space="0"/>
              <w:left w:val="nil"/>
              <w:bottom w:val="single" w:color="auto" w:sz="4" w:space="0"/>
              <w:right w:val="single" w:color="auto" w:sz="4" w:space="0"/>
            </w:tcBorders>
            <w:shd w:val="clear" w:color="auto" w:fill="auto"/>
            <w:noWrap/>
            <w:vAlign w:val="top"/>
          </w:tcPr>
          <w:p w14:paraId="55039B37">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数量</w:t>
            </w:r>
          </w:p>
        </w:tc>
        <w:tc>
          <w:tcPr>
            <w:tcW w:w="1103" w:type="dxa"/>
            <w:tcBorders>
              <w:top w:val="single" w:color="auto" w:sz="4" w:space="0"/>
              <w:left w:val="nil"/>
              <w:bottom w:val="single" w:color="auto" w:sz="4" w:space="0"/>
              <w:right w:val="single" w:color="auto" w:sz="4" w:space="0"/>
            </w:tcBorders>
            <w:shd w:val="clear" w:color="auto" w:fill="auto"/>
            <w:noWrap/>
            <w:vAlign w:val="top"/>
          </w:tcPr>
          <w:p w14:paraId="16C029AE">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单价</w:t>
            </w:r>
          </w:p>
        </w:tc>
        <w:tc>
          <w:tcPr>
            <w:tcW w:w="1524" w:type="dxa"/>
            <w:tcBorders>
              <w:top w:val="single" w:color="auto" w:sz="4" w:space="0"/>
              <w:left w:val="nil"/>
              <w:bottom w:val="single" w:color="auto" w:sz="4" w:space="0"/>
              <w:right w:val="single" w:color="auto" w:sz="4" w:space="0"/>
            </w:tcBorders>
            <w:shd w:val="clear" w:color="auto" w:fill="auto"/>
            <w:noWrap/>
            <w:vAlign w:val="top"/>
          </w:tcPr>
          <w:p w14:paraId="23D8E9A2">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合价</w:t>
            </w:r>
          </w:p>
        </w:tc>
      </w:tr>
      <w:tr w14:paraId="17CE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7068F">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w:t>
            </w:r>
          </w:p>
        </w:tc>
        <w:tc>
          <w:tcPr>
            <w:tcW w:w="2051" w:type="dxa"/>
            <w:gridSpan w:val="2"/>
            <w:tcBorders>
              <w:top w:val="single" w:color="auto" w:sz="4" w:space="0"/>
              <w:left w:val="nil"/>
              <w:bottom w:val="single" w:color="auto" w:sz="4" w:space="0"/>
              <w:right w:val="single" w:color="auto" w:sz="4" w:space="0"/>
            </w:tcBorders>
            <w:shd w:val="clear" w:color="auto" w:fill="auto"/>
            <w:noWrap/>
            <w:vAlign w:val="center"/>
          </w:tcPr>
          <w:p w14:paraId="06120945">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主材费</w:t>
            </w:r>
          </w:p>
        </w:tc>
        <w:tc>
          <w:tcPr>
            <w:tcW w:w="4693" w:type="dxa"/>
            <w:gridSpan w:val="5"/>
            <w:tcBorders>
              <w:top w:val="single" w:color="auto" w:sz="4" w:space="0"/>
              <w:left w:val="nil"/>
              <w:bottom w:val="single" w:color="auto" w:sz="4" w:space="0"/>
              <w:right w:val="single" w:color="auto" w:sz="4" w:space="0"/>
            </w:tcBorders>
            <w:shd w:val="clear" w:color="auto" w:fill="auto"/>
            <w:noWrap/>
            <w:vAlign w:val="center"/>
          </w:tcPr>
          <w:p w14:paraId="6BA8D5FF">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r w14:paraId="6F27E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6DA78">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2051" w:type="dxa"/>
            <w:gridSpan w:val="2"/>
            <w:tcBorders>
              <w:top w:val="single" w:color="auto" w:sz="4" w:space="0"/>
              <w:left w:val="nil"/>
              <w:bottom w:val="single" w:color="auto" w:sz="4" w:space="0"/>
              <w:right w:val="single" w:color="auto" w:sz="4" w:space="0"/>
            </w:tcBorders>
            <w:shd w:val="clear" w:color="auto" w:fill="auto"/>
            <w:noWrap/>
            <w:vAlign w:val="center"/>
          </w:tcPr>
          <w:p w14:paraId="5226D3B8">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主材设备费</w:t>
            </w:r>
          </w:p>
        </w:tc>
        <w:tc>
          <w:tcPr>
            <w:tcW w:w="1033" w:type="dxa"/>
            <w:gridSpan w:val="2"/>
            <w:tcBorders>
              <w:top w:val="single" w:color="auto" w:sz="4" w:space="0"/>
              <w:left w:val="nil"/>
              <w:bottom w:val="single" w:color="auto" w:sz="4" w:space="0"/>
              <w:right w:val="single" w:color="auto" w:sz="4" w:space="0"/>
            </w:tcBorders>
            <w:shd w:val="clear" w:color="auto" w:fill="auto"/>
            <w:noWrap/>
            <w:vAlign w:val="center"/>
          </w:tcPr>
          <w:p w14:paraId="3C661EC8">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元</w:t>
            </w:r>
          </w:p>
        </w:tc>
        <w:tc>
          <w:tcPr>
            <w:tcW w:w="1033" w:type="dxa"/>
            <w:tcBorders>
              <w:top w:val="single" w:color="auto" w:sz="4" w:space="0"/>
              <w:left w:val="nil"/>
              <w:bottom w:val="single" w:color="auto" w:sz="4" w:space="0"/>
              <w:right w:val="single" w:color="auto" w:sz="4" w:space="0"/>
            </w:tcBorders>
            <w:shd w:val="clear" w:color="auto" w:fill="auto"/>
            <w:noWrap/>
            <w:vAlign w:val="center"/>
          </w:tcPr>
          <w:p w14:paraId="16ACF133">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103" w:type="dxa"/>
            <w:tcBorders>
              <w:top w:val="single" w:color="auto" w:sz="4" w:space="0"/>
              <w:left w:val="nil"/>
              <w:bottom w:val="single" w:color="auto" w:sz="4" w:space="0"/>
              <w:right w:val="single" w:color="auto" w:sz="4" w:space="0"/>
            </w:tcBorders>
            <w:shd w:val="clear" w:color="auto" w:fill="auto"/>
            <w:noWrap/>
            <w:vAlign w:val="center"/>
          </w:tcPr>
          <w:p w14:paraId="7C0A664C">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38163E15">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r w14:paraId="789BA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9BBB7">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2051" w:type="dxa"/>
            <w:gridSpan w:val="2"/>
            <w:tcBorders>
              <w:top w:val="single" w:color="auto" w:sz="4" w:space="0"/>
              <w:left w:val="nil"/>
              <w:bottom w:val="single" w:color="auto" w:sz="4" w:space="0"/>
              <w:right w:val="single" w:color="auto" w:sz="4" w:space="0"/>
            </w:tcBorders>
            <w:shd w:val="clear" w:color="auto" w:fill="auto"/>
            <w:noWrap/>
            <w:vAlign w:val="center"/>
          </w:tcPr>
          <w:p w14:paraId="7CB182B2">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033" w:type="dxa"/>
            <w:gridSpan w:val="2"/>
            <w:tcBorders>
              <w:top w:val="single" w:color="auto" w:sz="4" w:space="0"/>
              <w:left w:val="nil"/>
              <w:bottom w:val="single" w:color="auto" w:sz="4" w:space="0"/>
              <w:right w:val="single" w:color="auto" w:sz="4" w:space="0"/>
            </w:tcBorders>
            <w:shd w:val="clear" w:color="auto" w:fill="auto"/>
            <w:noWrap/>
            <w:vAlign w:val="center"/>
          </w:tcPr>
          <w:p w14:paraId="332A653B">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noWrap/>
            <w:vAlign w:val="center"/>
          </w:tcPr>
          <w:p w14:paraId="41E732A1">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103" w:type="dxa"/>
            <w:tcBorders>
              <w:top w:val="single" w:color="auto" w:sz="4" w:space="0"/>
              <w:left w:val="nil"/>
              <w:bottom w:val="single" w:color="auto" w:sz="4" w:space="0"/>
              <w:right w:val="single" w:color="auto" w:sz="4" w:space="0"/>
            </w:tcBorders>
            <w:shd w:val="clear" w:color="auto" w:fill="auto"/>
            <w:noWrap/>
            <w:vAlign w:val="center"/>
          </w:tcPr>
          <w:p w14:paraId="32CAB79F">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4E37F9A6">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r w14:paraId="60672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2AC70">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2051" w:type="dxa"/>
            <w:gridSpan w:val="2"/>
            <w:tcBorders>
              <w:top w:val="single" w:color="auto" w:sz="4" w:space="0"/>
              <w:left w:val="nil"/>
              <w:bottom w:val="single" w:color="auto" w:sz="4" w:space="0"/>
              <w:right w:val="single" w:color="auto" w:sz="4" w:space="0"/>
            </w:tcBorders>
            <w:shd w:val="clear" w:color="auto" w:fill="auto"/>
            <w:noWrap/>
            <w:vAlign w:val="center"/>
          </w:tcPr>
          <w:p w14:paraId="2253B743">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033" w:type="dxa"/>
            <w:gridSpan w:val="2"/>
            <w:tcBorders>
              <w:top w:val="single" w:color="auto" w:sz="4" w:space="0"/>
              <w:left w:val="nil"/>
              <w:bottom w:val="single" w:color="auto" w:sz="4" w:space="0"/>
              <w:right w:val="single" w:color="auto" w:sz="4" w:space="0"/>
            </w:tcBorders>
            <w:shd w:val="clear" w:color="auto" w:fill="auto"/>
            <w:noWrap/>
            <w:vAlign w:val="center"/>
          </w:tcPr>
          <w:p w14:paraId="1CD7E8B8">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noWrap/>
            <w:vAlign w:val="center"/>
          </w:tcPr>
          <w:p w14:paraId="7C8620C5">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103" w:type="dxa"/>
            <w:tcBorders>
              <w:top w:val="single" w:color="auto" w:sz="4" w:space="0"/>
              <w:left w:val="nil"/>
              <w:bottom w:val="single" w:color="auto" w:sz="4" w:space="0"/>
              <w:right w:val="single" w:color="auto" w:sz="4" w:space="0"/>
            </w:tcBorders>
            <w:shd w:val="clear" w:color="auto" w:fill="auto"/>
            <w:noWrap/>
            <w:vAlign w:val="center"/>
          </w:tcPr>
          <w:p w14:paraId="327C9A47">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7A5587CA">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r w14:paraId="31061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10"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53C29">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w:t>
            </w:r>
          </w:p>
        </w:tc>
        <w:tc>
          <w:tcPr>
            <w:tcW w:w="2051" w:type="dxa"/>
            <w:gridSpan w:val="2"/>
            <w:tcBorders>
              <w:top w:val="single" w:color="auto" w:sz="4" w:space="0"/>
              <w:left w:val="nil"/>
              <w:bottom w:val="single" w:color="auto" w:sz="4" w:space="0"/>
              <w:right w:val="single" w:color="auto" w:sz="4" w:space="0"/>
            </w:tcBorders>
            <w:shd w:val="clear" w:color="auto" w:fill="auto"/>
            <w:noWrap/>
            <w:vAlign w:val="center"/>
          </w:tcPr>
          <w:p w14:paraId="5C8DF6F3">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安装费</w:t>
            </w:r>
          </w:p>
          <w:p w14:paraId="30FDA2A3">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二=（1+2+…+5）×（1-投标下浮率）</w:t>
            </w:r>
          </w:p>
        </w:tc>
        <w:tc>
          <w:tcPr>
            <w:tcW w:w="4693" w:type="dxa"/>
            <w:gridSpan w:val="5"/>
            <w:tcBorders>
              <w:top w:val="single" w:color="auto" w:sz="4" w:space="0"/>
              <w:left w:val="nil"/>
              <w:bottom w:val="single" w:color="auto" w:sz="4" w:space="0"/>
              <w:right w:val="single" w:color="auto" w:sz="4" w:space="0"/>
            </w:tcBorders>
            <w:shd w:val="clear" w:color="auto" w:fill="auto"/>
            <w:noWrap/>
            <w:vAlign w:val="center"/>
          </w:tcPr>
          <w:p w14:paraId="7EF6B8C5">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r w14:paraId="7022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759454">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2051" w:type="dxa"/>
            <w:gridSpan w:val="2"/>
            <w:tcBorders>
              <w:top w:val="single" w:color="auto" w:sz="4" w:space="0"/>
              <w:left w:val="nil"/>
              <w:bottom w:val="single" w:color="auto" w:sz="4" w:space="0"/>
              <w:right w:val="single" w:color="auto" w:sz="4" w:space="0"/>
            </w:tcBorders>
            <w:shd w:val="clear" w:color="auto" w:fill="auto"/>
            <w:noWrap/>
            <w:vAlign w:val="center"/>
          </w:tcPr>
          <w:p w14:paraId="1ECD544C">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人工费[定额编号]</w:t>
            </w:r>
          </w:p>
        </w:tc>
        <w:tc>
          <w:tcPr>
            <w:tcW w:w="1033" w:type="dxa"/>
            <w:gridSpan w:val="2"/>
            <w:tcBorders>
              <w:top w:val="single" w:color="auto" w:sz="4" w:space="0"/>
              <w:left w:val="nil"/>
              <w:bottom w:val="single" w:color="auto" w:sz="4" w:space="0"/>
              <w:right w:val="single" w:color="auto" w:sz="4" w:space="0"/>
            </w:tcBorders>
            <w:shd w:val="clear" w:color="auto" w:fill="auto"/>
            <w:noWrap/>
            <w:vAlign w:val="center"/>
          </w:tcPr>
          <w:p w14:paraId="5B4F87A8">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元</w:t>
            </w:r>
          </w:p>
        </w:tc>
        <w:tc>
          <w:tcPr>
            <w:tcW w:w="1033" w:type="dxa"/>
            <w:tcBorders>
              <w:top w:val="single" w:color="auto" w:sz="4" w:space="0"/>
              <w:left w:val="nil"/>
              <w:bottom w:val="single" w:color="auto" w:sz="4" w:space="0"/>
              <w:right w:val="single" w:color="auto" w:sz="4" w:space="0"/>
            </w:tcBorders>
            <w:shd w:val="clear" w:color="auto" w:fill="auto"/>
            <w:noWrap/>
            <w:vAlign w:val="center"/>
          </w:tcPr>
          <w:p w14:paraId="4924EA71">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103" w:type="dxa"/>
            <w:tcBorders>
              <w:top w:val="single" w:color="auto" w:sz="4" w:space="0"/>
              <w:left w:val="nil"/>
              <w:bottom w:val="single" w:color="auto" w:sz="4" w:space="0"/>
              <w:right w:val="single" w:color="auto" w:sz="4" w:space="0"/>
            </w:tcBorders>
            <w:shd w:val="clear" w:color="auto" w:fill="auto"/>
            <w:noWrap/>
            <w:vAlign w:val="center"/>
          </w:tcPr>
          <w:p w14:paraId="6CD38C30">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0851B1A1">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r w14:paraId="2870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0A8DA">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2051" w:type="dxa"/>
            <w:gridSpan w:val="2"/>
            <w:tcBorders>
              <w:top w:val="single" w:color="auto" w:sz="4" w:space="0"/>
              <w:left w:val="nil"/>
              <w:bottom w:val="single" w:color="auto" w:sz="4" w:space="0"/>
              <w:right w:val="single" w:color="auto" w:sz="4" w:space="0"/>
            </w:tcBorders>
            <w:shd w:val="clear" w:color="auto" w:fill="auto"/>
            <w:noWrap/>
            <w:vAlign w:val="center"/>
          </w:tcPr>
          <w:p w14:paraId="5B9DFA95">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033" w:type="dxa"/>
            <w:gridSpan w:val="2"/>
            <w:tcBorders>
              <w:top w:val="single" w:color="auto" w:sz="4" w:space="0"/>
              <w:left w:val="nil"/>
              <w:bottom w:val="single" w:color="auto" w:sz="4" w:space="0"/>
              <w:right w:val="single" w:color="auto" w:sz="4" w:space="0"/>
            </w:tcBorders>
            <w:shd w:val="clear" w:color="auto" w:fill="auto"/>
            <w:noWrap/>
            <w:vAlign w:val="center"/>
          </w:tcPr>
          <w:p w14:paraId="13B09FF2">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noWrap/>
            <w:vAlign w:val="center"/>
          </w:tcPr>
          <w:p w14:paraId="50C21CCE">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103" w:type="dxa"/>
            <w:tcBorders>
              <w:top w:val="single" w:color="auto" w:sz="4" w:space="0"/>
              <w:left w:val="nil"/>
              <w:bottom w:val="single" w:color="auto" w:sz="4" w:space="0"/>
              <w:right w:val="single" w:color="auto" w:sz="4" w:space="0"/>
            </w:tcBorders>
            <w:shd w:val="clear" w:color="auto" w:fill="auto"/>
            <w:noWrap/>
            <w:vAlign w:val="center"/>
          </w:tcPr>
          <w:p w14:paraId="6F16A3D1">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35756CC3">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r w14:paraId="59AD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2B295">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2051" w:type="dxa"/>
            <w:gridSpan w:val="2"/>
            <w:tcBorders>
              <w:top w:val="single" w:color="auto" w:sz="4" w:space="0"/>
              <w:left w:val="nil"/>
              <w:bottom w:val="single" w:color="auto" w:sz="4" w:space="0"/>
              <w:right w:val="single" w:color="auto" w:sz="4" w:space="0"/>
            </w:tcBorders>
            <w:shd w:val="clear" w:color="auto" w:fill="auto"/>
            <w:noWrap/>
            <w:vAlign w:val="center"/>
          </w:tcPr>
          <w:p w14:paraId="11AD2A09">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辅材费[定额编号]</w:t>
            </w:r>
          </w:p>
        </w:tc>
        <w:tc>
          <w:tcPr>
            <w:tcW w:w="1033" w:type="dxa"/>
            <w:gridSpan w:val="2"/>
            <w:tcBorders>
              <w:top w:val="single" w:color="auto" w:sz="4" w:space="0"/>
              <w:left w:val="nil"/>
              <w:bottom w:val="single" w:color="auto" w:sz="4" w:space="0"/>
              <w:right w:val="single" w:color="auto" w:sz="4" w:space="0"/>
            </w:tcBorders>
            <w:shd w:val="clear" w:color="auto" w:fill="auto"/>
            <w:noWrap/>
            <w:vAlign w:val="center"/>
          </w:tcPr>
          <w:p w14:paraId="08B0435D">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元</w:t>
            </w:r>
          </w:p>
        </w:tc>
        <w:tc>
          <w:tcPr>
            <w:tcW w:w="1033" w:type="dxa"/>
            <w:tcBorders>
              <w:top w:val="single" w:color="auto" w:sz="4" w:space="0"/>
              <w:left w:val="nil"/>
              <w:bottom w:val="single" w:color="auto" w:sz="4" w:space="0"/>
              <w:right w:val="single" w:color="auto" w:sz="4" w:space="0"/>
            </w:tcBorders>
            <w:shd w:val="clear" w:color="auto" w:fill="auto"/>
            <w:noWrap/>
            <w:vAlign w:val="center"/>
          </w:tcPr>
          <w:p w14:paraId="256AB193">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103" w:type="dxa"/>
            <w:tcBorders>
              <w:top w:val="single" w:color="auto" w:sz="4" w:space="0"/>
              <w:left w:val="nil"/>
              <w:bottom w:val="single" w:color="auto" w:sz="4" w:space="0"/>
              <w:right w:val="single" w:color="auto" w:sz="4" w:space="0"/>
            </w:tcBorders>
            <w:shd w:val="clear" w:color="auto" w:fill="auto"/>
            <w:noWrap/>
            <w:vAlign w:val="center"/>
          </w:tcPr>
          <w:p w14:paraId="5269C934">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4E3C7710">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r w14:paraId="61AD6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F1C6D0">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2051" w:type="dxa"/>
            <w:gridSpan w:val="2"/>
            <w:tcBorders>
              <w:top w:val="single" w:color="auto" w:sz="4" w:space="0"/>
              <w:left w:val="nil"/>
              <w:bottom w:val="single" w:color="auto" w:sz="4" w:space="0"/>
              <w:right w:val="single" w:color="auto" w:sz="4" w:space="0"/>
            </w:tcBorders>
            <w:shd w:val="clear" w:color="auto" w:fill="auto"/>
            <w:noWrap/>
            <w:vAlign w:val="center"/>
          </w:tcPr>
          <w:p w14:paraId="5A827ECB">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033" w:type="dxa"/>
            <w:gridSpan w:val="2"/>
            <w:tcBorders>
              <w:top w:val="single" w:color="auto" w:sz="4" w:space="0"/>
              <w:left w:val="nil"/>
              <w:bottom w:val="single" w:color="auto" w:sz="4" w:space="0"/>
              <w:right w:val="single" w:color="auto" w:sz="4" w:space="0"/>
            </w:tcBorders>
            <w:shd w:val="clear" w:color="auto" w:fill="auto"/>
            <w:noWrap/>
            <w:vAlign w:val="center"/>
          </w:tcPr>
          <w:p w14:paraId="607AF3C6">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noWrap/>
            <w:vAlign w:val="center"/>
          </w:tcPr>
          <w:p w14:paraId="4A57307B">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103" w:type="dxa"/>
            <w:tcBorders>
              <w:top w:val="single" w:color="auto" w:sz="4" w:space="0"/>
              <w:left w:val="nil"/>
              <w:bottom w:val="single" w:color="auto" w:sz="4" w:space="0"/>
              <w:right w:val="single" w:color="auto" w:sz="4" w:space="0"/>
            </w:tcBorders>
            <w:shd w:val="clear" w:color="auto" w:fill="auto"/>
            <w:noWrap/>
            <w:vAlign w:val="center"/>
          </w:tcPr>
          <w:p w14:paraId="618B80DF">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0CAD32E5">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r w14:paraId="6D84E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2729C">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2051" w:type="dxa"/>
            <w:gridSpan w:val="2"/>
            <w:tcBorders>
              <w:top w:val="single" w:color="auto" w:sz="4" w:space="0"/>
              <w:left w:val="nil"/>
              <w:bottom w:val="single" w:color="auto" w:sz="4" w:space="0"/>
              <w:right w:val="single" w:color="auto" w:sz="4" w:space="0"/>
            </w:tcBorders>
            <w:shd w:val="clear" w:color="auto" w:fill="auto"/>
            <w:noWrap/>
            <w:vAlign w:val="center"/>
          </w:tcPr>
          <w:p w14:paraId="4AE1F62A">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机具费[定额编号]</w:t>
            </w:r>
          </w:p>
        </w:tc>
        <w:tc>
          <w:tcPr>
            <w:tcW w:w="1033" w:type="dxa"/>
            <w:gridSpan w:val="2"/>
            <w:tcBorders>
              <w:top w:val="single" w:color="auto" w:sz="4" w:space="0"/>
              <w:left w:val="nil"/>
              <w:bottom w:val="single" w:color="auto" w:sz="4" w:space="0"/>
              <w:right w:val="single" w:color="auto" w:sz="4" w:space="0"/>
            </w:tcBorders>
            <w:shd w:val="clear" w:color="auto" w:fill="auto"/>
            <w:noWrap/>
            <w:vAlign w:val="center"/>
          </w:tcPr>
          <w:p w14:paraId="0E007E01">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元</w:t>
            </w:r>
          </w:p>
        </w:tc>
        <w:tc>
          <w:tcPr>
            <w:tcW w:w="1033" w:type="dxa"/>
            <w:tcBorders>
              <w:top w:val="single" w:color="auto" w:sz="4" w:space="0"/>
              <w:left w:val="nil"/>
              <w:bottom w:val="single" w:color="auto" w:sz="4" w:space="0"/>
              <w:right w:val="single" w:color="auto" w:sz="4" w:space="0"/>
            </w:tcBorders>
            <w:shd w:val="clear" w:color="auto" w:fill="auto"/>
            <w:noWrap/>
            <w:vAlign w:val="center"/>
          </w:tcPr>
          <w:p w14:paraId="51D9589D">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103" w:type="dxa"/>
            <w:tcBorders>
              <w:top w:val="single" w:color="auto" w:sz="4" w:space="0"/>
              <w:left w:val="nil"/>
              <w:bottom w:val="single" w:color="auto" w:sz="4" w:space="0"/>
              <w:right w:val="single" w:color="auto" w:sz="4" w:space="0"/>
            </w:tcBorders>
            <w:shd w:val="clear" w:color="auto" w:fill="auto"/>
            <w:noWrap/>
            <w:vAlign w:val="center"/>
          </w:tcPr>
          <w:p w14:paraId="64467791">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6CFCEB06">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r w14:paraId="7EC3D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8F252D">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2051" w:type="dxa"/>
            <w:gridSpan w:val="2"/>
            <w:tcBorders>
              <w:top w:val="single" w:color="auto" w:sz="4" w:space="0"/>
              <w:left w:val="nil"/>
              <w:bottom w:val="single" w:color="auto" w:sz="4" w:space="0"/>
              <w:right w:val="single" w:color="auto" w:sz="4" w:space="0"/>
            </w:tcBorders>
            <w:shd w:val="clear" w:color="auto" w:fill="auto"/>
            <w:noWrap/>
            <w:vAlign w:val="center"/>
          </w:tcPr>
          <w:p w14:paraId="0AAB74BA">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033" w:type="dxa"/>
            <w:gridSpan w:val="2"/>
            <w:tcBorders>
              <w:top w:val="single" w:color="auto" w:sz="4" w:space="0"/>
              <w:left w:val="nil"/>
              <w:bottom w:val="single" w:color="auto" w:sz="4" w:space="0"/>
              <w:right w:val="single" w:color="auto" w:sz="4" w:space="0"/>
            </w:tcBorders>
            <w:shd w:val="clear" w:color="auto" w:fill="auto"/>
            <w:noWrap/>
            <w:vAlign w:val="center"/>
          </w:tcPr>
          <w:p w14:paraId="2FCC9788">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033" w:type="dxa"/>
            <w:tcBorders>
              <w:top w:val="single" w:color="auto" w:sz="4" w:space="0"/>
              <w:left w:val="nil"/>
              <w:bottom w:val="single" w:color="auto" w:sz="4" w:space="0"/>
              <w:right w:val="single" w:color="auto" w:sz="4" w:space="0"/>
            </w:tcBorders>
            <w:shd w:val="clear" w:color="auto" w:fill="auto"/>
            <w:noWrap/>
            <w:vAlign w:val="center"/>
          </w:tcPr>
          <w:p w14:paraId="363E726F">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103" w:type="dxa"/>
            <w:tcBorders>
              <w:top w:val="single" w:color="auto" w:sz="4" w:space="0"/>
              <w:left w:val="nil"/>
              <w:bottom w:val="single" w:color="auto" w:sz="4" w:space="0"/>
              <w:right w:val="single" w:color="auto" w:sz="4" w:space="0"/>
            </w:tcBorders>
            <w:shd w:val="clear" w:color="auto" w:fill="auto"/>
            <w:noWrap/>
            <w:vAlign w:val="center"/>
          </w:tcPr>
          <w:p w14:paraId="7BFA8844">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46E40FBC">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r w14:paraId="273C7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5F7674">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2051" w:type="dxa"/>
            <w:gridSpan w:val="2"/>
            <w:tcBorders>
              <w:top w:val="single" w:color="auto" w:sz="4" w:space="0"/>
              <w:left w:val="nil"/>
              <w:bottom w:val="single" w:color="auto" w:sz="4" w:space="0"/>
              <w:right w:val="single" w:color="auto" w:sz="4" w:space="0"/>
            </w:tcBorders>
            <w:shd w:val="clear" w:color="auto" w:fill="auto"/>
            <w:noWrap/>
            <w:vAlign w:val="center"/>
          </w:tcPr>
          <w:p w14:paraId="3F403EF5">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管理费</w:t>
            </w:r>
          </w:p>
        </w:tc>
        <w:tc>
          <w:tcPr>
            <w:tcW w:w="1033" w:type="dxa"/>
            <w:gridSpan w:val="2"/>
            <w:tcBorders>
              <w:top w:val="single" w:color="auto" w:sz="4" w:space="0"/>
              <w:left w:val="nil"/>
              <w:bottom w:val="single" w:color="auto" w:sz="4" w:space="0"/>
              <w:right w:val="single" w:color="auto" w:sz="4" w:space="0"/>
            </w:tcBorders>
            <w:shd w:val="clear" w:color="auto" w:fill="auto"/>
            <w:noWrap/>
            <w:vAlign w:val="center"/>
          </w:tcPr>
          <w:p w14:paraId="0F31D160">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元</w:t>
            </w:r>
          </w:p>
        </w:tc>
        <w:tc>
          <w:tcPr>
            <w:tcW w:w="1033" w:type="dxa"/>
            <w:tcBorders>
              <w:top w:val="single" w:color="auto" w:sz="4" w:space="0"/>
              <w:left w:val="nil"/>
              <w:bottom w:val="single" w:color="auto" w:sz="4" w:space="0"/>
              <w:right w:val="single" w:color="auto" w:sz="4" w:space="0"/>
            </w:tcBorders>
            <w:shd w:val="clear" w:color="auto" w:fill="auto"/>
            <w:noWrap/>
            <w:vAlign w:val="center"/>
          </w:tcPr>
          <w:p w14:paraId="772ADBF2">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103" w:type="dxa"/>
            <w:tcBorders>
              <w:top w:val="single" w:color="auto" w:sz="4" w:space="0"/>
              <w:left w:val="nil"/>
              <w:bottom w:val="single" w:color="auto" w:sz="4" w:space="0"/>
              <w:right w:val="single" w:color="auto" w:sz="4" w:space="0"/>
            </w:tcBorders>
            <w:shd w:val="clear" w:color="auto" w:fill="auto"/>
            <w:noWrap/>
            <w:vAlign w:val="center"/>
          </w:tcPr>
          <w:p w14:paraId="5ABEED2F">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018B5DD1">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r w14:paraId="57203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DF5D5">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2051" w:type="dxa"/>
            <w:gridSpan w:val="2"/>
            <w:tcBorders>
              <w:top w:val="single" w:color="auto" w:sz="4" w:space="0"/>
              <w:left w:val="nil"/>
              <w:bottom w:val="single" w:color="auto" w:sz="4" w:space="0"/>
              <w:right w:val="single" w:color="auto" w:sz="4" w:space="0"/>
            </w:tcBorders>
            <w:shd w:val="clear" w:color="auto" w:fill="auto"/>
            <w:noWrap/>
            <w:vAlign w:val="center"/>
          </w:tcPr>
          <w:p w14:paraId="47131701">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利润</w:t>
            </w:r>
          </w:p>
        </w:tc>
        <w:tc>
          <w:tcPr>
            <w:tcW w:w="1033" w:type="dxa"/>
            <w:gridSpan w:val="2"/>
            <w:tcBorders>
              <w:top w:val="single" w:color="auto" w:sz="4" w:space="0"/>
              <w:left w:val="nil"/>
              <w:bottom w:val="single" w:color="auto" w:sz="4" w:space="0"/>
              <w:right w:val="single" w:color="auto" w:sz="4" w:space="0"/>
            </w:tcBorders>
            <w:shd w:val="clear" w:color="auto" w:fill="auto"/>
            <w:noWrap/>
            <w:vAlign w:val="center"/>
          </w:tcPr>
          <w:p w14:paraId="2564F1E1">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033" w:type="dxa"/>
            <w:tcBorders>
              <w:top w:val="single" w:color="auto" w:sz="4" w:space="0"/>
              <w:left w:val="nil"/>
              <w:bottom w:val="single" w:color="auto" w:sz="4" w:space="0"/>
              <w:right w:val="single" w:color="auto" w:sz="4" w:space="0"/>
            </w:tcBorders>
            <w:shd w:val="clear" w:color="auto" w:fill="auto"/>
            <w:noWrap/>
            <w:vAlign w:val="center"/>
          </w:tcPr>
          <w:p w14:paraId="76AF1DAD">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103" w:type="dxa"/>
            <w:tcBorders>
              <w:top w:val="single" w:color="auto" w:sz="4" w:space="0"/>
              <w:left w:val="nil"/>
              <w:bottom w:val="single" w:color="auto" w:sz="4" w:space="0"/>
              <w:right w:val="single" w:color="auto" w:sz="4" w:space="0"/>
            </w:tcBorders>
            <w:shd w:val="clear" w:color="auto" w:fill="auto"/>
            <w:noWrap/>
            <w:vAlign w:val="center"/>
          </w:tcPr>
          <w:p w14:paraId="5A26AE01">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69D95065">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r w14:paraId="5BFB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A6E42">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2051" w:type="dxa"/>
            <w:gridSpan w:val="2"/>
            <w:tcBorders>
              <w:top w:val="single" w:color="auto" w:sz="4" w:space="0"/>
              <w:left w:val="nil"/>
              <w:bottom w:val="single" w:color="auto" w:sz="4" w:space="0"/>
              <w:right w:val="single" w:color="auto" w:sz="4" w:space="0"/>
            </w:tcBorders>
            <w:shd w:val="clear" w:color="auto" w:fill="auto"/>
            <w:noWrap/>
            <w:vAlign w:val="center"/>
          </w:tcPr>
          <w:p w14:paraId="357031C6">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投标下浮率</w:t>
            </w:r>
          </w:p>
        </w:tc>
        <w:tc>
          <w:tcPr>
            <w:tcW w:w="1033" w:type="dxa"/>
            <w:gridSpan w:val="2"/>
            <w:tcBorders>
              <w:top w:val="single" w:color="auto" w:sz="4" w:space="0"/>
              <w:left w:val="nil"/>
              <w:bottom w:val="single" w:color="auto" w:sz="4" w:space="0"/>
              <w:right w:val="single" w:color="auto" w:sz="4" w:space="0"/>
            </w:tcBorders>
            <w:shd w:val="clear" w:color="auto" w:fill="auto"/>
            <w:noWrap/>
            <w:vAlign w:val="center"/>
          </w:tcPr>
          <w:p w14:paraId="73A25121">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033" w:type="dxa"/>
            <w:tcBorders>
              <w:top w:val="single" w:color="auto" w:sz="4" w:space="0"/>
              <w:left w:val="nil"/>
              <w:bottom w:val="single" w:color="auto" w:sz="4" w:space="0"/>
              <w:right w:val="single" w:color="auto" w:sz="4" w:space="0"/>
            </w:tcBorders>
            <w:shd w:val="clear" w:color="auto" w:fill="auto"/>
            <w:noWrap/>
            <w:vAlign w:val="center"/>
          </w:tcPr>
          <w:p w14:paraId="1616A7D2">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103" w:type="dxa"/>
            <w:tcBorders>
              <w:top w:val="single" w:color="auto" w:sz="4" w:space="0"/>
              <w:left w:val="nil"/>
              <w:bottom w:val="single" w:color="auto" w:sz="4" w:space="0"/>
              <w:right w:val="single" w:color="auto" w:sz="4" w:space="0"/>
            </w:tcBorders>
            <w:shd w:val="clear" w:color="auto" w:fill="auto"/>
            <w:noWrap/>
            <w:vAlign w:val="center"/>
          </w:tcPr>
          <w:p w14:paraId="456C83BA">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3D6B0A79">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r w14:paraId="575B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6" w:hRule="atLeast"/>
          <w:jc w:val="center"/>
        </w:trPr>
        <w:tc>
          <w:tcPr>
            <w:tcW w:w="15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FBC9F">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w:t>
            </w:r>
          </w:p>
        </w:tc>
        <w:tc>
          <w:tcPr>
            <w:tcW w:w="2051" w:type="dxa"/>
            <w:gridSpan w:val="2"/>
            <w:tcBorders>
              <w:top w:val="single" w:color="auto" w:sz="4" w:space="0"/>
              <w:left w:val="nil"/>
              <w:bottom w:val="single" w:color="auto" w:sz="4" w:space="0"/>
              <w:right w:val="single" w:color="auto" w:sz="4" w:space="0"/>
            </w:tcBorders>
            <w:shd w:val="clear" w:color="auto" w:fill="auto"/>
            <w:noWrap/>
            <w:vAlign w:val="center"/>
          </w:tcPr>
          <w:p w14:paraId="351AD4A7">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最终综合单价（三 = 一 + 二）</w:t>
            </w:r>
          </w:p>
        </w:tc>
        <w:tc>
          <w:tcPr>
            <w:tcW w:w="1033" w:type="dxa"/>
            <w:gridSpan w:val="2"/>
            <w:tcBorders>
              <w:top w:val="single" w:color="auto" w:sz="4" w:space="0"/>
              <w:left w:val="nil"/>
              <w:bottom w:val="single" w:color="auto" w:sz="4" w:space="0"/>
              <w:right w:val="single" w:color="auto" w:sz="4" w:space="0"/>
            </w:tcBorders>
            <w:shd w:val="clear" w:color="auto" w:fill="auto"/>
            <w:noWrap/>
            <w:vAlign w:val="center"/>
          </w:tcPr>
          <w:p w14:paraId="6A2831E6">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元</w:t>
            </w:r>
          </w:p>
        </w:tc>
        <w:tc>
          <w:tcPr>
            <w:tcW w:w="1033" w:type="dxa"/>
            <w:tcBorders>
              <w:top w:val="single" w:color="auto" w:sz="4" w:space="0"/>
              <w:left w:val="nil"/>
              <w:bottom w:val="single" w:color="auto" w:sz="4" w:space="0"/>
              <w:right w:val="single" w:color="auto" w:sz="4" w:space="0"/>
            </w:tcBorders>
            <w:shd w:val="clear" w:color="auto" w:fill="auto"/>
            <w:noWrap/>
            <w:vAlign w:val="center"/>
          </w:tcPr>
          <w:p w14:paraId="160FC7D9">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103" w:type="dxa"/>
            <w:tcBorders>
              <w:top w:val="single" w:color="auto" w:sz="4" w:space="0"/>
              <w:left w:val="nil"/>
              <w:bottom w:val="single" w:color="auto" w:sz="4" w:space="0"/>
              <w:right w:val="single" w:color="auto" w:sz="4" w:space="0"/>
            </w:tcBorders>
            <w:shd w:val="clear" w:color="auto" w:fill="auto"/>
            <w:noWrap/>
            <w:vAlign w:val="center"/>
          </w:tcPr>
          <w:p w14:paraId="30A4B866">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c>
          <w:tcPr>
            <w:tcW w:w="1524" w:type="dxa"/>
            <w:tcBorders>
              <w:top w:val="single" w:color="auto" w:sz="4" w:space="0"/>
              <w:left w:val="nil"/>
              <w:bottom w:val="single" w:color="auto" w:sz="4" w:space="0"/>
              <w:right w:val="single" w:color="auto" w:sz="4" w:space="0"/>
            </w:tcBorders>
            <w:shd w:val="clear" w:color="auto" w:fill="auto"/>
            <w:noWrap/>
            <w:vAlign w:val="center"/>
          </w:tcPr>
          <w:p w14:paraId="02081686">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p>
        </w:tc>
      </w:tr>
    </w:tbl>
    <w:p w14:paraId="23765A5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其中：</w:t>
      </w:r>
    </w:p>
    <w:p w14:paraId="4552C6E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①主材费的确定按本条第33.2.2款执行。</w:t>
      </w:r>
    </w:p>
    <w:p w14:paraId="524C2E3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②投标下浮率=（1-合同总价/招标控制价）×100％=</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w:t>
      </w:r>
    </w:p>
    <w:p w14:paraId="13FE2EE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③按照下列标准确定人工、材料和机具的消耗量及管理费：</w:t>
      </w:r>
    </w:p>
    <w:p w14:paraId="36BB096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《广东省通用安装工程综合定额（2018）》；</w:t>
      </w:r>
    </w:p>
    <w:p w14:paraId="588F74E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《广东省房屋建筑与装饰工程综合定额（2018）》；</w:t>
      </w:r>
    </w:p>
    <w:p w14:paraId="6F4DB401">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《广东省市政工程工程综合定额（2018）》。</w:t>
      </w:r>
    </w:p>
    <w:p w14:paraId="414CB23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上述定额查找不到的可参考其他相关定额或由发包人与承包人协商确定，国家及广东省、广州市有最新规定的，从其规定。</w:t>
      </w:r>
    </w:p>
    <w:p w14:paraId="4AE3C9F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④人工、辅材料（主材以外的材料）、机具价格的确定：按招标当期广州市工程造价管理部门发布的造价文件及《广州地区建设工程材料指导价格及厂商价格》的规定执行。若招标当期广州市工程造价管理部门发布的造价文件及《广州地区建设工程材料指导价格及厂商价格》中没有的辅材，则以2018年各专业工程综合定额中的辅材价格，并根据《广东省住房和城乡建设厅关于印发&lt;广东省建设工程计价依据（2018）&gt;的通知》（粤建市[2019]6号）的规定执行。安装工程主材与辅材的划分按2018年《广东省安装工程综合定额》的规定执行。</w:t>
      </w:r>
    </w:p>
    <w:p w14:paraId="79B788D3">
      <w:pPr>
        <w:keepNext w:val="0"/>
        <w:keepLines w:val="0"/>
        <w:widowControl w:val="0"/>
        <w:suppressLineNumbers w:val="0"/>
        <w:adjustRightInd w:val="0"/>
        <w:snapToGrid w:val="0"/>
        <w:spacing w:before="0" w:beforeAutospacing="0" w:after="0" w:afterAutospacing="0" w:line="360" w:lineRule="auto"/>
        <w:ind w:left="0" w:right="11" w:firstLine="403" w:firstLineChars="192"/>
        <w:jc w:val="both"/>
        <w:rPr>
          <w:rFonts w:hint="eastAsia" w:ascii="宋体" w:hAnsi="宋体" w:eastAsia="宋体" w:cs="宋体"/>
          <w:color w:val="auto"/>
          <w:kern w:val="2"/>
          <w:sz w:val="24"/>
          <w:szCs w:val="24"/>
          <w:highlight w:val="none"/>
        </w:rPr>
      </w:pPr>
      <w:r>
        <w:rPr>
          <w:rFonts w:hint="default" w:ascii="Times New Roman" w:hAnsi="Times New Roman" w:cs="Times New Roman" w:eastAsiaTheme="minorEastAsia"/>
          <w:color w:val="auto"/>
          <w:kern w:val="2"/>
          <w:sz w:val="21"/>
          <w:szCs w:val="21"/>
          <w:highlight w:val="none"/>
          <w:lang w:val="en-US" w:eastAsia="zh-CN" w:bidi="ar"/>
        </w:rPr>
        <w:t>5</w:t>
      </w:r>
      <w:r>
        <w:rPr>
          <w:rFonts w:hint="eastAsia" w:ascii="宋体" w:hAnsi="宋体" w:eastAsia="宋体" w:cs="宋体"/>
          <w:color w:val="auto"/>
          <w:kern w:val="2"/>
          <w:sz w:val="24"/>
          <w:szCs w:val="24"/>
          <w:highlight w:val="none"/>
          <w:lang w:val="en-US" w:eastAsia="zh-CN" w:bidi="ar"/>
        </w:rPr>
        <w:t>管理费、利润按招标当期广州市工程造价管理部门发布的造价文件的规定执行，税金按政府、广东及广州地区税务部门有关规定计算，如文件中规定有上下限的，则按其平均值计算。</w:t>
      </w:r>
    </w:p>
    <w:p w14:paraId="640B4DC7">
      <w:pPr>
        <w:keepNext w:val="0"/>
        <w:keepLines w:val="0"/>
        <w:widowControl w:val="0"/>
        <w:suppressLineNumbers w:val="0"/>
        <w:adjustRightInd w:val="0"/>
        <w:snapToGrid w:val="0"/>
        <w:spacing w:before="0" w:beforeAutospacing="0" w:after="0" w:afterAutospacing="0" w:line="360" w:lineRule="auto"/>
        <w:ind w:left="0" w:right="11" w:firstLine="403" w:firstLineChars="192"/>
        <w:jc w:val="both"/>
        <w:rPr>
          <w:rFonts w:hint="eastAsia" w:ascii="宋体" w:hAnsi="宋体" w:eastAsia="宋体" w:cs="宋体"/>
          <w:color w:val="auto"/>
          <w:kern w:val="2"/>
          <w:sz w:val="24"/>
          <w:szCs w:val="24"/>
          <w:highlight w:val="none"/>
        </w:rPr>
      </w:pPr>
      <w:r>
        <w:rPr>
          <w:rFonts w:hint="default" w:ascii="Times New Roman" w:hAnsi="Times New Roman" w:cs="Times New Roman" w:eastAsiaTheme="minorEastAsia"/>
          <w:color w:val="auto"/>
          <w:kern w:val="2"/>
          <w:sz w:val="21"/>
          <w:szCs w:val="21"/>
          <w:highlight w:val="none"/>
          <w:lang w:val="en-US" w:eastAsia="zh-CN" w:bidi="ar"/>
        </w:rPr>
        <w:t>6</w:t>
      </w:r>
      <w:r>
        <w:rPr>
          <w:rFonts w:hint="eastAsia" w:ascii="宋体" w:hAnsi="宋体" w:eastAsia="宋体" w:cs="宋体"/>
          <w:color w:val="auto"/>
          <w:kern w:val="2"/>
          <w:sz w:val="24"/>
          <w:szCs w:val="24"/>
          <w:highlight w:val="none"/>
          <w:lang w:val="en-US" w:eastAsia="zh-CN" w:bidi="ar"/>
        </w:rPr>
        <w:t>主材费及安装费所包含内容按照2018年广东省定额和最新广州市补充定额的相关规定界定。</w:t>
      </w:r>
    </w:p>
    <w:p w14:paraId="74E39F6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B、除机电安装工程以外的其他工程：</w:t>
      </w:r>
    </w:p>
    <w:p w14:paraId="5438D9A6">
      <w:pPr>
        <w:keepNext w:val="0"/>
        <w:keepLines w:val="0"/>
        <w:widowControl w:val="0"/>
        <w:suppressLineNumbers w:val="0"/>
        <w:adjustRightInd w:val="0"/>
        <w:snapToGrid w:val="0"/>
        <w:spacing w:before="0" w:beforeAutospacing="0" w:after="0" w:afterAutospacing="0" w:line="360" w:lineRule="auto"/>
        <w:ind w:left="0" w:right="11"/>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综合单价分析表</w:t>
      </w:r>
    </w:p>
    <w:tbl>
      <w:tblPr>
        <w:tblStyle w:val="4"/>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604"/>
        <w:gridCol w:w="1384"/>
        <w:gridCol w:w="720"/>
        <w:gridCol w:w="1012"/>
        <w:gridCol w:w="68"/>
        <w:gridCol w:w="1080"/>
        <w:gridCol w:w="1108"/>
        <w:gridCol w:w="1800"/>
      </w:tblGrid>
      <w:tr w14:paraId="54D3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88B283">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清单编码</w:t>
            </w:r>
          </w:p>
        </w:tc>
        <w:tc>
          <w:tcPr>
            <w:tcW w:w="1384" w:type="dxa"/>
            <w:tcBorders>
              <w:top w:val="single" w:color="auto" w:sz="4" w:space="0"/>
              <w:left w:val="nil"/>
              <w:bottom w:val="single" w:color="auto" w:sz="4" w:space="0"/>
              <w:right w:val="single" w:color="auto" w:sz="4" w:space="0"/>
            </w:tcBorders>
            <w:shd w:val="clear" w:color="auto" w:fill="auto"/>
            <w:noWrap/>
            <w:vAlign w:val="center"/>
          </w:tcPr>
          <w:p w14:paraId="7351013B">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项目名称</w:t>
            </w:r>
          </w:p>
        </w:tc>
        <w:tc>
          <w:tcPr>
            <w:tcW w:w="1732" w:type="dxa"/>
            <w:gridSpan w:val="2"/>
            <w:tcBorders>
              <w:top w:val="single" w:color="auto" w:sz="4" w:space="0"/>
              <w:left w:val="nil"/>
              <w:bottom w:val="single" w:color="auto" w:sz="4" w:space="0"/>
              <w:right w:val="single" w:color="auto" w:sz="4" w:space="0"/>
            </w:tcBorders>
            <w:shd w:val="clear" w:color="auto" w:fill="auto"/>
            <w:noWrap/>
            <w:vAlign w:val="center"/>
          </w:tcPr>
          <w:p w14:paraId="0B4860DF">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单位</w:t>
            </w:r>
          </w:p>
        </w:tc>
        <w:tc>
          <w:tcPr>
            <w:tcW w:w="2256" w:type="dxa"/>
            <w:gridSpan w:val="3"/>
            <w:tcBorders>
              <w:top w:val="single" w:color="auto" w:sz="4" w:space="0"/>
              <w:left w:val="nil"/>
              <w:bottom w:val="single" w:color="auto" w:sz="4" w:space="0"/>
              <w:right w:val="single" w:color="auto" w:sz="4" w:space="0"/>
            </w:tcBorders>
            <w:shd w:val="clear" w:color="auto" w:fill="auto"/>
            <w:noWrap/>
            <w:vAlign w:val="center"/>
          </w:tcPr>
          <w:p w14:paraId="5703642C">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清单项目工程量</w:t>
            </w: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06EC967E">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综合单价</w:t>
            </w:r>
          </w:p>
        </w:tc>
      </w:tr>
      <w:tr w14:paraId="5F3A8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77A5B">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384" w:type="dxa"/>
            <w:tcBorders>
              <w:top w:val="single" w:color="auto" w:sz="4" w:space="0"/>
              <w:left w:val="nil"/>
              <w:bottom w:val="single" w:color="auto" w:sz="4" w:space="0"/>
              <w:right w:val="single" w:color="auto" w:sz="4" w:space="0"/>
            </w:tcBorders>
            <w:shd w:val="clear" w:color="auto" w:fill="auto"/>
            <w:noWrap/>
            <w:vAlign w:val="center"/>
          </w:tcPr>
          <w:p w14:paraId="44293BE7">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732" w:type="dxa"/>
            <w:gridSpan w:val="2"/>
            <w:tcBorders>
              <w:top w:val="single" w:color="auto" w:sz="4" w:space="0"/>
              <w:left w:val="nil"/>
              <w:bottom w:val="single" w:color="auto" w:sz="4" w:space="0"/>
              <w:right w:val="single" w:color="auto" w:sz="4" w:space="0"/>
            </w:tcBorders>
            <w:shd w:val="clear" w:color="auto" w:fill="auto"/>
            <w:noWrap/>
            <w:vAlign w:val="center"/>
          </w:tcPr>
          <w:p w14:paraId="5E9D5C28">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2256" w:type="dxa"/>
            <w:gridSpan w:val="3"/>
            <w:tcBorders>
              <w:top w:val="single" w:color="auto" w:sz="4" w:space="0"/>
              <w:left w:val="nil"/>
              <w:bottom w:val="single" w:color="auto" w:sz="4" w:space="0"/>
              <w:right w:val="single" w:color="auto" w:sz="4" w:space="0"/>
            </w:tcBorders>
            <w:shd w:val="clear" w:color="auto" w:fill="auto"/>
            <w:noWrap/>
            <w:vAlign w:val="center"/>
          </w:tcPr>
          <w:p w14:paraId="48D4B949">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70CA6E32">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44F3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CF0D8">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【项目特征】</w:t>
            </w:r>
          </w:p>
        </w:tc>
        <w:tc>
          <w:tcPr>
            <w:tcW w:w="5372" w:type="dxa"/>
            <w:gridSpan w:val="6"/>
            <w:tcBorders>
              <w:top w:val="single" w:color="auto" w:sz="4" w:space="0"/>
              <w:left w:val="nil"/>
              <w:bottom w:val="single" w:color="auto" w:sz="4" w:space="0"/>
              <w:right w:val="single" w:color="auto" w:sz="4" w:space="0"/>
            </w:tcBorders>
            <w:shd w:val="clear" w:color="auto" w:fill="auto"/>
            <w:noWrap/>
            <w:vAlign w:val="center"/>
          </w:tcPr>
          <w:p w14:paraId="4E0FE959">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18A5095D">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093B6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773B1">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【工程内容】</w:t>
            </w:r>
          </w:p>
        </w:tc>
        <w:tc>
          <w:tcPr>
            <w:tcW w:w="5372" w:type="dxa"/>
            <w:gridSpan w:val="6"/>
            <w:tcBorders>
              <w:top w:val="single" w:color="auto" w:sz="4" w:space="0"/>
              <w:left w:val="nil"/>
              <w:bottom w:val="single" w:color="auto" w:sz="4" w:space="0"/>
              <w:right w:val="single" w:color="auto" w:sz="4" w:space="0"/>
            </w:tcBorders>
            <w:shd w:val="clear" w:color="auto" w:fill="auto"/>
            <w:noWrap/>
            <w:vAlign w:val="center"/>
          </w:tcPr>
          <w:p w14:paraId="0F275BF5">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7A882770">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7FFA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AC4D6">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60C39E33">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项目名称</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4B175E72">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单位</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376FBFB2">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数量</w:t>
            </w:r>
          </w:p>
        </w:tc>
        <w:tc>
          <w:tcPr>
            <w:tcW w:w="1108" w:type="dxa"/>
            <w:tcBorders>
              <w:top w:val="single" w:color="auto" w:sz="4" w:space="0"/>
              <w:left w:val="nil"/>
              <w:bottom w:val="single" w:color="auto" w:sz="4" w:space="0"/>
              <w:right w:val="single" w:color="auto" w:sz="4" w:space="0"/>
            </w:tcBorders>
            <w:shd w:val="clear" w:color="auto" w:fill="auto"/>
            <w:noWrap/>
            <w:vAlign w:val="center"/>
          </w:tcPr>
          <w:p w14:paraId="2066ADC7">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单价</w:t>
            </w: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6C7C4919">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合价</w:t>
            </w:r>
          </w:p>
        </w:tc>
      </w:tr>
      <w:tr w14:paraId="2262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B8907">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2B87E6B3">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5068" w:type="dxa"/>
            <w:gridSpan w:val="5"/>
            <w:tcBorders>
              <w:top w:val="single" w:color="auto" w:sz="4" w:space="0"/>
              <w:left w:val="nil"/>
              <w:bottom w:val="single" w:color="auto" w:sz="4" w:space="0"/>
              <w:right w:val="single" w:color="auto" w:sz="4" w:space="0"/>
            </w:tcBorders>
            <w:shd w:val="clear" w:color="auto" w:fill="auto"/>
            <w:noWrap/>
            <w:vAlign w:val="center"/>
          </w:tcPr>
          <w:p w14:paraId="081ABF3C">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4F639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0000E">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3F8A74DE">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055D1B32">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4711D662">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108" w:type="dxa"/>
            <w:tcBorders>
              <w:top w:val="single" w:color="auto" w:sz="4" w:space="0"/>
              <w:left w:val="nil"/>
              <w:bottom w:val="single" w:color="auto" w:sz="4" w:space="0"/>
              <w:right w:val="single" w:color="auto" w:sz="4" w:space="0"/>
            </w:tcBorders>
            <w:shd w:val="clear" w:color="auto" w:fill="auto"/>
            <w:noWrap/>
            <w:vAlign w:val="center"/>
          </w:tcPr>
          <w:p w14:paraId="00912603">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6593F46D">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35E9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9CAC9">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小计</w:t>
            </w: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2B05A1BF">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6D94DF9F">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0004D629">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108" w:type="dxa"/>
            <w:tcBorders>
              <w:top w:val="single" w:color="auto" w:sz="4" w:space="0"/>
              <w:left w:val="nil"/>
              <w:bottom w:val="single" w:color="auto" w:sz="4" w:space="0"/>
              <w:right w:val="single" w:color="auto" w:sz="4" w:space="0"/>
            </w:tcBorders>
            <w:shd w:val="clear" w:color="auto" w:fill="auto"/>
            <w:noWrap/>
            <w:vAlign w:val="center"/>
          </w:tcPr>
          <w:p w14:paraId="6F9E0A98">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1E1AA4A1">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3CCC3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7BE86">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一、分部分项</w:t>
            </w:r>
          </w:p>
          <w:p w14:paraId="1B4D9651">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工程费</w:t>
            </w: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093D0F74">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090B2637">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122E1589">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108" w:type="dxa"/>
            <w:tcBorders>
              <w:top w:val="single" w:color="auto" w:sz="4" w:space="0"/>
              <w:left w:val="nil"/>
              <w:bottom w:val="single" w:color="auto" w:sz="4" w:space="0"/>
              <w:right w:val="single" w:color="auto" w:sz="4" w:space="0"/>
            </w:tcBorders>
            <w:shd w:val="clear" w:color="auto" w:fill="auto"/>
            <w:noWrap/>
            <w:vAlign w:val="center"/>
          </w:tcPr>
          <w:p w14:paraId="5F179CE2">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6F782E3A">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77A7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E1AC4">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11606D6B">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人工费</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2F090C25">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元</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074BDD30">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108" w:type="dxa"/>
            <w:tcBorders>
              <w:top w:val="single" w:color="auto" w:sz="4" w:space="0"/>
              <w:left w:val="nil"/>
              <w:bottom w:val="single" w:color="auto" w:sz="4" w:space="0"/>
              <w:right w:val="single" w:color="auto" w:sz="4" w:space="0"/>
            </w:tcBorders>
            <w:shd w:val="clear" w:color="auto" w:fill="auto"/>
            <w:noWrap/>
            <w:vAlign w:val="center"/>
          </w:tcPr>
          <w:p w14:paraId="44B56289">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03568220">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34683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D2E69">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612EF70B">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42EEFEC5">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75F0CEB2">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108" w:type="dxa"/>
            <w:tcBorders>
              <w:top w:val="single" w:color="auto" w:sz="4" w:space="0"/>
              <w:left w:val="nil"/>
              <w:bottom w:val="single" w:color="auto" w:sz="4" w:space="0"/>
              <w:right w:val="single" w:color="auto" w:sz="4" w:space="0"/>
            </w:tcBorders>
            <w:shd w:val="clear" w:color="auto" w:fill="auto"/>
            <w:noWrap/>
            <w:vAlign w:val="center"/>
          </w:tcPr>
          <w:p w14:paraId="73C6F6B6">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72ECFB51">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08D2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208CF">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6F3F3392">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主材设备费</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61F974FA">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元</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07AE1022">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108" w:type="dxa"/>
            <w:tcBorders>
              <w:top w:val="single" w:color="auto" w:sz="4" w:space="0"/>
              <w:left w:val="nil"/>
              <w:bottom w:val="single" w:color="auto" w:sz="4" w:space="0"/>
              <w:right w:val="single" w:color="auto" w:sz="4" w:space="0"/>
            </w:tcBorders>
            <w:shd w:val="clear" w:color="auto" w:fill="auto"/>
            <w:noWrap/>
            <w:vAlign w:val="center"/>
          </w:tcPr>
          <w:p w14:paraId="6A7136E9">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1D3E83A5">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23E9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99163">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122C8A56">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215E77ED">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311BBC80">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108" w:type="dxa"/>
            <w:tcBorders>
              <w:top w:val="single" w:color="auto" w:sz="4" w:space="0"/>
              <w:left w:val="nil"/>
              <w:bottom w:val="single" w:color="auto" w:sz="4" w:space="0"/>
              <w:right w:val="single" w:color="auto" w:sz="4" w:space="0"/>
            </w:tcBorders>
            <w:shd w:val="clear" w:color="auto" w:fill="auto"/>
            <w:noWrap/>
            <w:vAlign w:val="center"/>
          </w:tcPr>
          <w:p w14:paraId="1B683091">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429AFFEF">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2635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984CD3">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6A30F918">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材料费</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1F382C2F">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元</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4C0C38F9">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108" w:type="dxa"/>
            <w:tcBorders>
              <w:top w:val="single" w:color="auto" w:sz="4" w:space="0"/>
              <w:left w:val="nil"/>
              <w:bottom w:val="single" w:color="auto" w:sz="4" w:space="0"/>
              <w:right w:val="single" w:color="auto" w:sz="4" w:space="0"/>
            </w:tcBorders>
            <w:shd w:val="clear" w:color="auto" w:fill="auto"/>
            <w:noWrap/>
            <w:vAlign w:val="center"/>
          </w:tcPr>
          <w:p w14:paraId="04113D9A">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759D1888">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1C7F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A8B61">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44AC8F55">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4224E9FE">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5F0C887B">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108" w:type="dxa"/>
            <w:tcBorders>
              <w:top w:val="single" w:color="auto" w:sz="4" w:space="0"/>
              <w:left w:val="nil"/>
              <w:bottom w:val="single" w:color="auto" w:sz="4" w:space="0"/>
              <w:right w:val="single" w:color="auto" w:sz="4" w:space="0"/>
            </w:tcBorders>
            <w:shd w:val="clear" w:color="auto" w:fill="auto"/>
            <w:noWrap/>
            <w:vAlign w:val="center"/>
          </w:tcPr>
          <w:p w14:paraId="30327ECE">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7F39D20B">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066B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DEAEC">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5836B100">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机具费</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777EB715">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元</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56413264">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108" w:type="dxa"/>
            <w:tcBorders>
              <w:top w:val="single" w:color="auto" w:sz="4" w:space="0"/>
              <w:left w:val="nil"/>
              <w:bottom w:val="single" w:color="auto" w:sz="4" w:space="0"/>
              <w:right w:val="single" w:color="auto" w:sz="4" w:space="0"/>
            </w:tcBorders>
            <w:shd w:val="clear" w:color="auto" w:fill="auto"/>
            <w:noWrap/>
            <w:vAlign w:val="center"/>
          </w:tcPr>
          <w:p w14:paraId="63B1D662">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079BCAF7">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5AE7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4710C">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42C7C599">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73852C7C">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4D6A8BF5">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108" w:type="dxa"/>
            <w:tcBorders>
              <w:top w:val="single" w:color="auto" w:sz="4" w:space="0"/>
              <w:left w:val="nil"/>
              <w:bottom w:val="single" w:color="auto" w:sz="4" w:space="0"/>
              <w:right w:val="single" w:color="auto" w:sz="4" w:space="0"/>
            </w:tcBorders>
            <w:shd w:val="clear" w:color="auto" w:fill="auto"/>
            <w:noWrap/>
            <w:vAlign w:val="center"/>
          </w:tcPr>
          <w:p w14:paraId="20639A47">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3A2F600B">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3CE9F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4E1D1">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6BC110C1">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工料机小计</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64B53E49">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元</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54E57F47">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108" w:type="dxa"/>
            <w:tcBorders>
              <w:top w:val="single" w:color="auto" w:sz="4" w:space="0"/>
              <w:left w:val="nil"/>
              <w:bottom w:val="single" w:color="auto" w:sz="4" w:space="0"/>
              <w:right w:val="single" w:color="auto" w:sz="4" w:space="0"/>
            </w:tcBorders>
            <w:shd w:val="clear" w:color="auto" w:fill="auto"/>
            <w:noWrap/>
            <w:vAlign w:val="center"/>
          </w:tcPr>
          <w:p w14:paraId="2343F4BE">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59AFBAB2">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54E66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7EA31">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2B266FDC">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管理费</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23A6C1BC">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元</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3BE4C653">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108" w:type="dxa"/>
            <w:tcBorders>
              <w:top w:val="single" w:color="auto" w:sz="4" w:space="0"/>
              <w:left w:val="nil"/>
              <w:bottom w:val="single" w:color="auto" w:sz="4" w:space="0"/>
              <w:right w:val="single" w:color="auto" w:sz="4" w:space="0"/>
            </w:tcBorders>
            <w:shd w:val="clear" w:color="auto" w:fill="auto"/>
            <w:noWrap/>
            <w:vAlign w:val="center"/>
          </w:tcPr>
          <w:p w14:paraId="6DE87532">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5EC46040">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73F7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64FEF">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34237992">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利润</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4F56AD31">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1BF28B3C">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108" w:type="dxa"/>
            <w:tcBorders>
              <w:top w:val="single" w:color="auto" w:sz="4" w:space="0"/>
              <w:left w:val="nil"/>
              <w:bottom w:val="single" w:color="auto" w:sz="4" w:space="0"/>
              <w:right w:val="single" w:color="auto" w:sz="4" w:space="0"/>
            </w:tcBorders>
            <w:shd w:val="clear" w:color="auto" w:fill="auto"/>
            <w:noWrap/>
            <w:vAlign w:val="center"/>
          </w:tcPr>
          <w:p w14:paraId="242F67F8">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6E20B93B">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3C9B1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E762A">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w:t>
            </w: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08101AA3">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投标下浮率</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2048AA2F">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w:t>
            </w: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513A1920">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108" w:type="dxa"/>
            <w:tcBorders>
              <w:top w:val="single" w:color="auto" w:sz="4" w:space="0"/>
              <w:left w:val="nil"/>
              <w:bottom w:val="single" w:color="auto" w:sz="4" w:space="0"/>
              <w:right w:val="single" w:color="auto" w:sz="4" w:space="0"/>
            </w:tcBorders>
            <w:shd w:val="clear" w:color="auto" w:fill="auto"/>
            <w:noWrap/>
            <w:vAlign w:val="center"/>
          </w:tcPr>
          <w:p w14:paraId="754D9486">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4B9913E8">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r w14:paraId="7C81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16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FA02F">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w:t>
            </w:r>
          </w:p>
        </w:tc>
        <w:tc>
          <w:tcPr>
            <w:tcW w:w="2104" w:type="dxa"/>
            <w:gridSpan w:val="2"/>
            <w:tcBorders>
              <w:top w:val="single" w:color="auto" w:sz="4" w:space="0"/>
              <w:left w:val="nil"/>
              <w:bottom w:val="single" w:color="auto" w:sz="4" w:space="0"/>
              <w:right w:val="single" w:color="auto" w:sz="4" w:space="0"/>
            </w:tcBorders>
            <w:shd w:val="clear" w:color="auto" w:fill="auto"/>
            <w:noWrap/>
            <w:vAlign w:val="center"/>
          </w:tcPr>
          <w:p w14:paraId="5438B7E7">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最终综合单价</w:t>
            </w:r>
          </w:p>
          <w:p w14:paraId="734D440A">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一*（1-二）</w:t>
            </w:r>
          </w:p>
        </w:tc>
        <w:tc>
          <w:tcPr>
            <w:tcW w:w="1080" w:type="dxa"/>
            <w:gridSpan w:val="2"/>
            <w:tcBorders>
              <w:top w:val="single" w:color="auto" w:sz="4" w:space="0"/>
              <w:left w:val="nil"/>
              <w:bottom w:val="single" w:color="auto" w:sz="4" w:space="0"/>
              <w:right w:val="single" w:color="auto" w:sz="4" w:space="0"/>
            </w:tcBorders>
            <w:shd w:val="clear" w:color="auto" w:fill="auto"/>
            <w:noWrap/>
            <w:vAlign w:val="center"/>
          </w:tcPr>
          <w:p w14:paraId="28893D83">
            <w:pPr>
              <w:keepNext w:val="0"/>
              <w:keepLines w:val="0"/>
              <w:widowControl/>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080" w:type="dxa"/>
            <w:tcBorders>
              <w:top w:val="single" w:color="auto" w:sz="4" w:space="0"/>
              <w:left w:val="nil"/>
              <w:bottom w:val="single" w:color="auto" w:sz="4" w:space="0"/>
              <w:right w:val="single" w:color="auto" w:sz="4" w:space="0"/>
            </w:tcBorders>
            <w:shd w:val="clear" w:color="auto" w:fill="auto"/>
            <w:noWrap/>
            <w:vAlign w:val="center"/>
          </w:tcPr>
          <w:p w14:paraId="10E2D057">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108" w:type="dxa"/>
            <w:tcBorders>
              <w:top w:val="single" w:color="auto" w:sz="4" w:space="0"/>
              <w:left w:val="nil"/>
              <w:bottom w:val="single" w:color="auto" w:sz="4" w:space="0"/>
              <w:right w:val="single" w:color="auto" w:sz="4" w:space="0"/>
            </w:tcBorders>
            <w:shd w:val="clear" w:color="auto" w:fill="auto"/>
            <w:noWrap/>
            <w:vAlign w:val="center"/>
          </w:tcPr>
          <w:p w14:paraId="7D6E08D6">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c>
          <w:tcPr>
            <w:tcW w:w="1800" w:type="dxa"/>
            <w:tcBorders>
              <w:top w:val="single" w:color="auto" w:sz="4" w:space="0"/>
              <w:left w:val="nil"/>
              <w:bottom w:val="single" w:color="auto" w:sz="4" w:space="0"/>
              <w:right w:val="single" w:color="auto" w:sz="4" w:space="0"/>
            </w:tcBorders>
            <w:shd w:val="clear" w:color="auto" w:fill="auto"/>
            <w:noWrap/>
            <w:vAlign w:val="center"/>
          </w:tcPr>
          <w:p w14:paraId="6C2D9CE6">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p>
        </w:tc>
      </w:tr>
    </w:tbl>
    <w:p w14:paraId="6B19143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其中：</w:t>
      </w:r>
    </w:p>
    <w:p w14:paraId="105B7941">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①投标下浮率=（1-合同总价/招标控制价）×100％=</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w:t>
      </w:r>
    </w:p>
    <w:p w14:paraId="06AA819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②按照下列标准确定人工、材料和机具的消耗量：</w:t>
      </w:r>
    </w:p>
    <w:p w14:paraId="75077A63">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《广东省房屋建筑与装饰工程综合定额（2018）》；</w:t>
      </w:r>
    </w:p>
    <w:p w14:paraId="2F3729E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《广东省通用安装工程综合定额（2018）》；</w:t>
      </w:r>
    </w:p>
    <w:p w14:paraId="299F6483">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《广东省市政工程工程综合定额（2018）》；</w:t>
      </w:r>
    </w:p>
    <w:p w14:paraId="2C88B11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《广东省园林绿化工程综合定额（2018）》；</w:t>
      </w:r>
    </w:p>
    <w:p w14:paraId="7640111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2012年《广东省修缮工程综合定额》。</w:t>
      </w:r>
    </w:p>
    <w:p w14:paraId="50E6C15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上述定额查找不到的可参考其他相关定额或由发包人与承包人协商确定，国家及广东省、广州市有最新规定的，从其规定。</w:t>
      </w:r>
    </w:p>
    <w:p w14:paraId="5895760A">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③人工、辅助材料（主材以外的材料）、机具价格的确定：按招标当期广州市工程造价管理部门发布的造价文件及《广州地区建设工程材料指导价格及厂商价格》的规定执行。若招标当期广州市工程造价管理部门发布的造价文件及《广州地区建设工程材料指导价格及厂商价格》中没有的辅材，则以2018年各专业工程综合定额中的辅材价格，并根据《广东省住房和城乡建设厅关于印发&lt;广东省建设工程计价依据（2018）&gt;的通知》（粤建市[2019]6号）的规定执行。</w:t>
      </w:r>
    </w:p>
    <w:p w14:paraId="58EFDDC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④管理费、利润按招标当期广州市工程造价管理部门发布的造价文件的规定执行，税金按政府、广东及广州地区税务部门有关规定计算，如文件中规定有上下限的，则按其平均值计算。</w:t>
      </w:r>
    </w:p>
    <w:p w14:paraId="603011B5">
      <w:pPr>
        <w:keepNext w:val="0"/>
        <w:keepLines w:val="0"/>
        <w:widowControl/>
        <w:suppressLineNumbers w:val="0"/>
        <w:adjustRightInd w:val="0"/>
        <w:snapToGrid w:val="0"/>
        <w:spacing w:before="0" w:beforeAutospacing="0" w:after="0" w:afterAutospacing="0" w:line="360" w:lineRule="auto"/>
        <w:ind w:left="-8" w:leftChars="-4" w:right="0" w:firstLine="420" w:firstLineChars="199"/>
        <w:jc w:val="both"/>
        <w:outlineLvl w:val="4"/>
        <w:rPr>
          <w:rFonts w:hint="eastAsia" w:ascii="宋体" w:hAnsi="宋体" w:eastAsia="宋体" w:cs="宋体"/>
          <w:strike/>
          <w:dstrike w:val="0"/>
          <w:color w:val="auto"/>
          <w:kern w:val="2"/>
          <w:sz w:val="24"/>
          <w:szCs w:val="24"/>
          <w:highlight w:val="none"/>
        </w:rPr>
      </w:pP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宋体"/>
          <w:color w:val="auto"/>
          <w:kern w:val="2"/>
          <w:sz w:val="24"/>
          <w:szCs w:val="24"/>
          <w:highlight w:val="none"/>
          <w:lang w:val="en-US" w:eastAsia="zh-CN" w:bidi="ar"/>
        </w:rPr>
        <w:t>33.2.4措施项目费的混凝土、钢筋混凝土模板及支架费的调整和结算方式：</w:t>
      </w:r>
    </w:p>
    <w:p w14:paraId="36892B55">
      <w:pPr>
        <w:pStyle w:val="3"/>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color w:val="auto"/>
          <w:kern w:val="0"/>
          <w:sz w:val="24"/>
          <w:szCs w:val="24"/>
          <w:highlight w:val="none"/>
          <w:u w:val="single"/>
        </w:rPr>
      </w:pPr>
      <w:r>
        <w:rPr>
          <w:rFonts w:hint="eastAsia" w:ascii="宋体" w:hAnsi="宋体" w:eastAsia="宋体" w:cs="宋体"/>
          <w:b/>
          <w:color w:val="auto"/>
          <w:kern w:val="0"/>
          <w:sz w:val="24"/>
          <w:szCs w:val="24"/>
          <w:highlight w:val="none"/>
          <w:u w:val="single"/>
          <w:lang w:val="en-US" w:eastAsia="zh-CN" w:bidi="ar"/>
        </w:rPr>
        <w:t>☑【维修改造项目】按综合单价包干的计价方式，工程量按设计图示尺寸据实计量。</w:t>
      </w:r>
    </w:p>
    <w:p w14:paraId="37AA220B">
      <w:pPr>
        <w:pStyle w:val="3"/>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b/>
          <w:color w:val="auto"/>
          <w:kern w:val="0"/>
          <w:sz w:val="24"/>
          <w:szCs w:val="24"/>
          <w:highlight w:val="none"/>
          <w:u w:val="singl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color w:val="auto"/>
          <w:kern w:val="0"/>
          <w:sz w:val="24"/>
          <w:szCs w:val="24"/>
          <w:highlight w:val="none"/>
          <w:u w:val="single"/>
          <w:lang w:val="en-US" w:eastAsia="zh-CN" w:bidi="ar"/>
        </w:rPr>
        <w:t>【新建项目】（1）若本工程招标时设计施工图纸能清晰准确计算混凝土及模板工程量的，则本工程措施项目费的混凝土、钢筋混凝土模板及支架费按以下方式调整和结算：</w:t>
      </w:r>
    </w:p>
    <w:p w14:paraId="2292D1F9">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以经有权结算终审部门审定结算中的支模砼总量和合同工程量清单支模砼总量相比，1）若增减幅度在5％（含5%）以内，该项费用不予调整。2）若增减幅度在5％（不含5%）以上，则该项费用结算价为：</w:t>
      </w:r>
    </w:p>
    <w:p w14:paraId="44FD570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①当增加幅度超过5％时，结算价＝（混凝土、钢筋混凝土模板及支架费合同清单合价）×（经有权结算终审部门审定结算中的支模砼总量/合同工程量清单支模砼总量-5％）；</w:t>
      </w:r>
    </w:p>
    <w:p w14:paraId="6559551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②当减少幅度超过5％时，结算价＝（混凝土、钢筋混凝土模板及支架费合同清单合价）×（经有权结算终审部门审定结算中的支模砼总量/合同工程量清单支模砼总量+5％）。</w:t>
      </w:r>
    </w:p>
    <w:p w14:paraId="3CD3A901">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u w:val="single"/>
          <w:lang w:val="en-US" w:eastAsia="zh-CN" w:bidi="ar"/>
        </w:rPr>
        <w:t>（2）若本工程招标时图纸不能清晰准确计算混凝土及模板工程量的，则本工程措施项目费的混凝土、钢筋混凝土模板及支架费按以下方式调整和结算：按综合单价包干，工程量按图纸尺寸据实计量。</w:t>
      </w:r>
    </w:p>
    <w:p w14:paraId="58C6FDCA">
      <w:pPr>
        <w:pStyle w:val="3"/>
        <w:keepNext w:val="0"/>
        <w:keepLines w:val="0"/>
        <w:widowControl/>
        <w:suppressLineNumbers w:val="0"/>
        <w:adjustRightInd w:val="0"/>
        <w:snapToGrid w:val="0"/>
        <w:spacing w:before="0" w:beforeAutospacing="0" w:after="0" w:afterAutospacing="0" w:line="360" w:lineRule="auto"/>
        <w:ind w:left="-8" w:leftChars="-4" w:right="0" w:firstLine="417" w:firstLineChars="199"/>
        <w:jc w:val="left"/>
        <w:outlineLvl w:val="4"/>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33.2.5甲供材料设备管理费的调整和结算方式</w:t>
      </w:r>
    </w:p>
    <w:p w14:paraId="1A75BB2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甲供材料设备管理费结算时按甲供材料设备合同价扣除其中单套（台）主材单价大于5000元的设备价款后的余额乘以合同约定的费率计算。</w:t>
      </w:r>
    </w:p>
    <w:p w14:paraId="39167FB7">
      <w:pPr>
        <w:pStyle w:val="3"/>
        <w:keepNext w:val="0"/>
        <w:keepLines w:val="0"/>
        <w:widowControl/>
        <w:suppressLineNumbers w:val="0"/>
        <w:adjustRightInd w:val="0"/>
        <w:snapToGrid w:val="0"/>
        <w:spacing w:before="0" w:beforeAutospacing="0" w:after="0" w:afterAutospacing="0" w:line="360" w:lineRule="auto"/>
        <w:ind w:left="0" w:right="0" w:firstLine="420" w:firstLineChars="200"/>
        <w:jc w:val="left"/>
        <w:outlineLvl w:val="4"/>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2"/>
          <w:sz w:val="24"/>
          <w:szCs w:val="24"/>
          <w:highlight w:val="none"/>
          <w:lang w:val="en-US" w:eastAsia="zh-CN" w:bidi="ar"/>
        </w:rPr>
        <w:t>33.2.6甲招乙供材料设备管理费的调整和结算方式</w:t>
      </w:r>
    </w:p>
    <w:p w14:paraId="6C44C8F2">
      <w:pPr>
        <w:pStyle w:val="3"/>
        <w:keepNext w:val="0"/>
        <w:keepLines w:val="0"/>
        <w:widowControl/>
        <w:suppressLineNumbers w:val="0"/>
        <w:adjustRightInd w:val="0"/>
        <w:snapToGrid w:val="0"/>
        <w:spacing w:before="0" w:beforeAutospacing="1" w:after="0" w:afterAutospacing="1"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甲招乙供材料设备管理费结算时按甲招乙供材料合同价扣除其中单套（台）主材单价大于5000元的设备价款后的余额乘以合同约定的费率计算。</w:t>
      </w:r>
    </w:p>
    <w:p w14:paraId="2ECB56E9">
      <w:pPr>
        <w:pStyle w:val="3"/>
        <w:keepNext w:val="0"/>
        <w:keepLines w:val="0"/>
        <w:widowControl/>
        <w:suppressLineNumbers w:val="0"/>
        <w:adjustRightInd w:val="0"/>
        <w:snapToGrid w:val="0"/>
        <w:spacing w:before="0" w:beforeAutospacing="1" w:after="0" w:afterAutospacing="1"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33.2.7 </w:t>
      </w:r>
      <w:r>
        <w:rPr>
          <w:rFonts w:hint="eastAsia" w:ascii="宋体" w:hAnsi="宋体" w:eastAsia="宋体" w:cs="宋体"/>
          <w:b/>
          <w:color w:val="auto"/>
          <w:kern w:val="0"/>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人工费</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2"/>
          <w:sz w:val="24"/>
          <w:szCs w:val="24"/>
          <w:highlight w:val="none"/>
          <w:lang w:val="en-US" w:eastAsia="zh-CN" w:bidi="ar"/>
        </w:rPr>
        <w:t>及材料价差的调整和结算方式</w:t>
      </w:r>
    </w:p>
    <w:p w14:paraId="1BCA615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根据《中华人民共和国民法典》、《建筑工程施工发包与承包计价管理办法》（住房城乡建设部令第16号）、《广东省建设工程造价管理规定》（粤府令第205号）、《广东省住房和城乡建设厅关于加强建筑工程材料价格风险管控的指导意见》（粤建市函〔2018〕2058号）及有关法律、法规，按照承发包双方合理分担价格风险的原则，约定如下：</w:t>
      </w:r>
    </w:p>
    <w:p w14:paraId="76A5599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除</w:t>
      </w:r>
      <w:r>
        <w:rPr>
          <w:rFonts w:hint="eastAsia" w:ascii="宋体" w:hAnsi="宋体" w:eastAsia="宋体" w:cs="宋体"/>
          <w:b/>
          <w:bCs w:val="0"/>
          <w:color w:val="auto"/>
          <w:kern w:val="0"/>
          <w:sz w:val="24"/>
          <w:szCs w:val="24"/>
          <w:highlight w:val="none"/>
          <w:lang w:val="en-US" w:eastAsia="zh-CN" w:bidi="ar"/>
        </w:rPr>
        <w:t>☑人工费及</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钢筋</w:t>
      </w:r>
      <w:r>
        <w:rPr>
          <w:rFonts w:hint="eastAsia" w:ascii="宋体" w:hAnsi="宋体" w:eastAsia="宋体" w:cs="宋体"/>
          <w:b/>
          <w:bCs w:val="0"/>
          <w:color w:val="auto"/>
          <w:kern w:val="2"/>
          <w:sz w:val="24"/>
          <w:szCs w:val="24"/>
          <w:highlight w:val="none"/>
          <w:lang w:val="en-US" w:eastAsia="zh-CN" w:bidi="ar"/>
        </w:rPr>
        <w:t>、合同规定可以调差的钢结构主要型钢构件</w:t>
      </w:r>
      <w:r>
        <w:rPr>
          <w:rFonts w:hint="eastAsia" w:ascii="宋体" w:hAnsi="宋体" w:eastAsia="宋体" w:cs="宋体"/>
          <w:b/>
          <w:bCs w:val="0"/>
          <w:color w:val="auto"/>
          <w:kern w:val="0"/>
          <w:sz w:val="24"/>
          <w:szCs w:val="24"/>
          <w:highlight w:val="none"/>
          <w:lang w:val="en-US" w:eastAsia="zh-CN" w:bidi="ar"/>
        </w:rPr>
        <w:t>、</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strike w:val="0"/>
          <w:dstrike/>
          <w:color w:val="auto"/>
          <w:kern w:val="0"/>
          <w:sz w:val="24"/>
          <w:szCs w:val="24"/>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电线电缆、</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混凝土、</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砂浆、</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砌体、</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中砂、</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碎石、</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石屑、</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管桩、</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玻璃、</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水泥、</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直线段母线槽、</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沥青混凝土、</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铝合金型材</w:t>
      </w:r>
      <w:r>
        <w:rPr>
          <w:rFonts w:hint="eastAsia" w:ascii="宋体" w:hAnsi="宋体" w:eastAsia="宋体" w:cs="宋体"/>
          <w:color w:val="auto"/>
          <w:kern w:val="2"/>
          <w:sz w:val="24"/>
          <w:szCs w:val="24"/>
          <w:highlight w:val="none"/>
          <w:lang w:val="en-US" w:eastAsia="zh-CN" w:bidi="ar"/>
        </w:rPr>
        <w:t>材料费价差外，其他材料设备的价差均不予调整。调整、计量支付和结算原则如下:</w:t>
      </w:r>
    </w:p>
    <w:p w14:paraId="0C22B869">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outlineLvl w:val="5"/>
        <w:rPr>
          <w:rFonts w:hint="eastAsia" w:ascii="宋体" w:hAnsi="宋体" w:eastAsia="宋体" w:cs="宋体"/>
          <w:color w:val="auto"/>
          <w:kern w:val="2"/>
          <w:sz w:val="24"/>
          <w:szCs w:val="24"/>
          <w:highlight w:val="none"/>
        </w:rPr>
      </w:pPr>
      <w:r>
        <w:rPr>
          <w:rFonts w:hint="eastAsia" w:ascii="宋体" w:hAnsi="宋体" w:eastAsia="宋体" w:cs="宋体"/>
          <w:b/>
          <w:bCs w:val="0"/>
          <w:color w:val="auto"/>
          <w:kern w:val="0"/>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 xml:space="preserve"> 1）人工费的调整和结算方式：</w:t>
      </w:r>
    </w:p>
    <w:p w14:paraId="58E6C21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招标文件工程量清单计价说明公布的分部分项人工费总额为本工程分部分项最高人工费总额，承包人在投标报价时不得超过此公布数。如承包人未按招标文件工程量清单计价说明要求填报分部分项人工费的，发包人有权按照招标文件工程量清单计价说明进行修正，承包人应无条件按修正后的分部分项人工费结果执行。</w:t>
      </w:r>
    </w:p>
    <w:p w14:paraId="08D6C0E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若计量当期人工价格指数（以广州市建设工程造价管理站发布的相应月份建设工程价格信息及有关计价办法中的人工价格指数为准，下同）与按招标当期人工价格指数相比超过5%的，则根据广州市建设工程造价管理站发布的人工价格指数调整超过5%以外的部分{例如：招标当期指数是108.76，计量当期指数是115，相比为105.74%，超过5.74%，只调0.74%[计算公式为(115/108.76)-1-5%=0.74%]}，调整和结算公式如下：</w:t>
      </w:r>
    </w:p>
    <w:p w14:paraId="50E3683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a）涨幅超过5%时：</w:t>
      </w:r>
    </w:p>
    <w:p w14:paraId="02326BF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计量当期人工费调增价款=（计量当期人工价格指数/招标当期人工价格指数-1-5%）×（承包人投标分部分项工程人工费总额÷中标价中的分部分项工程量清单计价汇总合计）×当期各月发包人已确认分部分项工程进度款之和。</w:t>
      </w:r>
    </w:p>
    <w:p w14:paraId="49D2817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b）跌幅超过5%时：</w:t>
      </w:r>
    </w:p>
    <w:p w14:paraId="23378D6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计量当期人工费调减价款=（1-计量当期人工价格指数/招标当期人工价格指数-5%）×（承包人投标分部分项工程人工费总额÷中标价中的分部分项工程量清单计价汇总合计）×当期各月发包人已确认分部分项工程进度款之和。</w:t>
      </w:r>
    </w:p>
    <w:p w14:paraId="2A1A388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c）人工费结算增减额=施工期（自开工之日起至完工之日止）每期人工费调整价款之和+人工价格指数浮动调整系数×（承包人投标分部分项工程人工费总额÷中标价中的分部分项工程量清单计价汇总合计）×（有权结算终审部门审定结算价中的分部分项工程费-累计发包人已确认分部分项工程进度款），其中人工价格指数浮动调整系数在施工期每期人工价格指数浮动调整系数中按有利于发包人的原则取定。税金另行计列。</w:t>
      </w:r>
    </w:p>
    <w:p w14:paraId="7892008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d）计量当期人工费达到上述调整条件时，由承包人按合同约定原则申报，经发包人审定后纳入下月进度款支付。</w:t>
      </w:r>
    </w:p>
    <w:p w14:paraId="3ECFB10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e）措施项目、其他项目不参与人工费的调整。</w:t>
      </w:r>
    </w:p>
    <w:p w14:paraId="68462467">
      <w:pPr>
        <w:keepNext w:val="0"/>
        <w:keepLines w:val="0"/>
        <w:widowControl w:val="0"/>
        <w:suppressLineNumbers w:val="0"/>
        <w:adjustRightInd w:val="0"/>
        <w:snapToGrid w:val="0"/>
        <w:spacing w:before="0" w:beforeAutospacing="0" w:after="0" w:afterAutospacing="0" w:line="360" w:lineRule="auto"/>
        <w:ind w:left="0" w:right="11" w:firstLine="403" w:firstLineChars="192"/>
        <w:jc w:val="both"/>
        <w:outlineLvl w:val="5"/>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2"/>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钢筋</w:t>
      </w:r>
      <w:r>
        <w:rPr>
          <w:rFonts w:hint="eastAsia" w:ascii="宋体" w:hAnsi="宋体" w:eastAsia="宋体" w:cs="宋体"/>
          <w:color w:val="auto"/>
          <w:kern w:val="2"/>
          <w:sz w:val="24"/>
          <w:szCs w:val="24"/>
          <w:highlight w:val="none"/>
          <w:lang w:val="en-US" w:eastAsia="zh-CN" w:bidi="ar"/>
        </w:rPr>
        <w:t>、合同规定可以调差的钢结构主要型钢构件</w:t>
      </w:r>
      <w:r>
        <w:rPr>
          <w:rFonts w:hint="eastAsia" w:ascii="宋体" w:hAnsi="宋体" w:eastAsia="宋体" w:cs="宋体"/>
          <w:color w:val="auto"/>
          <w:kern w:val="0"/>
          <w:sz w:val="24"/>
          <w:szCs w:val="24"/>
          <w:highlight w:val="none"/>
          <w:lang w:val="en-US" w:eastAsia="zh-CN" w:bidi="ar"/>
        </w:rPr>
        <w:t>材料费的调整和结算方式</w:t>
      </w:r>
    </w:p>
    <w:p w14:paraId="116ACFC3">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若计量当期钢筋、型钢材料基准单价（Ⅰ级钢筋基准单价为广州市建设工程造价管理站发布的</w:t>
      </w:r>
      <w:r>
        <w:rPr>
          <w:rFonts w:hint="eastAsia" w:ascii="宋体" w:hAnsi="宋体" w:eastAsia="宋体" w:cs="宋体"/>
          <w:color w:val="auto"/>
          <w:kern w:val="2"/>
          <w:sz w:val="24"/>
          <w:szCs w:val="24"/>
          <w:highlight w:val="none"/>
          <w:lang w:val="en-US" w:eastAsia="zh-CN" w:bidi="ar"/>
        </w:rPr>
        <w:t>相应月份建设工程价格信息及有关计价办法</w:t>
      </w:r>
      <w:r>
        <w:rPr>
          <w:rFonts w:hint="eastAsia" w:ascii="宋体" w:hAnsi="宋体" w:eastAsia="宋体" w:cs="宋体"/>
          <w:color w:val="auto"/>
          <w:kern w:val="0"/>
          <w:sz w:val="24"/>
          <w:szCs w:val="24"/>
          <w:highlight w:val="none"/>
          <w:lang w:val="en-US" w:eastAsia="zh-CN" w:bidi="ar"/>
        </w:rPr>
        <w:t>所附《综合价格》钢筋综合价中圆钢Φ10内和Φ10外对应单价的平均值，Ⅱ级、III级钢筋基准单价为《综合价格》钢筋综合价中螺纹钢Φ10外和Φ12--25对应单价的平均值，型钢基准单价为《综合价格》中“＃18--24槽钢”的综合价格，下同）与招标当期对应钢筋、型钢基准单价对比涨跌幅度超过5%的，则调整超过5%以外的部分（如：超过6%，只调1%），调整和结算公式如下：</w:t>
      </w:r>
    </w:p>
    <w:p w14:paraId="2ACBAC0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a）涨幅超过5%时：</w:t>
      </w:r>
    </w:p>
    <w:p w14:paraId="727054B1">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计量当期材料单价价差=（计量期当期相应钢筋、型钢基准单价-招标当期对应钢筋、型钢基准单价×1.05）。</w:t>
      </w:r>
    </w:p>
    <w:p w14:paraId="392798D3">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计量当期钢筋、型钢材料费调增价款=计量当期钢筋、型钢单价价差×当期各月进度款中发包人已确认计量分部分项工程量清单中以“t”为计量单位的钢筋清单项目相应钢筋、型钢量之和（不含损耗量）。措施项目参与钢筋价差的调整，其他项目、外购预制构件、甲招乙供材料中所含的钢筋及钢筋损耗不参与钢筋价差的调整；除</w:t>
      </w:r>
      <w:r>
        <w:rPr>
          <w:rFonts w:hint="eastAsia" w:ascii="宋体" w:hAnsi="宋体" w:eastAsia="宋体" w:cs="宋体"/>
          <w:color w:val="auto"/>
          <w:kern w:val="2"/>
          <w:sz w:val="24"/>
          <w:szCs w:val="24"/>
          <w:highlight w:val="none"/>
          <w:lang w:val="en-US" w:eastAsia="zh-CN" w:bidi="ar"/>
        </w:rPr>
        <w:t>合同规定可以调差的钢结构主要型钢构件</w:t>
      </w:r>
      <w:r>
        <w:rPr>
          <w:rFonts w:hint="eastAsia" w:ascii="宋体" w:hAnsi="宋体" w:eastAsia="宋体" w:cs="宋体"/>
          <w:color w:val="auto"/>
          <w:kern w:val="0"/>
          <w:sz w:val="24"/>
          <w:szCs w:val="24"/>
          <w:highlight w:val="none"/>
          <w:lang w:val="en-US" w:eastAsia="zh-CN" w:bidi="ar"/>
        </w:rPr>
        <w:t>外，其他构件、预埋件、其他项目中的型钢材及损耗均不参与钢材调差，措施项目中</w:t>
      </w:r>
      <w:r>
        <w:rPr>
          <w:rFonts w:hint="eastAsia" w:ascii="宋体" w:hAnsi="宋体" w:eastAsia="宋体" w:cs="宋体"/>
          <w:color w:val="auto"/>
          <w:kern w:val="2"/>
          <w:sz w:val="24"/>
          <w:szCs w:val="24"/>
          <w:highlight w:val="none"/>
          <w:lang w:val="en-US" w:eastAsia="zh-CN" w:bidi="ar"/>
        </w:rPr>
        <w:t>合同规定可以调差的钢结构主要型钢构件</w:t>
      </w:r>
      <w:r>
        <w:rPr>
          <w:rFonts w:hint="eastAsia" w:ascii="宋体" w:hAnsi="宋体" w:eastAsia="宋体" w:cs="宋体"/>
          <w:color w:val="auto"/>
          <w:kern w:val="0"/>
          <w:sz w:val="24"/>
          <w:szCs w:val="24"/>
          <w:highlight w:val="none"/>
          <w:lang w:val="en-US" w:eastAsia="zh-CN" w:bidi="ar"/>
        </w:rPr>
        <w:t>参与钢材调差，下同。税金另行计列。</w:t>
      </w:r>
    </w:p>
    <w:p w14:paraId="7BDD93F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b）跌幅超过5%时：</w:t>
      </w:r>
    </w:p>
    <w:p w14:paraId="6582C59A">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计量当期材料单价价差=（招标当期相应钢筋、型钢基准单价×0.95-对应钢筋、型钢基准单价）。</w:t>
      </w:r>
    </w:p>
    <w:p w14:paraId="6E079BBD">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计量当期钢筋材料、型钢费扣减额=计量当期钢筋、型钢单价价差×当期各月进度款中发包人已确认计量分部分项工程量清单中以“t”为计量单位的钢筋清单项目相应钢筋、型钢量之和（不含损耗量）。</w:t>
      </w:r>
    </w:p>
    <w:p w14:paraId="4705DEC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c）钢筋材料费结算增减额=施工期（自开工之日起至完工之日止）每季度钢筋材料费调整价款之和+钢筋单价价差×[有权结算终审部门审定的结算中分部分项工程量清单中以“t”为计量单位的钢筋清单项目相应钢筋量之和（不含损耗量）-累计工程进度款中发包人已确认计量分部分项工程量清单中以“t”为计量单位的钢筋清单项目相应钢筋量之和（不含损耗量）]，其中钢筋单价价差按施工期每季度钢筋单价价差的平均值取定。税金另行计列。</w:t>
      </w:r>
    </w:p>
    <w:p w14:paraId="0AC14631">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型钢材料费结算增减额计算方法与钢筋的计算方法一致。</w:t>
      </w:r>
    </w:p>
    <w:p w14:paraId="3B30984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d）计量当期钢筋、型钢材料费达到上述调整条件时，由承包人按合同约定原则申报，经发包人审定后纳入下月进度款支付。</w:t>
      </w:r>
    </w:p>
    <w:p w14:paraId="1115E263">
      <w:pPr>
        <w:keepNext w:val="0"/>
        <w:keepLines w:val="0"/>
        <w:widowControl/>
        <w:suppressLineNumbers w:val="0"/>
        <w:adjustRightInd/>
        <w:snapToGrid/>
        <w:spacing w:before="0" w:beforeAutospacing="0" w:after="0" w:afterAutospacing="0" w:line="240" w:lineRule="auto"/>
        <w:ind w:left="0" w:right="0" w:firstLine="0" w:firstLineChars="0"/>
        <w:jc w:val="left"/>
        <w:outlineLvl w:val="9"/>
        <w:rPr>
          <w:rFonts w:hint="eastAsia" w:ascii="宋体" w:hAnsi="宋体" w:eastAsia="宋体" w:cs="宋体"/>
          <w:color w:val="auto"/>
          <w:kern w:val="2"/>
          <w:sz w:val="24"/>
          <w:szCs w:val="24"/>
          <w:highlight w:val="none"/>
        </w:rPr>
      </w:pPr>
      <w:r>
        <w:rPr>
          <w:rFonts w:hint="default" w:ascii="宋体" w:hAnsi="宋体" w:eastAsia="宋体" w:cs="宋体"/>
          <w:bCs/>
          <w:color w:val="auto"/>
          <w:kern w:val="2"/>
          <w:sz w:val="21"/>
          <w:szCs w:val="21"/>
          <w:highlight w:val="none"/>
          <w:lang w:eastAsia="zh-CN" w:bidi="ar"/>
        </w:rPr>
        <w:t xml:space="preserve"> </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2"/>
          <w:sz w:val="24"/>
          <w:szCs w:val="24"/>
          <w:highlight w:val="none"/>
          <w:lang w:val="en-US" w:eastAsia="zh-CN" w:bidi="ar"/>
        </w:rPr>
        <w:t>3）电线电缆材料费的调整和结算方式</w:t>
      </w:r>
    </w:p>
    <w:p w14:paraId="5BA8EE9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a）</w:t>
      </w:r>
      <w:r>
        <w:rPr>
          <w:rFonts w:hint="eastAsia" w:ascii="宋体" w:hAnsi="宋体" w:eastAsia="宋体" w:cs="宋体"/>
          <w:color w:val="auto"/>
          <w:kern w:val="0"/>
          <w:sz w:val="24"/>
          <w:szCs w:val="24"/>
          <w:highlight w:val="none"/>
          <w:lang w:val="en-US" w:eastAsia="zh-CN" w:bidi="ar"/>
        </w:rPr>
        <w:t>电线电缆材料费调整参照铜价变化按电线电缆相应规格分别调整，且在本合同履行过程中只在本工程结算时调整一次。</w:t>
      </w:r>
    </w:p>
    <w:p w14:paraId="10F01E8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若电线电缆材料价格变化幅度（电线电缆材料价格变化幅度为：以上海期货交易所（www.shfe.com.cn - “首页/交易数据/月统计数据/月度参考价”发布的“铜当月”的“月度结算参考价”在投标截止之日前一个月直至工程完工日期前一个月的计算期内的价格平均值，与投标截止之日前一个月相应的“铜当月”的“月度结算参考价”的比值，减去100%得出；下同）即涨跌幅度超过5%的，则在本工程结算时一次性调整超过5%以外的部分（如：超过6%，只调1%）。</w:t>
      </w:r>
    </w:p>
    <w:p w14:paraId="14C71BC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当电线电缆材料价格变化幅度为正值，且涨幅超过5%时，按调增调整；当电线电缆材料价格变化幅度为负值，且跌幅超过5%时，按调减调整。电线电缆材料费调整（调增或调减）价款公式具体如下：</w:t>
      </w:r>
    </w:p>
    <w:p w14:paraId="2955864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电线电缆材料费调整（调增或调减）价款=审定结算电线电缆工程量铜含量×铜单价价差。税金另行计列。</w:t>
      </w:r>
    </w:p>
    <w:p w14:paraId="01787A9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铜单价价差=本合同投标截止之日前一个月的“铜当月”的“月度结算参考价”×（|电线电缆材料价格变化幅度|-5%）。</w:t>
      </w:r>
    </w:p>
    <w:p w14:paraId="3AC1CA03">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审定结算电线电缆工程量铜含量指根据结算电线电缆工程量（延长米）乘以电线电缆铜芯截面积再乘以铜比重（8900千克/立方米）计算得出的电线电缆结算工程量中所含铜的重量。</w:t>
      </w:r>
    </w:p>
    <w:p w14:paraId="5AF93768">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b）进行调价的材料量不含损耗量，损耗量计入相应分部分项工程量清单项目安装费中。</w:t>
      </w:r>
    </w:p>
    <w:p w14:paraId="083A18A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strike/>
          <w:dstrike w:val="0"/>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c）措施项目参与电线电缆材料费的调整，其他项目不参与电线电缆材料费的调整。</w:t>
      </w:r>
    </w:p>
    <w:p w14:paraId="79F54871">
      <w:pPr>
        <w:keepNext w:val="0"/>
        <w:keepLines w:val="0"/>
        <w:widowControl w:val="0"/>
        <w:suppressLineNumbers w:val="0"/>
        <w:adjustRightInd w:val="0"/>
        <w:snapToGrid w:val="0"/>
        <w:spacing w:before="0" w:beforeAutospacing="0" w:after="0" w:afterAutospacing="0" w:line="360" w:lineRule="auto"/>
        <w:ind w:left="0" w:right="11" w:firstLine="403" w:firstLineChars="192"/>
        <w:jc w:val="both"/>
        <w:rPr>
          <w:rFonts w:hint="eastAsia" w:ascii="宋体" w:hAnsi="宋体" w:eastAsia="宋体" w:cs="宋体"/>
          <w:color w:val="auto"/>
          <w:kern w:val="2"/>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2"/>
          <w:sz w:val="24"/>
          <w:szCs w:val="24"/>
          <w:highlight w:val="none"/>
          <w:lang w:val="en-US" w:eastAsia="zh-CN" w:bidi="ar"/>
        </w:rPr>
        <w:t>4）</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混凝土、</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 xml:space="preserve"> 砂浆、</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砌体、</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中砂、</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碎石、</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石屑、</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管桩、</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玻璃、</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水泥、</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直线段母线槽、</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沥青混凝土、</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铝合金型材材料费的调整和结算方式</w:t>
      </w:r>
    </w:p>
    <w:p w14:paraId="5360DD5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若计量当期上述材料基准单价（基准单价为广州市建设工程造价管理站发布的相应月份建设工程价格信息及有关计价办法所附《综合价格》）与招标当期对应上述材料基准单价对比涨跌幅度超过5%的，则调整超过5%以外的部分（如：超过6%，只调1%），调整和结算公式如下：</w:t>
      </w:r>
    </w:p>
    <w:p w14:paraId="11F49868">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a）涨幅超过5%时：</w:t>
      </w:r>
    </w:p>
    <w:p w14:paraId="3D6B8DE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计量当期上述材料单价价差=（计量期当期相应上述材料基准单价-招标当期对应上述材料基准单价×1.05）。</w:t>
      </w:r>
    </w:p>
    <w:p w14:paraId="48069E0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计量当期上述材料材料费调增价款=计量当期上述材料单价价差×当期各月进度款中发包人已确认计量分部分项工程量清单中上述材料清单项目相应上述材料量之和（不含损耗量）。其他项目、外购预制构件、甲招乙供材料中所含的上述材料及其损耗不参与上述材料价差的的调整，下同。</w:t>
      </w:r>
    </w:p>
    <w:p w14:paraId="48D9D42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b）跌幅超过5%时：</w:t>
      </w:r>
    </w:p>
    <w:p w14:paraId="3B5C6759">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计量当期上述材料单价价差=（招标当期相应上述材料基准单价×0.95-对应上述材料基准单价）。</w:t>
      </w:r>
    </w:p>
    <w:p w14:paraId="1A3F24F9">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计量当期上述材料材料费扣减额=计量当期上述材料单价价差×当期各月进度款中发包人已确认计量分部分项工程量清单中上述材料清单项目相应上述材料量之和（不含损耗量）。</w:t>
      </w:r>
    </w:p>
    <w:p w14:paraId="5F639049">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c）上述材料材料费结算增减额=施工期（自开工之日起至完工之日止）每季度上述材料材料费调整价款之和+上述材料单价价差×[有权结算终审部门审定的结算中分部分项工程量清单中上述材料清单项目相应上述材料量之和（不含损耗量）-累计工程进度款中发包人已确认计量分部分项工程量清单中上述材料清单项目相应上述材料量之和（不含损耗量）]，其中上述材料单价价差按施工期每季度上述材料单价价差的平均值取定。税金另行计列。</w:t>
      </w:r>
    </w:p>
    <w:p w14:paraId="644F457D">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d）计量当期上述材料材料费达到上述调整条件时，由承包人按合同约定原则申报，经发包人审定后纳入下月进度款支付。</w:t>
      </w:r>
    </w:p>
    <w:p w14:paraId="279BEB4A">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e）措施项目中的上述材料按上述约定参与调差，其他项目不参与调差。</w:t>
      </w:r>
    </w:p>
    <w:p w14:paraId="2D252AE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5）完工日期按竣工验收报告中明确的竣工验收时间确定。</w:t>
      </w:r>
    </w:p>
    <w:p w14:paraId="1ED9A213">
      <w:pPr>
        <w:pStyle w:val="3"/>
        <w:keepNext w:val="0"/>
        <w:keepLines w:val="0"/>
        <w:widowControl/>
        <w:suppressLineNumbers w:val="0"/>
        <w:adjustRightInd w:val="0"/>
        <w:snapToGrid w:val="0"/>
        <w:spacing w:before="0" w:beforeAutospacing="1" w:after="0" w:afterAutospacing="1"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6）因承包人原因造成工期延误的，延误期间发生的</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人工费</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及材料费价格差额由承包人承担。</w:t>
      </w:r>
    </w:p>
    <w:p w14:paraId="2C6F19D7">
      <w:pPr>
        <w:pStyle w:val="3"/>
        <w:keepNext w:val="0"/>
        <w:keepLines w:val="0"/>
        <w:widowControl/>
        <w:suppressLineNumbers w:val="0"/>
        <w:adjustRightInd w:val="0"/>
        <w:snapToGrid w:val="0"/>
        <w:spacing w:before="0" w:beforeAutospacing="1" w:after="0" w:afterAutospacing="1" w:line="360" w:lineRule="auto"/>
        <w:ind w:left="0" w:right="0"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7）《综合价格》按上、下半月或区间价发布的，取当期上、下半月或区间值的平均值计算。</w:t>
      </w:r>
    </w:p>
    <w:p w14:paraId="18729BC6">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4"/>
          <w:szCs w:val="24"/>
          <w:highlight w:val="none"/>
          <w:lang w:val="en-US" w:eastAsia="zh-CN" w:bidi="ar"/>
        </w:rPr>
        <w:t>33.2.8税金的调整和结算方式：招标当期根据《广东省住房和城乡建设厅关于调整广东省建设工程计价依据增值税税率的通知》（粤建标函〔2019〕819号）和广州地区税务部门有关规定计算，增值税销项税额按税前工程造价的9%计取。国家及广东省、广州市有最新规定的，从其规定。</w:t>
      </w:r>
    </w:p>
    <w:p w14:paraId="0B498513">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33.3当发包人提出变更通知，承包人认为产生了增加费用，承包人应在发包人提出通知要求（发出指令）后7天内向发包人提交增加费用报告，报告内应说明变更原因、增加费用金额、增加费用计算书，若承包人不在规定的时间内提供增加费用报告，该类变更所涉及的增加费用视同已包含在合同价款中，不另行增加。</w:t>
      </w:r>
    </w:p>
    <w:p w14:paraId="3736371A">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33.4凡图纸会审记录涉及工程实体内容变化的，均须经发包人同意转变成设计变更后才能作为调整合同价款的依据。</w:t>
      </w:r>
    </w:p>
    <w:p w14:paraId="4EF51151">
      <w:pPr>
        <w:pStyle w:val="3"/>
        <w:keepNext w:val="0"/>
        <w:keepLines w:val="0"/>
        <w:widowControl/>
        <w:suppressLineNumbers w:val="0"/>
        <w:adjustRightInd w:val="0"/>
        <w:snapToGrid w:val="0"/>
        <w:spacing w:before="0" w:beforeAutospacing="0" w:after="0" w:afterAutospacing="0" w:line="360" w:lineRule="auto"/>
        <w:ind w:left="0" w:right="0" w:firstLine="480" w:firstLineChars="200"/>
        <w:jc w:val="left"/>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33.5在变更实施过程中，承包人应在发生变更的必要工序提请总监理工程师确认实际发生的情况，以此作为将来费用结算的依据，否则总监理工程师有权拒绝计量，发包人无须支付相关费用，费用由承包人自负。</w:t>
      </w:r>
    </w:p>
    <w:p w14:paraId="484DAC50">
      <w:pPr>
        <w:pStyle w:val="3"/>
        <w:keepNext w:val="0"/>
        <w:keepLines w:val="0"/>
        <w:widowControl/>
        <w:suppressLineNumbers w:val="0"/>
        <w:adjustRightInd w:val="0"/>
        <w:snapToGrid w:val="0"/>
        <w:spacing w:before="0" w:beforeAutospacing="0" w:after="0" w:afterAutospacing="0" w:line="360" w:lineRule="auto"/>
        <w:ind w:left="0" w:right="0"/>
        <w:jc w:val="left"/>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 xml:space="preserve"> </w:t>
      </w:r>
    </w:p>
    <w:p w14:paraId="23419695">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
        </w:rPr>
        <w:t>九、竣工验收与结算</w:t>
      </w:r>
    </w:p>
    <w:p w14:paraId="18982285">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承包人与发包人一致同意不适用合同通用条款第34条的约定，代之以：</w:t>
      </w:r>
    </w:p>
    <w:p w14:paraId="4C3908AD">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34、竣工验收</w:t>
      </w:r>
    </w:p>
    <w:p w14:paraId="33C88E11">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34.1工程具备竣工验收条件，承包人按国家工程竣工验收有关规定，向发包人提供完整竣工资料（包含竣工图）及竣工验收报告。</w:t>
      </w:r>
    </w:p>
    <w:p w14:paraId="6E8183D6">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34.2发包人收到竣工验收报告并审核竣工文件后，如认为承包人竣工文件不能符合竣工要求，应书面通知承包人整改，承包人按要求整改后重新提出竣工验收报告。发包人收到竣工验收报告并审核竣工文件通过后28天内组织有关单位进行验收。</w:t>
      </w:r>
    </w:p>
    <w:p w14:paraId="50FDF5DB">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34.3发包人应在验收后14天内给予认可或提出修改意见。承包人按要求修改，并承担由自身原因造成修改的费用。</w:t>
      </w:r>
    </w:p>
    <w:p w14:paraId="4BC42AE5">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34.4发包人收到承包人送交的竣工验收报告后28天内无故不组织验收，或验收后14天内不提出修改意见，视为竣工验收报告已被认可。</w:t>
      </w:r>
    </w:p>
    <w:p w14:paraId="6EDE2CCA">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34.5工程竣工验收通过，承包人送交竣工验收报告的日期为实际竣工日期。工程按发包人要求修改后通过竣工验收的，实际竣工日期为承包人修改后提请发包人验收的日期。</w:t>
      </w:r>
    </w:p>
    <w:p w14:paraId="53274A87">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34.6发包人收到承包人竣工验收报告后28天内无故不组织验收，从第29天起承担工程保管及一切意外责任。</w:t>
      </w:r>
    </w:p>
    <w:p w14:paraId="54A21221">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34.7中间交工工程的验收按合同专用条款第17条的约定办理。</w:t>
      </w:r>
    </w:p>
    <w:p w14:paraId="4C9C8ECF">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34.8因特殊原因，发包人要求部分单位工程或工程部位甩项竣工的，双方另行签订甩项竣工协议，明确双方责任和工程价款的支付方法。</w:t>
      </w:r>
    </w:p>
    <w:p w14:paraId="279045B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34.9经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完全符合合同要求为止，并按最后验收合格的日期作为竣工日期，由此产生的一切费用均由承包人负责。</w:t>
      </w:r>
    </w:p>
    <w:p w14:paraId="5447EC5F">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34.10工程未经竣工验收或竣工验收未通过的，发包人不得使用。发包人强行使用时，由此发生的质量问题及其他问题，由发包人承担责任。</w:t>
      </w:r>
    </w:p>
    <w:p w14:paraId="62BD554E">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34.11承包人应按如下程序进行竣工资料准备：</w:t>
      </w:r>
    </w:p>
    <w:p w14:paraId="412DEB84">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（1）承包人有责任根据竣工验收要求对分包单位所绘制的竣工图进行符合性审查。</w:t>
      </w:r>
    </w:p>
    <w:p w14:paraId="07E8E808">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承包人有义务对专业管理、分包单位的工程资料按照国家《城市建设档案管理规定》、《建筑工程施工技术资料编制指南（2012年版）》（广州市建设工程质量监督站主编）、《广州市建设工程档案编制指南（2009版）》（广州市城市建设档案馆主编）和发包人的具体要求进行收集、整理、编制、汇总和管理。</w:t>
      </w:r>
    </w:p>
    <w:p w14:paraId="45F43BA0">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34.12验收依据和标准：施工图纸，图纸说明，设计变更资料和图纸，技术交底及会议纪要，国家颁布的施工验收规范、规定，以及本工程专家委员会根据国家有关标准、规范制订的针对本工程特殊子项的施工规范及验收标准。</w:t>
      </w:r>
    </w:p>
    <w:p w14:paraId="3ADB7297">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34.13专业分包工程需单独验收的，经承包人预验合格后，属专业分包项目的再报监理单位进行监理预验；不属专业分包项目的由房建施工监理单位进行监理预验，合格后由该分包单位与专业工程验收管理部门、监理单位、发包人协商确定验收时间，并及时通知承包人参与验收。</w:t>
      </w:r>
    </w:p>
    <w:p w14:paraId="674C5EF4">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34.14专业分包工程不需要办理单独验收的，经承包人预验合格后，属专业分包项目的再报监理单位进行监理预验；不属专业分包项目的由房建施工监理单位进行监理预验，合格后由分包单位、承包人、施工监理单位、发包人协商验收。</w:t>
      </w:r>
    </w:p>
    <w:p w14:paraId="702748D2">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34.15承包人必须全力配合发包人组织的专项验收工作，包括但不限于消防验收、规划验收、电梯验收、环保验收、人防验收、卫生防疫验收等。</w:t>
      </w:r>
    </w:p>
    <w:p w14:paraId="1BFD419C">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35、工程移交</w:t>
      </w:r>
    </w:p>
    <w:p w14:paraId="0162003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35.1承包人应在工程项目移交前将场地清理干净，将无关机械设备及材料撤离现场，保证移交的工程项目环境洁净、安全卫生。</w:t>
      </w:r>
    </w:p>
    <w:p w14:paraId="486625B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35.2承包人应于工程竣工验收合格后15天内按要求提供相关资料，整理汇编成工程移交手册，协助项目产权管理单位尽快熟悉工程项目各部分（建筑单体、小区市政、周边管线等）、各系统（电梯、消防、空调、供水、供电、弱电等）的情况，为项目产权管理单位的接收、使用、维护、管理作准备。移交手册包括但不限于以下内容：</w:t>
      </w:r>
    </w:p>
    <w:p w14:paraId="0238F37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（1）工程项目各部分、各系统的工程概况；</w:t>
      </w:r>
    </w:p>
    <w:p w14:paraId="0A696569">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（2）工程项目全部的图纸及清单；</w:t>
      </w:r>
    </w:p>
    <w:p w14:paraId="5F91332A">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（3）工程项目的承包人、主要材料设备供货商清单、联系人及电话；</w:t>
      </w:r>
    </w:p>
    <w:p w14:paraId="5FD9B92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（4）各系统的设计功能、使用功能或使用说明；</w:t>
      </w:r>
    </w:p>
    <w:p w14:paraId="66D0800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（5）电梯、空调、发电机等主要设备的运行参数；</w:t>
      </w:r>
    </w:p>
    <w:p w14:paraId="6FF9135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（6）主要材料设备的数量；</w:t>
      </w:r>
    </w:p>
    <w:p w14:paraId="4FD4612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（7）工程、材料、设备的保修书（包括保修内容、期限、联系人、电话等）。</w:t>
      </w:r>
    </w:p>
    <w:p w14:paraId="49C07F5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35.3承包人应在进行本条第35.2款工作的同时编写工程项目移交计划，并于本条第35.2款工作完成后3天内组织发包人、承包人、项目产权管理单位按如下程序进行工程项目移交：</w:t>
      </w:r>
    </w:p>
    <w:p w14:paraId="2021D50A">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（1）按移交手册的资料清单移交图纸、资料；</w:t>
      </w:r>
    </w:p>
    <w:p w14:paraId="2A656BAD">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（2）按移交手册的数量清单清点主要材料设备的数量；</w:t>
      </w:r>
    </w:p>
    <w:p w14:paraId="494A038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（3）按移交手册的设计、使用功能说明进行必要的功能性试验（或组织各方参加政府指定机构、第三方检测机构进行的功能性试验）；</w:t>
      </w:r>
    </w:p>
    <w:p w14:paraId="5644FAA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（4）按移交手册的说明进行系统的试运行（或组织各方参加政府指定机构、第三方检测机构进行的功能性试验），测试主要设备的运行参数；</w:t>
      </w:r>
    </w:p>
    <w:p w14:paraId="36FCD969">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（5）组织发包人、承包人、项目产权管理单位各方对上述移交过程进行签认；</w:t>
      </w:r>
    </w:p>
    <w:p w14:paraId="5DFAA52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（6）对移交过程中发现的质量问题进行记录并及时组织责任方进行维修，验收合格后重新组织移交；</w:t>
      </w:r>
    </w:p>
    <w:p w14:paraId="3CCE2091">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（7）对于某些在操作上有专门要求的机电系统（如消防、智能化等）编制培训计划，并按合同要求对项目产权管理单位人员进行培训。</w:t>
      </w:r>
    </w:p>
    <w:p w14:paraId="75A943B4">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35.4承包人应按照国家《城市建设档案管理规定》、《广州市城市建设档案管理办法》和发包人有关整理工程档案的要求，在工程施工期间及时收集、汇总、整理、编制竣工档案，包括：</w:t>
      </w:r>
    </w:p>
    <w:p w14:paraId="3DE42CB4">
      <w:pPr>
        <w:keepNext w:val="0"/>
        <w:keepLines w:val="0"/>
        <w:widowControl w:val="0"/>
        <w:suppressLineNumbers w:val="0"/>
        <w:adjustRightInd w:val="0"/>
        <w:snapToGrid w:val="0"/>
        <w:spacing w:before="0" w:beforeAutospacing="0" w:after="0" w:afterAutospacing="0" w:line="360" w:lineRule="auto"/>
        <w:ind w:left="48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（1）竣工文件资料、竣工图档案（原件）各一式四份；</w:t>
      </w:r>
    </w:p>
    <w:p w14:paraId="754789CE">
      <w:pPr>
        <w:keepNext w:val="0"/>
        <w:keepLines w:val="0"/>
        <w:widowControl w:val="0"/>
        <w:suppressLineNumbers w:val="0"/>
        <w:adjustRightInd w:val="0"/>
        <w:snapToGrid w:val="0"/>
        <w:spacing w:before="0" w:beforeAutospacing="0" w:after="0" w:afterAutospacing="0" w:line="360" w:lineRule="auto"/>
        <w:ind w:left="48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（2）与本款（1）项内容相同的电子版档案一式二份；</w:t>
      </w:r>
    </w:p>
    <w:p w14:paraId="6332AF2F">
      <w:pPr>
        <w:keepNext w:val="0"/>
        <w:keepLines w:val="0"/>
        <w:widowControl w:val="0"/>
        <w:suppressLineNumbers w:val="0"/>
        <w:adjustRightInd w:val="0"/>
        <w:snapToGrid w:val="0"/>
        <w:spacing w:before="0" w:beforeAutospacing="0" w:after="0" w:afterAutospacing="0" w:line="360" w:lineRule="auto"/>
        <w:ind w:left="48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（3）声像档案一式二份。</w:t>
      </w:r>
    </w:p>
    <w:p w14:paraId="4AB69E8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35.5承包人移交竣工档案的时限：承包人应于工程竣工验收后15天内将竣工档案提交工程监理单位审查。经工程监理单位审查合格后，承包人应及时将竣工档案移交给发包人归档并同时移交有关归档的证明文件。发包人经审查合格的，应在收到竣工档案后10天内签署档案验收意见；不合格的，要求承包人限期补正，直至合格为止。</w:t>
      </w:r>
    </w:p>
    <w:p w14:paraId="368562E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35.6电子版竣工图的编制，以发包人提供的电子版施工图为基础。承包人在移交竣工档案时，应一并移交发包人提供的电子版施工图。</w:t>
      </w:r>
    </w:p>
    <w:p w14:paraId="525F1E3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35.7电子版施工图和电子版竣工图的知识产权归属发包人所有，非经发包人许可，承包人不得以任何方式复制、备份、转让和利用，否则由此引起的任何纠纷和责任由承包人承担。</w:t>
      </w:r>
    </w:p>
    <w:p w14:paraId="431A37E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35.8承包人应督促其工程分包单位及时做好竣工资料整理工作，于分包工程竣工验收后25天内将全部档案资料移交给承包人，由承包人汇总、归档，并在承包人移交竣工档案时一并移交。</w:t>
      </w:r>
    </w:p>
    <w:p w14:paraId="368D783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35.9承包人不按时移交竣工档案，或者移交的竣工档案不完整且在发包人规定的期限内不补充完整的，发包人有权按照合同专用条款28.1约定的工程进度款支付原则暂停支付余下工程款，同时，并不免除承包人完整移交竣工档案的义务。</w:t>
      </w:r>
    </w:p>
    <w:p w14:paraId="659F7A2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35.10因承包人的原因致使发包人未能按照国家规定向政府有关部门移交工程竣工档案而受到经济处罚的，由承包人承担全额赔偿责任。</w:t>
      </w:r>
    </w:p>
    <w:p w14:paraId="2447C1D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35.11由承包人先移交给发包人、然后再由发包人移交给项目产权管理单位的工程项目，承包人仍应按发包人的要求及上述约定予以协助。</w:t>
      </w:r>
    </w:p>
    <w:p w14:paraId="65A069D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35.12工程项目移交给项目产权管理单位后，由项目产权管理单位替代发包人在本合同中的地位，承继发包人的权利和义务。</w:t>
      </w:r>
    </w:p>
    <w:p w14:paraId="684E6FE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35.13承包人参与移交或协助移交的所有费用均已包含在合同价款之内。</w:t>
      </w:r>
    </w:p>
    <w:p w14:paraId="26A4044D">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承包人与发包人一致同意不适用合同通用条款第36条的约定，代之以：</w:t>
      </w:r>
    </w:p>
    <w:p w14:paraId="39864C08">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36、竣工结算</w:t>
      </w:r>
    </w:p>
    <w:p w14:paraId="1D3CE6D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36.1结算方式：按招标文件及本合同有关规定办理，承包人按发包人提供的《竣工结算编制办法》的具体要求编制结算书，并提交分段结算及竣工结算资料。</w:t>
      </w:r>
    </w:p>
    <w:p w14:paraId="75E79DB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36.2承包人提交结算报告的时间</w:t>
      </w:r>
    </w:p>
    <w:p w14:paraId="2497610E">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（1）承包人提交分段结算报告的时间：按承包人提交给发包人并经发包人审定的分段结算工作计划执行。</w:t>
      </w:r>
    </w:p>
    <w:p w14:paraId="5B594E4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（2）承包人提交竣工结算报告的时间：竣工验收合格后45天内。</w:t>
      </w:r>
    </w:p>
    <w:p w14:paraId="7ACD4AD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
          <w:bCs w:val="0"/>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36.3发包人审核结算报告的时间：发包人收到承包人提交的[</w:t>
      </w: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分段结算报告后45天内（其中含监理单位审核时间25天）、]总结算报告后60天内（其中含监理单位审核时间30天）出具初审意见，并及时报有关部门对结算进行终审。</w:t>
      </w:r>
    </w:p>
    <w:p w14:paraId="5B657DA3">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iCs/>
          <w:color w:val="auto"/>
          <w:kern w:val="0"/>
          <w:sz w:val="24"/>
          <w:szCs w:val="24"/>
          <w:highlight w:val="none"/>
          <w:lang w:val="en-US" w:eastAsia="zh-CN" w:bidi="ar"/>
        </w:rPr>
        <w:t>36.4</w:t>
      </w:r>
      <w:r>
        <w:rPr>
          <w:rFonts w:hint="eastAsia" w:ascii="宋体" w:hAnsi="宋体" w:eastAsia="宋体" w:cs="宋体"/>
          <w:color w:val="auto"/>
          <w:kern w:val="0"/>
          <w:sz w:val="24"/>
          <w:szCs w:val="24"/>
          <w:highlight w:val="none"/>
          <w:lang w:val="en-US" w:eastAsia="zh-CN" w:bidi="ar"/>
        </w:rPr>
        <w:t>承包人应当向</w:t>
      </w:r>
      <w:r>
        <w:rPr>
          <w:rFonts w:hint="eastAsia" w:ascii="宋体" w:hAnsi="宋体" w:eastAsia="宋体" w:cs="宋体"/>
          <w:iCs/>
          <w:color w:val="auto"/>
          <w:kern w:val="0"/>
          <w:sz w:val="24"/>
          <w:szCs w:val="24"/>
          <w:highlight w:val="none"/>
          <w:lang w:val="en-US" w:eastAsia="zh-CN" w:bidi="ar"/>
        </w:rPr>
        <w:t>发包人</w:t>
      </w:r>
      <w:r>
        <w:rPr>
          <w:rFonts w:hint="eastAsia" w:ascii="宋体" w:hAnsi="宋体" w:eastAsia="宋体" w:cs="宋体"/>
          <w:bCs/>
          <w:color w:val="auto"/>
          <w:kern w:val="0"/>
          <w:sz w:val="24"/>
          <w:szCs w:val="24"/>
          <w:highlight w:val="none"/>
          <w:lang w:val="en-US" w:eastAsia="zh-CN" w:bidi="ar"/>
        </w:rPr>
        <w:t>提供如下竣工结算资料（包括但不限于以下）：</w:t>
      </w:r>
    </w:p>
    <w:p w14:paraId="66C9F204">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（1）工程结算书；</w:t>
      </w:r>
    </w:p>
    <w:p w14:paraId="75B0750F">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（2）工程量计算书（即计算底稿）；</w:t>
      </w:r>
    </w:p>
    <w:p w14:paraId="5C3DFFEE">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（3）钢筋抽料表（建筑、市政、园林景观等工程适用）；</w:t>
      </w:r>
    </w:p>
    <w:p w14:paraId="0FA2D7E5">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（4）合同文件；</w:t>
      </w:r>
    </w:p>
    <w:p w14:paraId="3388B0D8">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（5）工程竣工图（必要时提供电子版）；</w:t>
      </w:r>
    </w:p>
    <w:p w14:paraId="76B6CF0C">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（6）工程竣工资料（必要时提供电子版）；</w:t>
      </w:r>
    </w:p>
    <w:p w14:paraId="3FBC0EFC">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（7）图纸会审记录；</w:t>
      </w:r>
    </w:p>
    <w:p w14:paraId="301572DF">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（8）设计变更单；</w:t>
      </w:r>
    </w:p>
    <w:p w14:paraId="3707E9F9">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（9）工程洽商记录；</w:t>
      </w:r>
    </w:p>
    <w:p w14:paraId="6137FC7D">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（10）总监理工程师通知或发包人施工指令；</w:t>
      </w:r>
    </w:p>
    <w:p w14:paraId="469C5428">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（11）会议纪要；</w:t>
      </w:r>
    </w:p>
    <w:p w14:paraId="42A8787C">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（12）工程签证；</w:t>
      </w:r>
    </w:p>
    <w:p w14:paraId="4350F85D">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（13）材料设备单价呈批审核单；</w:t>
      </w:r>
    </w:p>
    <w:p w14:paraId="4ADC6E07">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（14）综合单价呈批审核单；</w:t>
      </w:r>
    </w:p>
    <w:p w14:paraId="31253094">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（15）发包人供应材料收货验收签收单；</w:t>
      </w:r>
    </w:p>
    <w:p w14:paraId="2296E418">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（16）其他结算资料；</w:t>
      </w:r>
    </w:p>
    <w:p w14:paraId="7B37A99F">
      <w:pPr>
        <w:keepNext w:val="0"/>
        <w:keepLines w:val="0"/>
        <w:widowControl w:val="0"/>
        <w:suppressLineNumbers w:val="0"/>
        <w:suppressAutoHyphens/>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（17）移交资料签收表。</w:t>
      </w:r>
    </w:p>
    <w:p w14:paraId="35812A3A">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iCs/>
          <w:color w:val="auto"/>
          <w:kern w:val="0"/>
          <w:sz w:val="24"/>
          <w:szCs w:val="24"/>
          <w:highlight w:val="none"/>
          <w:lang w:val="en-US" w:eastAsia="zh-CN" w:bidi="ar"/>
        </w:rPr>
        <w:t>36.5</w:t>
      </w:r>
      <w:r>
        <w:rPr>
          <w:rFonts w:hint="eastAsia" w:ascii="宋体" w:hAnsi="宋体" w:eastAsia="宋体" w:cs="宋体"/>
          <w:bCs/>
          <w:color w:val="auto"/>
          <w:kern w:val="0"/>
          <w:sz w:val="24"/>
          <w:szCs w:val="24"/>
          <w:highlight w:val="none"/>
          <w:lang w:val="en-US" w:eastAsia="zh-CN" w:bidi="ar"/>
        </w:rPr>
        <w:t>发包人对送审结算资料的具体要求：</w:t>
      </w:r>
    </w:p>
    <w:p w14:paraId="351E35CE">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结算书：每项工程的结算书要求分两部分编制：第一部分以竣工图为依据编制，包括竣工图、图纸会审记录、设计变更等内容；第二部分为工程签证及其他有关费用等。上述两部分不应有重复列项的内容，结算书须提供相应的电子文件。</w:t>
      </w:r>
    </w:p>
    <w:p w14:paraId="050601A6">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（2）工程量计算书（即计算底稿）：工程量计算书由工程量汇总表和详细的工程量计算表达式组成，结算书须提供相应的电子文件。</w:t>
      </w:r>
    </w:p>
    <w:p w14:paraId="3E07CACC">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钢筋抽料表（建筑、市政、园林景观等工程适用）：用电脑抽料的钢筋用量表要求提供相应的拷贝磁盘，用手工抽料的钢筋用量表要求提供详细的抽料表和明细汇总表，详细的抽料表应注明钢筋所在构件名称、施工部位、钢筋编号等。</w:t>
      </w:r>
    </w:p>
    <w:p w14:paraId="2D0500B3">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（4）合同文件：包括发包人与承包人签订的合同文件、经发包人确认的承包人与第三方签订的分包合同、各类补充合同、合同附件等，要求将上述合同文件列出总目录按顺序整理装订成册。</w:t>
      </w:r>
    </w:p>
    <w:p w14:paraId="4B2FC8BF">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竣工图：用于结算的竣工图必须有承包人图纸专用章、设计院章及其相关人员签字，并须有监理单位盖章确认。经发包人、设计、监理等单位确认的图纸会审记录、设计变更、工程洽商记录等内容均应反映在相应的竣工图上。</w:t>
      </w:r>
    </w:p>
    <w:p w14:paraId="64F45728">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竣工资料：指在进行工程竣工验收和资料归档时所需的资料，具体包括开工报告、竣工报告、工程质量验收评定证书、材料检验报告、产品质量合格证、经发包人批准的施工组织设计或施工方案、隐蔽工程验收记录、安装工程的调试方案和调试记录等。整理装订成册的竣工资料需编制总目录，并在每一页的下方统一编号，以便于查找。以上资料以国家规范或竣工图编制指南为准。</w:t>
      </w:r>
    </w:p>
    <w:p w14:paraId="76379A1B">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（7）图纸会审记录：要求按图纸会审的时间先后整理装订成册，图纸会审记录须有各单位参加会审人员签字及会审单位盖章确认。</w:t>
      </w:r>
    </w:p>
    <w:p w14:paraId="1F3E4F0C">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（8）设计变更单：要求按设计变更的时间先后整理（安装工程要分专业）装订成册。</w:t>
      </w:r>
    </w:p>
    <w:p w14:paraId="0534AA54">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（9）工程洽商记录：要求根据工程洽商记录的时间先后整理装订成册，然后在每一页的下方统一编号，以便于查找。工程洽商记录须符合发包人制定的有关规定。</w:t>
      </w:r>
    </w:p>
    <w:p w14:paraId="6DDDB628">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10）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57C3AAEC">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（11）会议纪要：指工程质量、安全、技术、经济等现场协调会会议纪要等。要求根据会议纪要的时间先后整理装订成册，然后在每一页的下方统一编号。会议纪要须符合发包人制定的有关规定。</w:t>
      </w:r>
    </w:p>
    <w:p w14:paraId="2122C372">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（12）工程签证：要求根据工程签证的时间先后整理装订成册，然后在每一页的下方统一编号，工程签证单上应有工程数量的计算过程和施工简图。</w:t>
      </w:r>
    </w:p>
    <w:p w14:paraId="2800C283">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13）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14:paraId="0FA9DEE4">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14）综合单价呈批审核单：在招投标文件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14:paraId="73815EA3">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（15）发包人供应材料收货验收签收单：按发包人供应材料收货验收签收单的编号顺序及不同材料分类整理装订成册。</w:t>
      </w:r>
    </w:p>
    <w:p w14:paraId="474ACACA">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16）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14:paraId="616C39EA">
      <w:pPr>
        <w:keepNext w:val="0"/>
        <w:keepLines w:val="0"/>
        <w:widowControl w:val="0"/>
        <w:suppressLineNumbers w:val="0"/>
        <w:suppressAutoHyphens/>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17）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6FC3489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lang w:val="en-US" w:eastAsia="zh-CN" w:bidi="ar"/>
        </w:rPr>
        <w:t>36.6承包人迟延提交竣工</w:t>
      </w:r>
      <w:r>
        <w:rPr>
          <w:rFonts w:hint="eastAsia" w:ascii="宋体" w:hAnsi="宋体" w:eastAsia="宋体" w:cs="宋体"/>
          <w:color w:val="auto"/>
          <w:kern w:val="0"/>
          <w:sz w:val="24"/>
          <w:szCs w:val="24"/>
          <w:highlight w:val="none"/>
          <w:lang w:val="en-US" w:eastAsia="zh-CN" w:bidi="ar"/>
        </w:rPr>
        <w:t>结算报告的，</w:t>
      </w:r>
      <w:r>
        <w:rPr>
          <w:rFonts w:hint="eastAsia" w:ascii="宋体" w:hAnsi="宋体" w:eastAsia="宋体" w:cs="宋体"/>
          <w:iCs/>
          <w:color w:val="auto"/>
          <w:kern w:val="0"/>
          <w:sz w:val="24"/>
          <w:szCs w:val="24"/>
          <w:highlight w:val="none"/>
          <w:lang w:val="en-US" w:eastAsia="zh-CN" w:bidi="ar"/>
        </w:rPr>
        <w:t>发包人完成审核相应结算报告的时间相应顺延。由于</w:t>
      </w:r>
      <w:r>
        <w:rPr>
          <w:rFonts w:hint="eastAsia" w:ascii="宋体" w:hAnsi="宋体" w:eastAsia="宋体" w:cs="宋体"/>
          <w:color w:val="auto"/>
          <w:kern w:val="0"/>
          <w:sz w:val="24"/>
          <w:szCs w:val="24"/>
          <w:highlight w:val="none"/>
          <w:lang w:val="en-US" w:eastAsia="zh-CN" w:bidi="ar"/>
        </w:rPr>
        <w:t>结算报告存在错误或不完整而退回承包人修改或补充的，</w:t>
      </w:r>
      <w:r>
        <w:rPr>
          <w:rFonts w:hint="eastAsia" w:ascii="宋体" w:hAnsi="宋体" w:eastAsia="宋体" w:cs="宋体"/>
          <w:iCs/>
          <w:color w:val="auto"/>
          <w:kern w:val="0"/>
          <w:sz w:val="24"/>
          <w:szCs w:val="24"/>
          <w:highlight w:val="none"/>
          <w:lang w:val="en-US" w:eastAsia="zh-CN" w:bidi="ar"/>
        </w:rPr>
        <w:t>发包人完成审核相应结算报告的时间从收到</w:t>
      </w:r>
      <w:r>
        <w:rPr>
          <w:rFonts w:hint="eastAsia" w:ascii="宋体" w:hAnsi="宋体" w:eastAsia="宋体" w:cs="宋体"/>
          <w:color w:val="auto"/>
          <w:kern w:val="0"/>
          <w:sz w:val="24"/>
          <w:szCs w:val="24"/>
          <w:highlight w:val="none"/>
          <w:lang w:val="en-US" w:eastAsia="zh-CN" w:bidi="ar"/>
        </w:rPr>
        <w:t>修改或补充的结算报告后重新计算。</w:t>
      </w:r>
    </w:p>
    <w:p w14:paraId="2EA7DDB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iCs/>
          <w:color w:val="auto"/>
          <w:kern w:val="0"/>
          <w:sz w:val="24"/>
          <w:szCs w:val="24"/>
          <w:highlight w:val="none"/>
        </w:rPr>
      </w:pPr>
      <w:r>
        <w:rPr>
          <w:rFonts w:hint="eastAsia" w:ascii="宋体" w:hAnsi="宋体" w:eastAsia="宋体" w:cs="宋体"/>
          <w:iCs/>
          <w:color w:val="auto"/>
          <w:kern w:val="0"/>
          <w:sz w:val="24"/>
          <w:szCs w:val="24"/>
          <w:highlight w:val="none"/>
          <w:lang w:val="en-US" w:eastAsia="zh-CN" w:bidi="ar"/>
        </w:rPr>
        <w:t>36.7承包人提交的竣工</w:t>
      </w:r>
      <w:r>
        <w:rPr>
          <w:rFonts w:hint="eastAsia" w:ascii="宋体" w:hAnsi="宋体" w:eastAsia="宋体" w:cs="宋体"/>
          <w:color w:val="auto"/>
          <w:kern w:val="0"/>
          <w:sz w:val="24"/>
          <w:szCs w:val="24"/>
          <w:highlight w:val="none"/>
          <w:lang w:val="en-US" w:eastAsia="zh-CN" w:bidi="ar"/>
        </w:rPr>
        <w:t>结算报告虽有错误或不完整，但其中有部分手续齐全并可以单独结算的，发包人可就该部分先行审核。</w:t>
      </w:r>
    </w:p>
    <w:p w14:paraId="60CA18A5">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lang w:val="en-US" w:eastAsia="zh-CN" w:bidi="ar"/>
        </w:rPr>
        <w:t>36.8</w:t>
      </w:r>
      <w:r>
        <w:rPr>
          <w:rFonts w:hint="eastAsia" w:ascii="宋体" w:hAnsi="宋体" w:eastAsia="宋体" w:cs="宋体"/>
          <w:color w:val="auto"/>
          <w:kern w:val="0"/>
          <w:sz w:val="24"/>
          <w:szCs w:val="24"/>
          <w:highlight w:val="none"/>
          <w:lang w:val="en-US" w:eastAsia="zh-CN" w:bidi="ar"/>
        </w:rPr>
        <w:t>由于承包人未按发包人要求及时报送</w:t>
      </w:r>
      <w:r>
        <w:rPr>
          <w:rFonts w:hint="eastAsia" w:ascii="宋体" w:hAnsi="宋体" w:eastAsia="宋体" w:cs="宋体"/>
          <w:iCs/>
          <w:color w:val="auto"/>
          <w:kern w:val="0"/>
          <w:sz w:val="24"/>
          <w:szCs w:val="24"/>
          <w:highlight w:val="none"/>
          <w:lang w:val="en-US" w:eastAsia="zh-CN" w:bidi="ar"/>
        </w:rPr>
        <w:t>竣工</w:t>
      </w:r>
      <w:r>
        <w:rPr>
          <w:rFonts w:hint="eastAsia" w:ascii="宋体" w:hAnsi="宋体" w:eastAsia="宋体" w:cs="宋体"/>
          <w:color w:val="auto"/>
          <w:kern w:val="0"/>
          <w:sz w:val="24"/>
          <w:szCs w:val="24"/>
          <w:highlight w:val="none"/>
          <w:lang w:val="en-US" w:eastAsia="zh-CN" w:bidi="ar"/>
        </w:rPr>
        <w:t>结算资料或报送资料不齐全、不完整引起的相应结算滞后或影响支付，应由承包人负责，承包人所主张的材料款、人工工资等申请将不被接受，应由承包人承担责任。</w:t>
      </w:r>
    </w:p>
    <w:p w14:paraId="5C912F68">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iCs/>
          <w:color w:val="auto"/>
          <w:kern w:val="0"/>
          <w:sz w:val="24"/>
          <w:szCs w:val="24"/>
          <w:highlight w:val="none"/>
          <w:lang w:val="en-US" w:eastAsia="zh-CN" w:bidi="ar"/>
        </w:rPr>
        <w:t>36.9</w:t>
      </w:r>
      <w:r>
        <w:rPr>
          <w:rFonts w:hint="eastAsia" w:ascii="宋体" w:hAnsi="宋体" w:eastAsia="宋体" w:cs="宋体"/>
          <w:color w:val="auto"/>
          <w:kern w:val="0"/>
          <w:sz w:val="24"/>
          <w:szCs w:val="24"/>
          <w:highlight w:val="none"/>
          <w:lang w:val="en-US" w:eastAsia="zh-CN" w:bidi="ar"/>
        </w:rPr>
        <w:t>根据项目建设的实际需要，发包人有权要求与承包人按招标文件提供的格式签订工程结算工作协议书，双方严格按照工程结算工作协议书的约定进行工程结算，承包人必须无条件服从。</w:t>
      </w:r>
    </w:p>
    <w:p w14:paraId="6F925E9B">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36.10若承包人不按工程结算工作协议书的约定配合</w:t>
      </w:r>
      <w:r>
        <w:rPr>
          <w:rFonts w:hint="eastAsia" w:ascii="宋体" w:hAnsi="宋体" w:eastAsia="宋体" w:cs="宋体"/>
          <w:iCs/>
          <w:color w:val="auto"/>
          <w:kern w:val="0"/>
          <w:sz w:val="24"/>
          <w:szCs w:val="24"/>
          <w:highlight w:val="none"/>
          <w:lang w:val="en-US" w:eastAsia="zh-CN" w:bidi="ar"/>
        </w:rPr>
        <w:t>竣工</w:t>
      </w:r>
      <w:r>
        <w:rPr>
          <w:rFonts w:hint="eastAsia" w:ascii="宋体" w:hAnsi="宋体" w:eastAsia="宋体" w:cs="宋体"/>
          <w:color w:val="auto"/>
          <w:kern w:val="0"/>
          <w:sz w:val="24"/>
          <w:szCs w:val="24"/>
          <w:highlight w:val="none"/>
          <w:lang w:val="en-US" w:eastAsia="zh-CN" w:bidi="ar"/>
        </w:rPr>
        <w:t>结算审核工作以至工程结算迟迟不能定案或承包人对有权结算终审部门的审核结果拒不确认，在规定时间内又提不出正当理由的，则最终的审核结果由发包人与有权结算终审部门共同盖章确认。</w:t>
      </w:r>
    </w:p>
    <w:p w14:paraId="6B6E4BC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36.11若承包人送审结算价与有权结算终审部门审定价的净核减率大于或等于8%，则发包人有权要求承包人按粤价函[2011]742号文规定的竣工结算审核咨询费标准向发包人承担违约责任。</w:t>
      </w:r>
    </w:p>
    <w:p w14:paraId="145772E9">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bidi="ar"/>
        </w:rPr>
        <w:t>十、违约、索赔和争议</w:t>
      </w:r>
    </w:p>
    <w:p w14:paraId="52A10E63">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38、违约</w:t>
      </w:r>
    </w:p>
    <w:p w14:paraId="1125AF66">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承包人与发包人一致同意不适用合同通用条款第38.1款的约定，代之以：</w:t>
      </w:r>
    </w:p>
    <w:p w14:paraId="1A089E3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38.1</w:t>
      </w:r>
      <w:r>
        <w:rPr>
          <w:rFonts w:hint="eastAsia" w:ascii="宋体" w:hAnsi="宋体" w:eastAsia="宋体" w:cs="宋体"/>
          <w:color w:val="auto"/>
          <w:kern w:val="0"/>
          <w:sz w:val="24"/>
          <w:szCs w:val="24"/>
          <w:highlight w:val="none"/>
          <w:lang w:val="en-US" w:eastAsia="zh-CN" w:bidi="ar"/>
        </w:rPr>
        <w:t>发包人的违约责任</w:t>
      </w:r>
    </w:p>
    <w:p w14:paraId="12A29EC7">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（1）发包人无正当理由不按合同约定支付工程预付款、进度款和竣工结算款的，除应继续支付本合同约定的工程预付款、进度款和竣工结算款外，还应按同期银行活期存款利率向承包人计付拖欠期间的利息。</w:t>
      </w:r>
    </w:p>
    <w:p w14:paraId="72B3834D">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（2）因发包人违约或者过错给承包人造成损失的，在承包人提交足够证据并经查证属实的情况下，发包人应赔偿其直接经济损失。</w:t>
      </w:r>
    </w:p>
    <w:p w14:paraId="252BCA41">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承包人与发包人一致同意增加38.4至38.16：</w:t>
      </w:r>
    </w:p>
    <w:p w14:paraId="6C8478E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38.4承包人承担违约责任的方式包括但不限于：</w:t>
      </w:r>
    </w:p>
    <w:p w14:paraId="745EB43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书面警告。承包人不履行或不完全履行合同约定的义务及责任，或者不执行总监理工程师或发包人（含主管人员）的指令时，发包人有权向承包人发出书面警告。承包人必须在书面警告限定的时间内改正，逾期未改正的，发包人有权要求其指挥长驻场办公，直至改正为止。</w:t>
      </w:r>
    </w:p>
    <w:p w14:paraId="7C0037D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（2）一般违约责任。承包人违反本合同的约定须承担一般违约责任时，必须向发包人交纳违约金</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10000元、</w:t>
      </w: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20000元、</w:t>
      </w: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50000元）</w:t>
      </w:r>
      <w:r>
        <w:rPr>
          <w:rFonts w:hint="eastAsia" w:ascii="宋体" w:hAnsi="宋体" w:eastAsia="宋体" w:cs="宋体"/>
          <w:bCs/>
          <w:color w:val="auto"/>
          <w:kern w:val="0"/>
          <w:sz w:val="24"/>
          <w:szCs w:val="24"/>
          <w:highlight w:val="none"/>
          <w:lang w:val="en-US" w:eastAsia="zh-CN" w:bidi="ar"/>
        </w:rPr>
        <w:t>/次。</w:t>
      </w:r>
    </w:p>
    <w:p w14:paraId="1831B8D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（3）严重违约责任。承包人违反本合同的约定须承担严重违约责任时，必须向发包人交纳违约金</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50000元、</w:t>
      </w: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100000元、</w:t>
      </w: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150000元）</w:t>
      </w:r>
      <w:r>
        <w:rPr>
          <w:rFonts w:hint="eastAsia" w:ascii="宋体" w:hAnsi="宋体" w:eastAsia="宋体" w:cs="宋体"/>
          <w:bCs/>
          <w:color w:val="auto"/>
          <w:kern w:val="0"/>
          <w:sz w:val="24"/>
          <w:szCs w:val="24"/>
          <w:highlight w:val="none"/>
          <w:lang w:val="en-US" w:eastAsia="zh-CN" w:bidi="ar"/>
        </w:rPr>
        <w:t>/次。</w:t>
      </w:r>
    </w:p>
    <w:p w14:paraId="0B38385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4）部分解除合同。当承包人违反本合同的约定符合部分解除合同的条件时，发包人有权向承包人发出书面部分解除合同的通知，该通知在送达承包人时即生效。发包人有权从本合同价款中直接扣除被解除部分工程所需的全部费用，同时，</w:t>
      </w:r>
      <w:r>
        <w:rPr>
          <w:rFonts w:hint="eastAsia" w:ascii="宋体" w:hAnsi="宋体" w:eastAsia="宋体" w:cs="宋体"/>
          <w:color w:val="auto"/>
          <w:kern w:val="0"/>
          <w:sz w:val="24"/>
          <w:szCs w:val="24"/>
          <w:highlight w:val="none"/>
          <w:lang w:val="en-US" w:eastAsia="zh-CN" w:bidi="ar"/>
        </w:rPr>
        <w:t>承包人应在部分解除合同之日起七日内向发包人支付</w:t>
      </w:r>
      <w:r>
        <w:rPr>
          <w:rFonts w:hint="eastAsia" w:ascii="宋体" w:hAnsi="宋体" w:eastAsia="宋体" w:cs="宋体"/>
          <w:bCs/>
          <w:color w:val="auto"/>
          <w:kern w:val="0"/>
          <w:sz w:val="24"/>
          <w:szCs w:val="24"/>
          <w:highlight w:val="none"/>
          <w:lang w:val="en-US" w:eastAsia="zh-CN" w:bidi="ar"/>
        </w:rPr>
        <w:t>被解除部分工程</w:t>
      </w:r>
      <w:r>
        <w:rPr>
          <w:rFonts w:hint="eastAsia" w:ascii="宋体" w:hAnsi="宋体" w:eastAsia="宋体" w:cs="宋体"/>
          <w:color w:val="auto"/>
          <w:kern w:val="0"/>
          <w:sz w:val="24"/>
          <w:szCs w:val="24"/>
          <w:highlight w:val="none"/>
          <w:lang w:val="en-US" w:eastAsia="zh-CN" w:bidi="ar"/>
        </w:rPr>
        <w:t>合同价款20%的违约金并赔偿发包人的实际损失</w:t>
      </w:r>
      <w:r>
        <w:rPr>
          <w:rFonts w:hint="eastAsia" w:ascii="宋体" w:hAnsi="宋体" w:eastAsia="宋体" w:cs="宋体"/>
          <w:bCs/>
          <w:color w:val="auto"/>
          <w:kern w:val="0"/>
          <w:sz w:val="24"/>
          <w:szCs w:val="24"/>
          <w:highlight w:val="none"/>
          <w:lang w:val="en-US" w:eastAsia="zh-CN" w:bidi="ar"/>
        </w:rPr>
        <w:t>。</w:t>
      </w:r>
    </w:p>
    <w:p w14:paraId="115BFBC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（5）解除合同。当承包人违反本合同的约定符合解除合同的条件时，发包人有权向承包人发出书面解除合同的通知，该通知在送达承包人时即生效，</w:t>
      </w:r>
      <w:r>
        <w:rPr>
          <w:rFonts w:hint="eastAsia" w:ascii="宋体" w:hAnsi="宋体" w:eastAsia="宋体" w:cs="宋体"/>
          <w:color w:val="auto"/>
          <w:kern w:val="0"/>
          <w:sz w:val="24"/>
          <w:szCs w:val="24"/>
          <w:highlight w:val="none"/>
          <w:lang w:val="en-US" w:eastAsia="zh-CN" w:bidi="ar"/>
        </w:rPr>
        <w:t>承包人应在解除合同之日起七日内向发包人支付本合同价款20%的违约金并赔偿发包人的实际损失</w:t>
      </w:r>
      <w:r>
        <w:rPr>
          <w:rFonts w:hint="eastAsia" w:ascii="宋体" w:hAnsi="宋体" w:eastAsia="宋体" w:cs="宋体"/>
          <w:bCs/>
          <w:color w:val="auto"/>
          <w:kern w:val="0"/>
          <w:sz w:val="24"/>
          <w:szCs w:val="24"/>
          <w:highlight w:val="none"/>
          <w:lang w:val="en-US" w:eastAsia="zh-CN" w:bidi="ar"/>
        </w:rPr>
        <w:t>。</w:t>
      </w:r>
    </w:p>
    <w:p w14:paraId="58FF722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（6）赔偿损失。因承包人原因造成发包人经济损失的，承包人应赔偿发包人的经济损失。</w:t>
      </w:r>
    </w:p>
    <w:p w14:paraId="2F1ADA7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38.5在本合同有效期内，承包人累计承担两次严重违约责任的，发包人有权</w:t>
      </w:r>
      <w:r>
        <w:rPr>
          <w:rFonts w:hint="eastAsia" w:ascii="宋体" w:hAnsi="宋体" w:eastAsia="宋体" w:cs="宋体"/>
          <w:bCs/>
          <w:color w:val="auto"/>
          <w:kern w:val="0"/>
          <w:sz w:val="24"/>
          <w:szCs w:val="24"/>
          <w:highlight w:val="none"/>
          <w:lang w:val="en-US" w:eastAsia="zh-CN" w:bidi="ar"/>
        </w:rPr>
        <w:t>提请十五运会省执委会撤销赞助权益授予、上报省、市行业主管部门进行诚信扣分或限制投标资格等处理，并予以通报。承包人的工程内容、承包范围与合同义务不因赞助权益的撤销而发生改变。</w:t>
      </w:r>
      <w:r>
        <w:rPr>
          <w:rFonts w:hint="eastAsia" w:ascii="宋体" w:hAnsi="宋体" w:eastAsia="宋体" w:cs="宋体"/>
          <w:color w:val="auto"/>
          <w:kern w:val="0"/>
          <w:sz w:val="24"/>
          <w:szCs w:val="24"/>
          <w:highlight w:val="none"/>
          <w:lang w:val="en-US" w:eastAsia="zh-CN" w:bidi="ar"/>
        </w:rPr>
        <w:t>承包人累计承担三次严重违约责任的，发包人还有权单方面部分或全部解除合同。</w:t>
      </w:r>
    </w:p>
    <w:p w14:paraId="08FE8D0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38.6</w:t>
      </w:r>
      <w:r>
        <w:rPr>
          <w:rFonts w:hint="eastAsia" w:ascii="宋体" w:hAnsi="宋体" w:eastAsia="宋体" w:cs="宋体"/>
          <w:bCs/>
          <w:color w:val="auto"/>
          <w:kern w:val="0"/>
          <w:sz w:val="24"/>
          <w:szCs w:val="24"/>
          <w:highlight w:val="none"/>
          <w:lang w:val="en-US" w:eastAsia="zh-CN" w:bidi="ar"/>
        </w:rPr>
        <w:t>承包人按本合同约定应交纳的违约金和赔偿金属于合同专用条款第38.10款“工程质量方面的违约责任”、第38.11款“安全生产方面的违约责任”的，承包人应当按违约处罚决定确定的时间向发包人交纳，否则，发包人有权从应支付给承包人的工程款中直接扣除。</w:t>
      </w:r>
    </w:p>
    <w:p w14:paraId="5D39500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承包人按本合同约定应交纳的违约金和赔偿金属于合同专用条款第38.10款、第38.11款约定以外的其他违约责任的，发包人可决定暂不收取违约金和赔偿金，作为对承包人享有的应收款项债权，发包人将根据承包人履行合同的实际情况随时通知承包人交纳或在工程结算时予以扣除。若相关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r>
        <w:rPr>
          <w:rFonts w:hint="eastAsia" w:ascii="宋体" w:hAnsi="宋体" w:eastAsia="宋体" w:cs="宋体"/>
          <w:color w:val="auto"/>
          <w:kern w:val="0"/>
          <w:sz w:val="24"/>
          <w:szCs w:val="24"/>
          <w:highlight w:val="none"/>
          <w:lang w:val="en-US" w:eastAsia="zh-CN" w:bidi="ar"/>
        </w:rPr>
        <w:t>。</w:t>
      </w:r>
    </w:p>
    <w:p w14:paraId="257250B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38.7工程组织管理方面的违约责任</w:t>
      </w:r>
    </w:p>
    <w:p w14:paraId="617B0D2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承包人违反合同专用条款总则第2条、第5条的约定，不服从发包人及监理单位的管理，对发包人、监理单位的指令和书面通知公开或变相拒不执行的，发包人视情节严重程度有权要求其承担1次一般违约责任或者1次严重违约责任，并由承包人承担由此造成的一切经济损失。情节较轻的，可给予书面警告；情节特别严重的，发包人有权单方面部分解除合同或解除合同</w:t>
      </w:r>
      <w:r>
        <w:rPr>
          <w:rFonts w:hint="eastAsia" w:ascii="宋体" w:hAnsi="宋体" w:eastAsia="宋体" w:cs="宋体"/>
          <w:color w:val="auto"/>
          <w:kern w:val="0"/>
          <w:sz w:val="24"/>
          <w:szCs w:val="24"/>
          <w:highlight w:val="none"/>
          <w:lang w:val="en-US" w:eastAsia="zh-CN" w:bidi="ar"/>
        </w:rPr>
        <w:t>。</w:t>
      </w:r>
    </w:p>
    <w:p w14:paraId="639A664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（2）承包人不遵守发包人依据合同专用条款总则第6条约定所制定的各项制度、规定的，由承包人按所触犯制度、规定的有关规定承担违约责任。所触犯制度、规定没有明确规定的，由发包人参照</w:t>
      </w:r>
      <w:r>
        <w:rPr>
          <w:rFonts w:hint="eastAsia" w:ascii="宋体" w:hAnsi="宋体" w:eastAsia="宋体" w:cs="宋体"/>
          <w:color w:val="auto"/>
          <w:kern w:val="0"/>
          <w:sz w:val="24"/>
          <w:szCs w:val="24"/>
          <w:highlight w:val="none"/>
          <w:lang w:val="en-US" w:eastAsia="zh-CN" w:bidi="ar"/>
        </w:rPr>
        <w:t>合同专用条款第38.7（1）款</w:t>
      </w:r>
      <w:r>
        <w:rPr>
          <w:rFonts w:hint="eastAsia" w:ascii="宋体" w:hAnsi="宋体" w:eastAsia="宋体" w:cs="宋体"/>
          <w:bCs/>
          <w:color w:val="auto"/>
          <w:kern w:val="0"/>
          <w:sz w:val="24"/>
          <w:szCs w:val="24"/>
          <w:highlight w:val="none"/>
          <w:lang w:val="en-US" w:eastAsia="zh-CN" w:bidi="ar"/>
        </w:rPr>
        <w:t>的约定处理。</w:t>
      </w:r>
    </w:p>
    <w:p w14:paraId="50108DC4">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承包人不按合同专用条款第7条、第9条的有关约定投入现场组织管理人员、施工作业人员、施工机械设备，或者擅自变更资源投入计划或者擅自对已投入的资源进行调整的，承包人必须按照总监理工程师或者发包人的指令限期改正；承包人拒不改正或未及时完成整改的，发包人有权要求其承担1次一般违约责任或者1次严重违约责任。情节较轻的，可给予书面警告；情节特别严重的，发包人有权单方面部分解除合同或解除合同。</w:t>
      </w:r>
    </w:p>
    <w:p w14:paraId="71A2B7D6">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经发包人或总监理工程师考核，承包人投入的现场组织管理人员不能满足本工程建设要求的，承包人必须无条件按发包人的要求更换，直至满足本工程建设要求为止。而且，不能满足本工程建设要求的现场组织管理人员按缺勤处理。</w:t>
      </w:r>
    </w:p>
    <w:p w14:paraId="4B9BCDE2">
      <w:pPr>
        <w:pStyle w:val="2"/>
        <w:widowControl/>
        <w:spacing w:line="360" w:lineRule="auto"/>
        <w:rPr>
          <w:rFonts w:hint="eastAsia" w:ascii="宋体" w:hAnsi="宋体" w:eastAsia="宋体" w:cs="宋体"/>
          <w:color w:val="auto"/>
          <w:kern w:val="2"/>
          <w:sz w:val="21"/>
          <w:szCs w:val="21"/>
          <w:highlight w:val="none"/>
        </w:rPr>
      </w:pPr>
      <w:r>
        <w:rPr>
          <w:rFonts w:hint="eastAsia" w:ascii="宋体" w:hAnsi="宋体" w:eastAsia="宋体" w:cs="宋体"/>
          <w:bCs/>
          <w:color w:val="auto"/>
          <w:kern w:val="0"/>
          <w:sz w:val="24"/>
          <w:szCs w:val="24"/>
          <w:highlight w:val="none"/>
        </w:rPr>
        <w:t>如承包人违背投标承诺，除按上述约定承担违约责任之外，还应同时按下表约定的金额向发包人支付违约金：</w:t>
      </w:r>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5"/>
        <w:gridCol w:w="1560"/>
        <w:gridCol w:w="2835"/>
        <w:gridCol w:w="1134"/>
        <w:gridCol w:w="1134"/>
        <w:gridCol w:w="1190"/>
      </w:tblGrid>
      <w:tr w14:paraId="29F06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6860677">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color w:val="auto"/>
                <w:kern w:val="0"/>
                <w:sz w:val="21"/>
                <w:szCs w:val="21"/>
                <w:highlight w:val="none"/>
                <w:lang w:val="en-US" w:eastAsia="zh-CN" w:bidi="ar"/>
              </w:rPr>
              <w:t>序号</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14726B47">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承诺项目</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2C017398">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违约说明</w:t>
            </w:r>
          </w:p>
        </w:tc>
        <w:tc>
          <w:tcPr>
            <w:tcW w:w="34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897E04">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违约金（元/人）</w:t>
            </w:r>
          </w:p>
        </w:tc>
      </w:tr>
      <w:tr w14:paraId="7A434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1F7BF02A">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14:paraId="01657356">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施工总承包管理部</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61A8A7A1">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更换项目指挥长或项目经理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4DD57E6">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50000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173C4BE">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100000</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6C685F39">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200000</w:t>
            </w:r>
          </w:p>
        </w:tc>
      </w:tr>
      <w:tr w14:paraId="1D18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FA926B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14:paraId="1C4F974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533F487F">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更换项目技术负责人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EB1A4B5">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30000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333BC58">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80000</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6168AFA1">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150000</w:t>
            </w:r>
          </w:p>
        </w:tc>
      </w:tr>
      <w:tr w14:paraId="6272A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20F7DD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14:paraId="1D0DCA5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395F78C8">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更换专职安全员或其他人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42E9A61">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866F7BB">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50000</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1A25C486">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100000</w:t>
            </w:r>
          </w:p>
        </w:tc>
      </w:tr>
      <w:tr w14:paraId="655F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5D7AEF62">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14:paraId="707C931C">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施工项目部</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4EC46FE6">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更换项目指挥长或项目经理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0870D89">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30000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91A4BC0">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80000</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4558CF18">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150000</w:t>
            </w:r>
          </w:p>
        </w:tc>
      </w:tr>
      <w:tr w14:paraId="4C6B0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2F4E826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14:paraId="4D0D433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5B6E98E8">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更换项目副经理或空缺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D018B1">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20000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6DEB319">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50000</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22DD989D">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100000</w:t>
            </w:r>
          </w:p>
        </w:tc>
      </w:tr>
      <w:tr w14:paraId="3DBCB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22F03CC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14:paraId="1184CCD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BAA7828">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更换专职安全员或其他人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450A3D8">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E9F829F">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30000</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7A9CD744">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50000</w:t>
            </w:r>
          </w:p>
        </w:tc>
      </w:tr>
      <w:tr w14:paraId="5E2D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7F978D51">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14:paraId="3081B274">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驻场深化设计部</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63A18179">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更换部门经理或空缺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03481D6">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20000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F92B903">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50000</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725FA15C">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100000</w:t>
            </w:r>
          </w:p>
        </w:tc>
      </w:tr>
      <w:tr w14:paraId="1D0C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188143F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14:paraId="02F7B66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6F330E4">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更换技术负责人或空缺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C7C3902">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1B37DB9">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30000</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11BE7424">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50000</w:t>
            </w:r>
          </w:p>
        </w:tc>
      </w:tr>
      <w:tr w14:paraId="4DE00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7BE3274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14:paraId="427B469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624CFA75">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更换其他人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6055B47">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B55D759">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10000</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02DB4010">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20000</w:t>
            </w:r>
          </w:p>
        </w:tc>
      </w:tr>
      <w:tr w14:paraId="69C64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0C0A9A46">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14:paraId="0D02292C">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材料管理部</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226AAE5C">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更换部门经理或空缺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10DA503">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D0DD32">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25000</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0C15B876">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35000</w:t>
            </w:r>
          </w:p>
        </w:tc>
      </w:tr>
      <w:tr w14:paraId="715D4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30787DD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14:paraId="5975A78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9B457FA">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更换其他人</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7DFBC4">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5000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E6F492F">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10000</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5F06BEA6">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20000</w:t>
            </w:r>
          </w:p>
        </w:tc>
      </w:tr>
      <w:tr w14:paraId="040BE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8"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73AEAE8">
            <w:pPr>
              <w:keepNext w:val="0"/>
              <w:keepLines w:val="0"/>
              <w:widowControl w:val="0"/>
              <w:suppressLineNumbers w:val="0"/>
              <w:spacing w:before="0" w:beforeAutospacing="0" w:after="0" w:afterAutospacing="0" w:line="300" w:lineRule="auto"/>
              <w:ind w:left="0" w:right="0"/>
              <w:jc w:val="left"/>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备注：第一次更换以上人员的，按以上违约金标准执行，以后每一次更换均按前一次的二倍标准执行。</w:t>
            </w:r>
          </w:p>
        </w:tc>
      </w:tr>
      <w:tr w14:paraId="5E07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C2CF7F9">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73321BFD">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各阶段投入劳动力</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38CE7BF">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每少1人</w:t>
            </w:r>
          </w:p>
        </w:tc>
        <w:tc>
          <w:tcPr>
            <w:tcW w:w="34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476F0F">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1000</w:t>
            </w:r>
          </w:p>
        </w:tc>
      </w:tr>
      <w:tr w14:paraId="2D13E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3354253">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14:paraId="343406BF">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各阶段投入主要材料</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6D12F001">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没有按发包人审定的总控或阶段计划投入，每少10%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EDB171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100000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473D27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300000</w:t>
            </w:r>
          </w:p>
        </w:tc>
        <w:tc>
          <w:tcPr>
            <w:tcW w:w="1190" w:type="dxa"/>
            <w:tcBorders>
              <w:top w:val="single" w:color="auto" w:sz="4" w:space="0"/>
              <w:left w:val="single" w:color="auto" w:sz="4" w:space="0"/>
              <w:bottom w:val="single" w:color="auto" w:sz="4" w:space="0"/>
              <w:right w:val="single" w:color="auto" w:sz="4" w:space="0"/>
            </w:tcBorders>
            <w:shd w:val="clear" w:color="auto" w:fill="auto"/>
            <w:vAlign w:val="center"/>
          </w:tcPr>
          <w:p w14:paraId="352166A8">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500000</w:t>
            </w:r>
          </w:p>
        </w:tc>
      </w:tr>
      <w:tr w14:paraId="5F1F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3A017EA5">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14:paraId="1105EE9D">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各阶段投入施工设备</w:t>
            </w: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7384CC78">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没有按发包人审定的总控或阶段计划投入，主要设备每少1台</w:t>
            </w:r>
          </w:p>
        </w:tc>
        <w:tc>
          <w:tcPr>
            <w:tcW w:w="34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BF7D2E">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50000</w:t>
            </w:r>
          </w:p>
        </w:tc>
      </w:tr>
      <w:tr w14:paraId="0FFC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675" w:type="dxa"/>
            <w:vMerge w:val="continue"/>
            <w:tcBorders>
              <w:top w:val="nil"/>
              <w:left w:val="single" w:color="auto" w:sz="4" w:space="0"/>
              <w:bottom w:val="single" w:color="auto" w:sz="4" w:space="0"/>
              <w:right w:val="single" w:color="auto" w:sz="4" w:space="0"/>
            </w:tcBorders>
            <w:shd w:val="clear" w:color="auto" w:fill="auto"/>
            <w:vAlign w:val="center"/>
          </w:tcPr>
          <w:p w14:paraId="656F82B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560" w:type="dxa"/>
            <w:vMerge w:val="continue"/>
            <w:tcBorders>
              <w:top w:val="nil"/>
              <w:left w:val="single" w:color="auto" w:sz="4" w:space="0"/>
              <w:bottom w:val="single" w:color="auto" w:sz="4" w:space="0"/>
              <w:right w:val="single" w:color="auto" w:sz="4" w:space="0"/>
            </w:tcBorders>
            <w:shd w:val="clear" w:color="auto" w:fill="auto"/>
            <w:vAlign w:val="center"/>
          </w:tcPr>
          <w:p w14:paraId="087671E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14:paraId="6AFB1D72">
            <w:pPr>
              <w:keepNext w:val="0"/>
              <w:keepLines w:val="0"/>
              <w:widowControl w:val="0"/>
              <w:suppressLineNumbers w:val="0"/>
              <w:adjustRightInd w:val="0"/>
              <w:snapToGrid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没有按发包人审定的总控或阶段计划投入，一般设备每少1台</w:t>
            </w:r>
          </w:p>
        </w:tc>
        <w:tc>
          <w:tcPr>
            <w:tcW w:w="345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181AF79">
            <w:pPr>
              <w:keepNext w:val="0"/>
              <w:keepLines w:val="0"/>
              <w:widowControl w:val="0"/>
              <w:suppressLineNumbers w:val="0"/>
              <w:spacing w:before="0" w:beforeAutospacing="0" w:after="0" w:afterAutospacing="0" w:line="300" w:lineRule="auto"/>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10000</w:t>
            </w:r>
          </w:p>
        </w:tc>
      </w:tr>
    </w:tbl>
    <w:p w14:paraId="105492E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对于监理单位或发包人通知承包人参加的会议（包括但不限于进场会、现场问题处理会议、工程验收会议、结算问题处理会议、质保期工作的相关会议等），被通知人员（包括但不限于承包人法定代表人、经监理单位或发包人批准同意的承包人法定代表人授权人、项目负责人、技术负责人等）未经监理单位或发包人书面同意自行缺席的，每缺席一人次承包人承担1次一般违约责任。</w:t>
      </w:r>
    </w:p>
    <w:p w14:paraId="7CB4FE34">
      <w:pPr>
        <w:keepNext w:val="0"/>
        <w:keepLines w:val="0"/>
        <w:widowControl w:val="0"/>
        <w:suppressLineNumbers w:val="0"/>
        <w:adjustRightInd w:val="0"/>
        <w:snapToGrid w:val="0"/>
        <w:spacing w:before="0" w:beforeAutospacing="0" w:after="0" w:afterAutospacing="0" w:line="360" w:lineRule="auto"/>
        <w:ind w:left="0" w:right="11" w:firstLine="403" w:firstLineChars="192"/>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（5）承包人不按本合同约定做好施工总承包管理或配合工作，经总监理工程师或发包人发出限期改正通知后3天内，承包人仍未能整改至令总监理工程师或发包人满意的，由承包人参</w:t>
      </w:r>
      <w:r>
        <w:rPr>
          <w:rFonts w:hint="eastAsia" w:ascii="宋体" w:hAnsi="宋体" w:eastAsia="宋体" w:cs="宋体"/>
          <w:bCs/>
          <w:color w:val="auto"/>
          <w:kern w:val="0"/>
          <w:sz w:val="24"/>
          <w:szCs w:val="24"/>
          <w:highlight w:val="none"/>
          <w:lang w:val="en-US" w:eastAsia="zh-CN" w:bidi="ar"/>
        </w:rPr>
        <w:t>照</w:t>
      </w:r>
      <w:r>
        <w:rPr>
          <w:rFonts w:hint="eastAsia" w:ascii="宋体" w:hAnsi="宋体" w:eastAsia="宋体" w:cs="宋体"/>
          <w:color w:val="auto"/>
          <w:kern w:val="0"/>
          <w:sz w:val="24"/>
          <w:szCs w:val="24"/>
          <w:highlight w:val="none"/>
          <w:lang w:val="en-US" w:eastAsia="zh-CN" w:bidi="ar"/>
        </w:rPr>
        <w:t>合同专用条款第38.7（1）款</w:t>
      </w:r>
      <w:r>
        <w:rPr>
          <w:rFonts w:hint="eastAsia" w:ascii="宋体" w:hAnsi="宋体" w:eastAsia="宋体" w:cs="宋体"/>
          <w:bCs/>
          <w:color w:val="auto"/>
          <w:kern w:val="0"/>
          <w:sz w:val="24"/>
          <w:szCs w:val="24"/>
          <w:highlight w:val="none"/>
          <w:lang w:val="en-US" w:eastAsia="zh-CN" w:bidi="ar"/>
        </w:rPr>
        <w:t>的约定向发包人承担违约责任。</w:t>
      </w:r>
    </w:p>
    <w:p w14:paraId="5C06B428">
      <w:pPr>
        <w:keepNext w:val="0"/>
        <w:keepLines w:val="0"/>
        <w:widowControl w:val="0"/>
        <w:suppressLineNumbers w:val="0"/>
        <w:adjustRightInd w:val="0"/>
        <w:snapToGrid w:val="0"/>
        <w:spacing w:before="0" w:beforeAutospacing="0" w:after="0" w:afterAutospacing="0" w:line="360" w:lineRule="auto"/>
        <w:ind w:left="0" w:right="11" w:firstLine="403"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bCs/>
          <w:color w:val="auto"/>
          <w:kern w:val="0"/>
          <w:sz w:val="24"/>
          <w:szCs w:val="24"/>
          <w:highlight w:val="none"/>
          <w:lang w:val="en-US" w:eastAsia="zh-CN" w:bidi="ar"/>
        </w:rPr>
        <w:t>（6）承包人在发包人组织的考评中不合格的，必须按照考评通报的要求限期改正，并承担1次一般违约责任；承包人拒不限期改正或整改效果不明显的，承包人必须承担1次严重违约责任。若连续2次或累计3次考评不合格，承包人必须承担1次严重违约责任，并必须按照总监理工程师或者发包人的指令限期改正；承包人拒不限期改正或整改效果不明显的，发包人有权单方面部分解除合同或解除合同。若连续3次或累计5次考评不合格，发包人有权解除合同。</w:t>
      </w:r>
    </w:p>
    <w:p w14:paraId="3C43AB8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（7）承包人不按合同约定或发包人要求提交竣工结算资料的，每发生1次，承担1次一般违约责任。</w:t>
      </w:r>
    </w:p>
    <w:p w14:paraId="2A3B75F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（8）承包人单方面擅自终止或解除本合同</w:t>
      </w:r>
      <w:r>
        <w:rPr>
          <w:rFonts w:hint="eastAsia" w:ascii="宋体" w:hAnsi="宋体" w:eastAsia="宋体" w:cs="宋体"/>
          <w:color w:val="auto"/>
          <w:kern w:val="0"/>
          <w:sz w:val="24"/>
          <w:szCs w:val="24"/>
          <w:highlight w:val="none"/>
          <w:lang w:val="en-US" w:eastAsia="zh-CN" w:bidi="ar"/>
        </w:rPr>
        <w:t>的，应按合同专用条款第38.4（5）款约定的标准向发包人支付违约金及赔偿损失</w:t>
      </w:r>
      <w:r>
        <w:rPr>
          <w:rFonts w:hint="eastAsia" w:ascii="宋体" w:hAnsi="宋体" w:eastAsia="宋体" w:cs="宋体"/>
          <w:bCs/>
          <w:color w:val="auto"/>
          <w:kern w:val="0"/>
          <w:sz w:val="24"/>
          <w:szCs w:val="24"/>
          <w:highlight w:val="none"/>
          <w:lang w:val="en-US" w:eastAsia="zh-CN" w:bidi="ar"/>
        </w:rPr>
        <w:t>。</w:t>
      </w:r>
    </w:p>
    <w:p w14:paraId="05B7154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（9）承包人单方面擅自部分终止或者部分解除本合同的，</w:t>
      </w:r>
      <w:r>
        <w:rPr>
          <w:rFonts w:hint="eastAsia" w:ascii="宋体" w:hAnsi="宋体" w:eastAsia="宋体" w:cs="宋体"/>
          <w:color w:val="auto"/>
          <w:kern w:val="0"/>
          <w:sz w:val="24"/>
          <w:szCs w:val="24"/>
          <w:highlight w:val="none"/>
          <w:lang w:val="en-US" w:eastAsia="zh-CN" w:bidi="ar"/>
        </w:rPr>
        <w:t>应按合同专用条款第38.4（4）款约定的标准向发包人支付违约金及赔偿损失</w:t>
      </w:r>
      <w:r>
        <w:rPr>
          <w:rFonts w:hint="eastAsia" w:ascii="宋体" w:hAnsi="宋体" w:eastAsia="宋体" w:cs="宋体"/>
          <w:bCs/>
          <w:color w:val="auto"/>
          <w:kern w:val="0"/>
          <w:sz w:val="24"/>
          <w:szCs w:val="24"/>
          <w:highlight w:val="none"/>
          <w:lang w:val="en-US" w:eastAsia="zh-CN" w:bidi="ar"/>
        </w:rPr>
        <w:t>。</w:t>
      </w:r>
    </w:p>
    <w:p w14:paraId="5D79917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（10）如承包人违反合同协议书第9条、第10条的约定，未在相关信息发生变化时及时将变更情况书面通知发包人的，经发包人每确认1次，承包人承担1次一般违约责任。</w:t>
      </w:r>
    </w:p>
    <w:p w14:paraId="29DB749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38.8工期延误方面的违约责任</w:t>
      </w:r>
    </w:p>
    <w:p w14:paraId="72F8729F">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（1）承包人违反合同协议书第3.1款约定延期开工的，每迟延开工1天，应向发包人支付本合同价款1‰的违约金；迟延开工超过10天的，发包人有权单方面解除合同</w:t>
      </w:r>
      <w:r>
        <w:rPr>
          <w:rFonts w:hint="eastAsia" w:ascii="宋体" w:hAnsi="宋体" w:eastAsia="宋体" w:cs="宋体"/>
          <w:bCs/>
          <w:color w:val="auto"/>
          <w:kern w:val="0"/>
          <w:sz w:val="24"/>
          <w:szCs w:val="24"/>
          <w:highlight w:val="none"/>
          <w:lang w:val="en-US" w:eastAsia="zh-CN" w:bidi="ar"/>
        </w:rPr>
        <w:t>。</w:t>
      </w:r>
    </w:p>
    <w:p w14:paraId="60DDEFE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（2）承包人违反合同专用条款第12.1款约定单方面停工的，每停工1天，应向发包人支付本合同价款1‰的违约金；连续停工超过5天或累计停工超过10天的，发包人有权单方面解除合同</w:t>
      </w:r>
      <w:r>
        <w:rPr>
          <w:rFonts w:hint="eastAsia" w:ascii="宋体" w:hAnsi="宋体" w:eastAsia="宋体" w:cs="宋体"/>
          <w:bCs/>
          <w:color w:val="auto"/>
          <w:kern w:val="0"/>
          <w:sz w:val="24"/>
          <w:szCs w:val="24"/>
          <w:highlight w:val="none"/>
          <w:lang w:val="en-US" w:eastAsia="zh-CN" w:bidi="ar"/>
        </w:rPr>
        <w:t>。</w:t>
      </w:r>
    </w:p>
    <w:p w14:paraId="5930841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承包人违反合同专用条款第10.1款的约定，延期交付施工组织设计，延期3天以内的（含3天），发包人给予书面警告；延期4～7天的，承包人应承担1次一般违约责任；延期8～10天的，承包人应承担1次严重违约责任；延期11天以上的（含11天），发包人有权单方面解除合同</w:t>
      </w:r>
      <w:r>
        <w:rPr>
          <w:rFonts w:hint="eastAsia" w:ascii="宋体" w:hAnsi="宋体" w:eastAsia="宋体" w:cs="宋体"/>
          <w:bCs/>
          <w:color w:val="auto"/>
          <w:kern w:val="0"/>
          <w:sz w:val="24"/>
          <w:szCs w:val="24"/>
          <w:highlight w:val="none"/>
          <w:lang w:val="en-US" w:eastAsia="zh-CN" w:bidi="ar"/>
        </w:rPr>
        <w:t>。</w:t>
      </w:r>
    </w:p>
    <w:p w14:paraId="48B1896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承包人违反合同专用条款第13条约定造成本工程关键节点工期延误的，每延误1天，应向发包人支付本合同价款1‰的违约金；延误超过5天的，发包人有权停止支付当月的工程进度款；延误10天以上的，承包人应在2天内制定出具体可行的自行赶工措施，报总监理工程师和发包人批准。如发包人认为承包人的赶工计划不可行，则发包人有权解除合同</w:t>
      </w:r>
      <w:r>
        <w:rPr>
          <w:rFonts w:hint="eastAsia" w:ascii="宋体" w:hAnsi="宋体" w:eastAsia="宋体" w:cs="宋体"/>
          <w:bCs/>
          <w:color w:val="auto"/>
          <w:kern w:val="0"/>
          <w:sz w:val="24"/>
          <w:szCs w:val="24"/>
          <w:highlight w:val="none"/>
          <w:lang w:val="en-US" w:eastAsia="zh-CN" w:bidi="ar"/>
        </w:rPr>
        <w:t>。</w:t>
      </w:r>
    </w:p>
    <w:p w14:paraId="022F303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（5）承包人违反合同通用条款第14条约定造成本工程不能按照合同协议书第3条约定的竣工日期竣工的，每逾期1天，承包人必须按本合同价款的3‰向发包人支付违约金，同时由</w:t>
      </w:r>
      <w:r>
        <w:rPr>
          <w:rFonts w:hint="eastAsia" w:ascii="宋体" w:hAnsi="宋体" w:eastAsia="宋体" w:cs="宋体"/>
          <w:bCs/>
          <w:color w:val="auto"/>
          <w:kern w:val="0"/>
          <w:sz w:val="24"/>
          <w:szCs w:val="24"/>
          <w:highlight w:val="none"/>
          <w:lang w:val="en-US" w:eastAsia="zh-CN" w:bidi="ar"/>
        </w:rPr>
        <w:t>发包人按照对本工程最有利的原则，按如下约定选择处理：</w:t>
      </w:r>
    </w:p>
    <w:p w14:paraId="5EA0DD9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bCs/>
          <w:color w:val="auto"/>
          <w:kern w:val="0"/>
          <w:sz w:val="24"/>
          <w:szCs w:val="24"/>
          <w:highlight w:val="none"/>
          <w:lang w:val="en-US" w:eastAsia="zh-CN" w:bidi="ar"/>
        </w:rPr>
        <w:t>承包人按上述约定向发包人支付违约金并在发包人限定的时间内竣工；如承包人仍不能在发包人限定的时间内竣工，承包人除按上述约定支付违约金外（直至本工程全部竣工为止），还在工程结算时按本合同结算总价款下浮2%作为本合同的最终结算价款，同时承包人还应据实赔偿发包人的实际损失。</w:t>
      </w:r>
    </w:p>
    <w:p w14:paraId="77E168C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w:t>
      </w:r>
      <w:r>
        <w:rPr>
          <w:rFonts w:hint="eastAsia" w:ascii="宋体" w:hAnsi="宋体" w:eastAsia="宋体" w:cs="宋体"/>
          <w:bCs/>
          <w:color w:val="auto"/>
          <w:kern w:val="0"/>
          <w:sz w:val="24"/>
          <w:szCs w:val="24"/>
          <w:highlight w:val="none"/>
          <w:lang w:val="en-US" w:eastAsia="zh-CN" w:bidi="ar"/>
        </w:rPr>
        <w:t>由发包人将未完工程量从本合同中分割，交由第三方完成，由此发生的费用全部从本合同价款中支付，同时</w:t>
      </w:r>
      <w:r>
        <w:rPr>
          <w:rFonts w:hint="eastAsia" w:ascii="宋体" w:hAnsi="宋体" w:eastAsia="宋体" w:cs="宋体"/>
          <w:color w:val="auto"/>
          <w:kern w:val="0"/>
          <w:sz w:val="24"/>
          <w:szCs w:val="24"/>
          <w:highlight w:val="none"/>
          <w:lang w:val="en-US" w:eastAsia="zh-CN" w:bidi="ar"/>
        </w:rPr>
        <w:t>由承包人向发包人支付</w:t>
      </w:r>
      <w:r>
        <w:rPr>
          <w:rFonts w:hint="eastAsia" w:ascii="宋体" w:hAnsi="宋体" w:eastAsia="宋体" w:cs="宋体"/>
          <w:bCs/>
          <w:color w:val="auto"/>
          <w:kern w:val="0"/>
          <w:sz w:val="24"/>
          <w:szCs w:val="24"/>
          <w:highlight w:val="none"/>
          <w:lang w:val="en-US" w:eastAsia="zh-CN" w:bidi="ar"/>
        </w:rPr>
        <w:t>未完工程量</w:t>
      </w:r>
      <w:r>
        <w:rPr>
          <w:rFonts w:hint="eastAsia" w:ascii="宋体" w:hAnsi="宋体" w:eastAsia="宋体" w:cs="宋体"/>
          <w:color w:val="auto"/>
          <w:kern w:val="0"/>
          <w:sz w:val="24"/>
          <w:szCs w:val="24"/>
          <w:highlight w:val="none"/>
          <w:lang w:val="en-US" w:eastAsia="zh-CN" w:bidi="ar"/>
        </w:rPr>
        <w:t>价款20%的违约金并赔偿发包人的实际损失</w:t>
      </w:r>
      <w:r>
        <w:rPr>
          <w:rFonts w:hint="eastAsia" w:ascii="宋体" w:hAnsi="宋体" w:eastAsia="宋体" w:cs="宋体"/>
          <w:bCs/>
          <w:color w:val="auto"/>
          <w:kern w:val="0"/>
          <w:sz w:val="24"/>
          <w:szCs w:val="24"/>
          <w:highlight w:val="none"/>
          <w:lang w:val="en-US" w:eastAsia="zh-CN" w:bidi="ar"/>
        </w:rPr>
        <w:t>。</w:t>
      </w:r>
    </w:p>
    <w:p w14:paraId="2B8AC5D2">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38.9材料设备管理方面的违约责任</w:t>
      </w:r>
    </w:p>
    <w:p w14:paraId="1318C2A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（1）发包人（包括发包人委托的材料设备检验机构）或总监理工程师抽查承包人的工程材料设备（主要为：</w:t>
      </w:r>
      <w:r>
        <w:rPr>
          <w:rFonts w:hint="eastAsia" w:ascii="宋体" w:hAnsi="宋体" w:eastAsia="宋体" w:cs="宋体"/>
          <w:b/>
          <w:bCs w:val="0"/>
          <w:color w:val="auto"/>
          <w:kern w:val="0"/>
          <w:sz w:val="24"/>
          <w:szCs w:val="24"/>
          <w:highlight w:val="none"/>
          <w:lang w:val="en-US" w:eastAsia="zh-CN" w:bidi="ar"/>
        </w:rPr>
        <w:t xml:space="preserve"> </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甲招乙供材料设备   </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甲管乙供材料设备、乙供材料设备），发现所检查的材料与合同约定标准的任何一项不符合时，承包人除必须全部退货、返工，并赔偿发包人由此遭受的实际损失外，还应当根据该批次材料的价值，按照如下约定承担违约责任：</w:t>
      </w:r>
    </w:p>
    <w:p w14:paraId="0214EC0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A、单宗或批次价值不到5万元的材料设备抽检不合格的，每发生3例，由承包人承担1次一般违约责任。</w:t>
      </w:r>
    </w:p>
    <w:p w14:paraId="75C0F0A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B、单宗或批次价值达到5万元不到10万元的材料设备抽检不合格的，每发生1例，由承包人承担1次一般违约责任。</w:t>
      </w:r>
    </w:p>
    <w:p w14:paraId="619325D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C、单宗或批次价值达到10万元不到50万元的材料设备抽检不合格的，每发生1例，由承包人承担1次严重违约责任。</w:t>
      </w:r>
    </w:p>
    <w:p w14:paraId="0087D6F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D、单宗或批次价值达到50万元以上的材料设备抽检不合格的，每发生1例，发包人有权单方面部分解除合同或解除合同。</w:t>
      </w:r>
    </w:p>
    <w:p w14:paraId="424C692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承包人必须保证用于本工程所有的材料设备的品牌、型号、规格、质量等符合本合同及招投标文件或公开择优竞价文件的要求。如发生不符合上述要求的情况（属于不可抗力或不可归责于承包人事由造成的除外），承包人必须无条件在发包人限定的时间内全部更换为符合要求的产品，并由承包人按所需更换的符合要求的货物价款的20%向发包人支付违约金，因此给发包人造成损失的，由承包人负责赔偿；同时，发包人有权将承包人的上述行为通过媒体公开披露，并移送有关主管部门依法处理。如因此致使发包人需要另行采购符合本合同及招投标文件或公开择优竞价文件要求的货物的，由承包人按另行采购的货物总价款的120%向发包人支付违约金。</w:t>
      </w:r>
    </w:p>
    <w:p w14:paraId="54BD3A55">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承包人不按合同专用条款第七章的约定对用于本工程的材料设备进行管理的，视同不服从发包人及监理单位管理，应按合同专用条款第38.7（1）款的约定承担违约责任；同时发包人有权暂停支付本工程进度款，直到承包人完成相关工作为止。</w:t>
      </w:r>
    </w:p>
    <w:p w14:paraId="2B8E31C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38.10工程质量方面的违约责任</w:t>
      </w:r>
    </w:p>
    <w:p w14:paraId="3951DF3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（1）承包人必须对各工序报验核查质量控制点。承包人申请报验后，经总监理工程师或发包人检查发现存在较大质量问题（存在质量问题的部分超过检查部分工程的10%）的，则该工序质量为不合格，承包人必须</w:t>
      </w:r>
      <w:r>
        <w:rPr>
          <w:rFonts w:hint="eastAsia" w:ascii="宋体" w:hAnsi="宋体" w:eastAsia="宋体" w:cs="宋体"/>
          <w:bCs/>
          <w:color w:val="auto"/>
          <w:kern w:val="0"/>
          <w:sz w:val="24"/>
          <w:szCs w:val="24"/>
          <w:highlight w:val="none"/>
          <w:lang w:val="en-US" w:eastAsia="zh-CN" w:bidi="ar"/>
        </w:rPr>
        <w:t>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14:paraId="41A075D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工程竣工验收不符合国家强制性标准及规范要求或者未能实现一次验收合格的，承包人除应向发包人支付本工程合同价款的20%作为违约金并无偿采取补救措施及赔偿发包人的实际损失外，还应承担由此引起的一切责任。</w:t>
      </w:r>
    </w:p>
    <w:p w14:paraId="3BA3A6D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在本工程质量保修期内发现有重大质量问题的（该重大质量问题应界定为达不到要求的质量标准，属质量保修的问题除外），承包人必须在规定的期限内返工达到合同约定的质量等级并赔偿由此给发包人造成的损失，同时按所在工程合同价款的5%向发包人支付违约金。</w:t>
      </w:r>
    </w:p>
    <w:p w14:paraId="6C6290F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（4）由于承包人的原因发生工程质量事故的，承包人应全额赔偿发包人的损失并承担相关法律责任。</w:t>
      </w:r>
    </w:p>
    <w:p w14:paraId="3724047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strike/>
          <w:color w:val="auto"/>
          <w:kern w:val="0"/>
          <w:sz w:val="24"/>
          <w:szCs w:val="24"/>
          <w:highlight w:val="none"/>
        </w:rPr>
      </w:pPr>
      <w:r>
        <w:rPr>
          <w:rFonts w:hint="eastAsia" w:ascii="宋体" w:hAnsi="宋体" w:eastAsia="宋体" w:cs="宋体"/>
          <w:bCs/>
          <w:strike/>
          <w:color w:val="auto"/>
          <w:kern w:val="0"/>
          <w:sz w:val="24"/>
          <w:szCs w:val="24"/>
          <w:highlight w:val="none"/>
          <w:lang w:val="en-US" w:eastAsia="zh-CN" w:bidi="ar"/>
        </w:rPr>
        <w:t>（5）若工程未取得本合同约定的必须取得的工程质量奖，承包人应向发包人支付所在工程审定结算总价2％的违约金。</w:t>
      </w:r>
    </w:p>
    <w:p w14:paraId="29F422F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38.11安全生产方面的违约责任</w:t>
      </w:r>
    </w:p>
    <w:p w14:paraId="75DF56D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承包人在政府行政主管部门组织的安全生产检查中，被发现存在严重的安全隐患，被通报批评，或被新闻媒体曝光造成不良影响的，被通报或被曝光一次，承包人必须承担1次严重违约责任；造成严重社会影响或累计被通报或被曝光3次以上（含本数）的，发包人有权解除合同</w:t>
      </w:r>
      <w:r>
        <w:rPr>
          <w:rFonts w:hint="eastAsia" w:ascii="宋体" w:hAnsi="宋体" w:eastAsia="宋体" w:cs="宋体"/>
          <w:bCs/>
          <w:color w:val="auto"/>
          <w:kern w:val="0"/>
          <w:sz w:val="24"/>
          <w:szCs w:val="24"/>
          <w:highlight w:val="none"/>
          <w:lang w:val="en-US" w:eastAsia="zh-CN" w:bidi="ar"/>
        </w:rPr>
        <w:t>。</w:t>
      </w:r>
    </w:p>
    <w:p w14:paraId="3E3E78F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14:paraId="3C32059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（3）承包人因自身原因造成安全事故的，除按国家规定由主管部门处罚外，承包人必须依照下列约定承担违约责任：</w:t>
      </w:r>
    </w:p>
    <w:p w14:paraId="4137FDE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1）发生特别重大事故，承包人按事故所造成损失金额的15%向发包人支付违约金，同时违约金的数额不得低于40万元；</w:t>
      </w:r>
    </w:p>
    <w:p w14:paraId="3C61F09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2）发生重大事故，承包人按事故所造成损失金额的12%向发包人支付违约金，同时违约金的数额不得低于30万元；</w:t>
      </w:r>
    </w:p>
    <w:p w14:paraId="772773F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3）发生较大事故，承包人按事故所造成损失金额的10%向发包人支付违约金，同时违约金数额不得低于20万元；</w:t>
      </w:r>
    </w:p>
    <w:p w14:paraId="24C9629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4）发生一般事故，承包人按事故所造成损失金额的8%向发包人支付违约金，同时违约金数额不得低于10万元。</w:t>
      </w:r>
    </w:p>
    <w:p w14:paraId="002987C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发生上述安全事故，发包人给予承包人1次严重违约处罚，直至部分或全部解除合同。情节较轻的，给予1次一般违约处罚。</w:t>
      </w:r>
    </w:p>
    <w:p w14:paraId="65A33F0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承包人依照上述约定支付违约金后，所支付的违约金不足以弥补由此给发包人造成的损失的，承包人还须补偿发包人的其他损失。</w:t>
      </w:r>
    </w:p>
    <w:p w14:paraId="7FFCCFC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38.12文明施工、环境保护方面的违约责任</w:t>
      </w:r>
    </w:p>
    <w:p w14:paraId="3961603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发包人、总监理工程师按照合同专用条款第24.1款的约定，对承包人文明施工措施进行对照检查。经检查发现承包人因自身原因未能落实的，承包人必须承担1次一般违约责任，并限期改正；如限期届满未改正的，承包人须承担1次严重违约责任。</w:t>
      </w:r>
    </w:p>
    <w:p w14:paraId="283AB05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在行业主管部门的检查中，承包人的施工场地被评为不合格工地或者被通报批评或者被新闻媒体曝光的，承包人必须承担1次严重违约责任，并立即采取切实有效措施予以整改；拒不采取切实有效措施整改或整改效果不明显的，发包人有权部分或全部解除合同。</w:t>
      </w:r>
    </w:p>
    <w:p w14:paraId="693257F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14:paraId="133D053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38.13工程转包、分包方面的违约责任</w:t>
      </w:r>
    </w:p>
    <w:p w14:paraId="3DD4F94D">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转包工程或者违法分包工程，经建设行政主管部门调查核实并作出处理决定的，发包人将严格服从建设行政主管部门的处理决定，同时发包人有权决定是否解除合同。因承包人转包工程或者违法分包工程给发包人造成损失的，发包人有权要求赔偿。</w:t>
      </w:r>
    </w:p>
    <w:p w14:paraId="20355D2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38.14施工人员工资支付方面的违约责任</w:t>
      </w:r>
    </w:p>
    <w:p w14:paraId="0E2B71D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承包人违反合同专用条款第9.5（2）款的约定，被施工人员投诉或上访属实的，承包人必须在3天内发放拖欠的款项。若继续拖延被投诉2次及以上，经查实，承包人必须承担1次一般违约责任。若仍然不予整改并发放拖欠的款项，使施工人员采取停工、集聚围阻发包人办公地点甚至政府办公部门、阻塞交通要道、围堵或破坏、拆除已移交发包人的工程等过激行动的，承包人必须承担1次严重违约责任，并立即采取切实有效措施予以整改；拒不采取切实有效措施整改或整改效果不明显的，发包人有权部分或全部解除合同。</w:t>
      </w:r>
    </w:p>
    <w:p w14:paraId="55065AF8">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由于承包人或其管理的分包单位（包括施工专业分包、供货分包及劳务分包单位等）拖欠施工人员工资致使发包人被投诉或起诉并被判令先行垫付施工人员工资的，承包人除承担1次严重违约责任外，还应向发包人支付发包人先行垫付的施工人员工资金额的120%作为补偿。</w:t>
      </w:r>
    </w:p>
    <w:p w14:paraId="4F4DC52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（3）因承包人违约导致发包人暂停支付工程款时，承包人不得以此为理由拖欠施工人员工资，在发包人和承包人就暂停支付工程款问题解决之前，承包人有义务先行支付其所属工人工资。</w:t>
      </w:r>
    </w:p>
    <w:p w14:paraId="72D49CA5">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承包人不按合同及有关规定按时、足额支付分包单位合同价款及施工人员工资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14:paraId="299D0978">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38.15除上述约定之外，承包人不履行或不完全履行合同其他义务的，均构成违约，应当承担1次一般违约责任。情节较轻的，可给予书面警告；情节较重的，应当承担1次严重违约责任。</w:t>
      </w:r>
    </w:p>
    <w:p w14:paraId="1B00CA3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38.16承包人违约责任的认定方式、送达程序及违约金的处理</w:t>
      </w:r>
    </w:p>
    <w:p w14:paraId="7F1A0BC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（1）认定方式：以发包人发出的通知、通报、会议纪要等书面文件确定的内容为准。</w:t>
      </w:r>
    </w:p>
    <w:p w14:paraId="0CBFF33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（2）送达程序：发包人以下列方式之一将书面违约处理决定送达承包人：</w:t>
      </w:r>
    </w:p>
    <w:p w14:paraId="6B4ABE1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1）承包人现场管理机构工作人员签收。</w:t>
      </w:r>
    </w:p>
    <w:p w14:paraId="1DDF80B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2）承包人其他工作人员签收。</w:t>
      </w:r>
    </w:p>
    <w:p w14:paraId="18A1E3C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3）发包人邮寄送达。</w:t>
      </w:r>
    </w:p>
    <w:p w14:paraId="2ADA9B2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发包人以书面形式作出的违约处理决定一经送达承包人立即生效。承包人如有足够证据证明不应由其承担违约责任的，属不需支付违约金的，应在收到违约处理决定后3天内以书面形式向发包人提出异议并附上有关证据；属需要支付违约金的，应在工程结算报告送达监理单位前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02984F8A">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39、索赔</w:t>
      </w:r>
    </w:p>
    <w:p w14:paraId="3E9D641C">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承包人与发包人一致同意不适用合同通用条款第39.2、39.3款的约定，代之以：</w:t>
      </w:r>
    </w:p>
    <w:p w14:paraId="20BA688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39.2承包人向发包人索赔的程序</w:t>
      </w:r>
    </w:p>
    <w:p w14:paraId="7F9EE4AA">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当索赔事件首次发生后的14天内，承包人将自己的索赔意向书面通知监理单位，并呈交给发包人一份副本。若索赔事件首次发生后的14天内，承包人未提出索赔意向书，则从第15天起，监理单位及发包人有权拒绝承包人的索赔要求。</w:t>
      </w:r>
    </w:p>
    <w:p w14:paraId="54914171">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承包人应保持索赔事件同期记录，以便合理地证明承包人后来要申请的索赔。监理单位在收到承包人的索赔意向通知时，应先检查这些同期记录，并可指定承包人进一步做好同期记录，承包人应允许监理单位检查全部记录，并在监理单位发出指令时提供记录的副本。</w:t>
      </w:r>
    </w:p>
    <w:p w14:paraId="60F7F36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承包人应在发出索赔意向通知后的14天内，向监理单位报送一份说明索赔所依据的理由和索赔款额的具体细节帐目的索赔报告。如果索赔事件尚未结束，承包人在索赔事件结束后的14天内，再报一份最终索赔报告给监理单位。</w:t>
      </w:r>
    </w:p>
    <w:p w14:paraId="5F6AB1F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监理单位在收到承包人索赔报告或最终索赔报告后14天内，将处理意见书面通知发包人、承包人双方。若双方接受，此索赔事件结束；若任何一方不接受，经再次协商仍达不成一致的，则按合同专用条款第40条的约定处理。</w:t>
      </w:r>
    </w:p>
    <w:p w14:paraId="52BF3FAA">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39.3承包人未能按合同约定履行自己的各项义务或发生错误，发包人按如下约定向承包人索赔：</w:t>
      </w:r>
    </w:p>
    <w:p w14:paraId="2E687C12">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（1）发包人将自己的索赔意向书面通知承包人（同时抄送其保证人），要求承包人在限期内纠正其违约行为，否则发包人将考虑按合同约定作出相关处理决定。</w:t>
      </w:r>
    </w:p>
    <w:p w14:paraId="3F9E23B5">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限期届满，承包人没有用实际行动纠正自己的违约行为或者纠正行为不能使发包人满意或者纠正行为无法弥补发包人的损失的，则发包人直接按合同约定作出相关处理决定并向保证人发出正式书面索赔通知。</w:t>
      </w:r>
    </w:p>
    <w:p w14:paraId="71420C16">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如果通过向保证人索赔的方式依然不能完全弥补发包人的损失，则发包人有权在应支付给承包人的工程款中直接扣取。同时发包人有权要求承包人在规定时间内按合同专用条款第44.5款的约定向发包人补充提交履约担保。</w:t>
      </w:r>
    </w:p>
    <w:p w14:paraId="6237789E">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（4）如果通过向保证人索赔以及直接扣取工程款等方式依然不能完全弥补发包人损失的，承包人必须在发包人规定的时间内以现金形式支付剩余索赔额，否则发包人将按合同专用条款第40条的约定处理。</w:t>
      </w:r>
    </w:p>
    <w:p w14:paraId="20A8A6AE">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承包人与发包人一致同意增加39.4：</w:t>
      </w:r>
    </w:p>
    <w:p w14:paraId="3669F73C">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39.4在任何索赔期间，不论索赔是否有据，均不能免除承包人按合同约定履行合同义务。承包人不得以此为借口，拒不履行或拖延合同的履行，否则发包人有权单方面终止合同，并要求承包人赔偿由此导致的发包人的损失。</w:t>
      </w:r>
    </w:p>
    <w:p w14:paraId="5CD181C6">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40、争议</w:t>
      </w:r>
    </w:p>
    <w:p w14:paraId="64C3E41F">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40.1因本合同或者履行本合同所产生的争议，由发包人与承包人双方协商解决，经协商达成一致意见的，应签订书面协议；协商不成的，可向工程所在地有关主管部门申请调解；调解不成的，双方均可向工程所在地人民法院提起诉讼。</w:t>
      </w:r>
    </w:p>
    <w:p w14:paraId="58D67166">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承包人与发包人一致同意增加40.3：</w:t>
      </w:r>
    </w:p>
    <w:p w14:paraId="55F01278">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40.3承包人无条件承诺：争议发生后，承包人必须在做好现场证据保全后继续按照合同要求施工，不得以解决争议为由单方面停工，或者以争议解决需要时日为由拖延施工；否则，发包人有权先行解除与承包人的合同，承包人必须在7天内撤场。承包人的撤场不影响发包人另行解决争议和索赔的权利。</w:t>
      </w:r>
    </w:p>
    <w:p w14:paraId="3E2F5168">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4B73E26">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十一、其他</w:t>
      </w:r>
    </w:p>
    <w:p w14:paraId="184BF971">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41、工程分包</w:t>
      </w:r>
    </w:p>
    <w:p w14:paraId="0AD9BF6E">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41.1本工程的主体及关键性工作必须由承包人自行完成，不得分包。非主体、非关键性工作的分包应当在投标文件中载明或者经发包人同意，承包人应严格按照招投标文件的约定或发包人限定的时间与分包单位签订分包合同。</w:t>
      </w:r>
    </w:p>
    <w:p w14:paraId="521DF6E1">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41.2承包人应严格按照《房屋建筑和市政基础设施工程施工分包管理办法》(2014年住房和城乡建设部令第19号修改)、《</w:t>
      </w:r>
      <w:r>
        <w:rPr>
          <w:rFonts w:hint="eastAsia" w:ascii="宋体" w:hAnsi="宋体" w:eastAsia="宋体" w:cs="宋体"/>
          <w:color w:val="auto"/>
          <w:kern w:val="2"/>
          <w:sz w:val="24"/>
          <w:szCs w:val="24"/>
          <w:highlight w:val="none"/>
          <w:lang w:val="en-US" w:eastAsia="zh-CN" w:bidi="ar"/>
        </w:rPr>
        <w:t>建筑工程施工发包与承包违法行为认定查处管理办法</w:t>
      </w:r>
      <w:r>
        <w:rPr>
          <w:rFonts w:hint="eastAsia" w:ascii="宋体" w:hAnsi="宋体" w:eastAsia="宋体" w:cs="宋体"/>
          <w:color w:val="auto"/>
          <w:kern w:val="0"/>
          <w:sz w:val="24"/>
          <w:szCs w:val="24"/>
          <w:highlight w:val="none"/>
          <w:lang w:val="en-US" w:eastAsia="zh-CN" w:bidi="ar"/>
        </w:rPr>
        <w:t>》（建市规〔2019〕1号）等相关规定和本合同的约定做好分包管理工作，禁止将承包的工程进行转包或违法分包，禁止转让、出借企业资质证书或者以其他方式允许他人以本企业名义承揽工程，严禁个人承揽分包工程业务。</w:t>
      </w:r>
    </w:p>
    <w:p w14:paraId="250F2802">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承包人与发包人一致同意增加41.5至41.11：</w:t>
      </w:r>
    </w:p>
    <w:p w14:paraId="7AF97E9C">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41.5承包人不履行合同约定，将其承包的全部工程发包给他人，或者将其承包的全部工程肢解后以分包的名义分别发包给他人的，属于转包行为；将工程分包后，未在施工现场设立项目管理机构和派驻相应人员，未对该工程的施工活动进行组织管理的，视同转包行为。</w:t>
      </w:r>
    </w:p>
    <w:p w14:paraId="66290595">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41.6下列行为，属于违法分包：</w:t>
      </w:r>
    </w:p>
    <w:p w14:paraId="1BF49E88">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（1）承包人将专业工程或者劳务作业分包给不具备相应资质条件的分包人的；</w:t>
      </w:r>
    </w:p>
    <w:p w14:paraId="11AE4F70">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（2）本合同中未有约定，又未经发包人认可，承包人将承包工程中的部分专业工程分包给他人的。</w:t>
      </w:r>
    </w:p>
    <w:p w14:paraId="0C9A3004">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41.7承包人虽然没有将其承包的工程进行分包，但在施工现场所设项目管理机构的项目经理、技术管理人员、核算管理人员、质量管理人员、安全管理人员不是承包人本单位人员的，视同允许他人以本企业名义承揽工程。</w:t>
      </w:r>
    </w:p>
    <w:p w14:paraId="527FCCF4">
      <w:pPr>
        <w:keepNext w:val="0"/>
        <w:keepLines w:val="0"/>
        <w:widowControl w:val="0"/>
        <w:suppressLineNumbers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41.8承包人应参照合同专用条款第7条、第9条的有关约定，在发包人批准分包后5天内将分包单位工程现场组织管理人员名单及劳动力、施工机械设备投入计划报送发包人且负责落实到位，并接受总监理工程师和发包人代表的查验。</w:t>
      </w:r>
    </w:p>
    <w:p w14:paraId="09E7F3D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41.9分包工程价款由承包人与发包人结算。承包人应按本合同及分包合同的有关约定及时审核、申请支付各种工程、劳务及材料设备款项，并向发包人提交下列资料：</w:t>
      </w:r>
    </w:p>
    <w:p w14:paraId="3955353A">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（1）属专业工程分包的，应向发包人提交分包人提交给承包人的履约担保文件复印件（应同时携带原件供发包人复核），具体按招标文件或发包人要求执行。</w:t>
      </w:r>
    </w:p>
    <w:p w14:paraId="79755D8C">
      <w:pPr>
        <w:keepNext w:val="0"/>
        <w:keepLines w:val="0"/>
        <w:widowControl w:val="0"/>
        <w:suppressLineNumbers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（2）属材料设备供货的，应向发包人提交供货商提交给承包人的履约担保文件复印件（应同时携带原件供发包人复核），具体按招标文件或发包人要求执行。</w:t>
      </w:r>
    </w:p>
    <w:p w14:paraId="4346D429">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bCs/>
          <w:i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41.10承包人与发包人一致同意，本工程的所有分包单位（含材料设备供货单位）全部纳入发包人统一组织的考评，并按合同约定和发包人的有关管理规定承担相应义务，享有相应权利。考评结果中涉及对本合同价款的转付或扣取的，承包人承诺无条件服从。</w:t>
      </w:r>
    </w:p>
    <w:p w14:paraId="4BAB4BB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41.11承包人擅自更换投标时填报或经发包人审核后认可的专业分包单位，承包人承担50万元/次的违约赔偿责任；如果承包人投标时填报的专业分包单位不能满足合同约定的要求，必须另择符合要求的专业分包单位，经发包人审核确认后承担专业工程任务（发包人的审核确认并不免除承包人的相关责任及义务）。</w:t>
      </w:r>
    </w:p>
    <w:p w14:paraId="506E41C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41.12如发现承包人有转包、违法分包及挂靠等违法行为相关线索，发包人将约谈承包人。承包人若无法作出合理解释，无法提供或提供的材料不能证明其不存在线索所示违法行为的，发包人将上报行业行政主管部门，相应的法律后果及由此产生的一切损失由承包人承担。</w:t>
      </w:r>
    </w:p>
    <w:p w14:paraId="32D3026F">
      <w:pPr>
        <w:keepNext w:val="0"/>
        <w:keepLines w:val="0"/>
        <w:widowControl w:val="0"/>
        <w:suppressLineNumbers w:val="0"/>
        <w:adjustRightInd w:val="0"/>
        <w:snapToGrid w:val="0"/>
        <w:spacing w:before="0" w:beforeAutospacing="0" w:after="0" w:afterAutospacing="0" w:line="360" w:lineRule="auto"/>
        <w:ind w:left="0" w:right="0" w:firstLine="480"/>
        <w:jc w:val="both"/>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42、不可抗力</w:t>
      </w:r>
    </w:p>
    <w:p w14:paraId="4DD4513B">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42.1不可抗力，是指不能预见、不能避免并不能克服，对本工程的施工造成重大实质性影响的自然灾害和战争、动乱（不包括承包人内部的任何纠纷和纷争）等事件。政府对本工程的政策变化、计划的调整，导致本工程不能如期进行，也属不可抗力的范围。</w:t>
      </w:r>
    </w:p>
    <w:p w14:paraId="2C11B09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自然灾害的范围及其认定方式，按如下约定执行：</w:t>
      </w:r>
    </w:p>
    <w:p w14:paraId="187887E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1）异常天气：仅指50年（含50年）一遇以上的洪水或10级（含10级）以上的台风。因异常天气袭击工地为确保安全而停工的，承包人应于台风、洪水天气结束之日起七日内，向当地气象部门索取工程所在地台风、暴雨天气资料或报告（含气象实况及对此分析的内容），连同</w:t>
      </w:r>
      <w:r>
        <w:rPr>
          <w:rFonts w:hint="eastAsia" w:ascii="宋体" w:hAnsi="宋体" w:eastAsia="宋体" w:cs="宋体"/>
          <w:color w:val="auto"/>
          <w:kern w:val="0"/>
          <w:sz w:val="24"/>
          <w:szCs w:val="24"/>
          <w:highlight w:val="none"/>
          <w:lang w:val="en-US" w:eastAsia="zh-CN" w:bidi="ar"/>
        </w:rPr>
        <w:t>施工</w:t>
      </w:r>
      <w:r>
        <w:rPr>
          <w:rFonts w:hint="eastAsia" w:ascii="宋体" w:hAnsi="宋体" w:eastAsia="宋体" w:cs="宋体"/>
          <w:bCs/>
          <w:color w:val="auto"/>
          <w:kern w:val="0"/>
          <w:sz w:val="24"/>
          <w:szCs w:val="24"/>
          <w:highlight w:val="none"/>
          <w:lang w:val="en-US" w:eastAsia="zh-CN" w:bidi="ar"/>
        </w:rPr>
        <w:t>日志、现场照片办理证据保全公证，方可认定为是不可抗力。</w:t>
      </w:r>
    </w:p>
    <w:p w14:paraId="7386084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（2）里氏5级（含5级）以上的地震。</w:t>
      </w:r>
    </w:p>
    <w:p w14:paraId="11EEAB0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42.3因不可抗力引起工程停工的，工期按合同专用条款第13条的有关约定执行，费用承担按如下约定执行：</w:t>
      </w:r>
    </w:p>
    <w:p w14:paraId="50AB768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（1）工程本身的损害，由发包人承担。</w:t>
      </w:r>
    </w:p>
    <w:p w14:paraId="7F59A69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（2）因工程损害导致第三方人员伤亡和财产损失，如系在工程竣工验收合格移交给发包人使用前造成的，费用由承包人承担；如系在工程竣工验收合格移交给发包人使用后发生的，费用由发包人承担。</w:t>
      </w:r>
    </w:p>
    <w:p w14:paraId="2F76E27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（3）运至施工场地用于施工的材料和待安装的设备的损害，属发包人供应的由发包人承担；属承包人采购的由承包人承担。</w:t>
      </w:r>
    </w:p>
    <w:p w14:paraId="6BC7B16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（4）发包人、承包人的人员伤亡由其所在单位负责，并承担相应费用。</w:t>
      </w:r>
    </w:p>
    <w:p w14:paraId="47775DE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（5）承包人机械设备损坏及停工损失，由承包人承担。</w:t>
      </w:r>
    </w:p>
    <w:p w14:paraId="77988EA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（6）停工期间，承包人应总监理工程师要求留在施工场地的必要的管理人员及保卫人员的费用由承包人承担。</w:t>
      </w:r>
    </w:p>
    <w:p w14:paraId="65735B9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（7）工程所需清理、修复费用，由承包人承担。</w:t>
      </w:r>
    </w:p>
    <w:p w14:paraId="55588F38">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43、保险</w:t>
      </w:r>
    </w:p>
    <w:p w14:paraId="3E453B3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43.6双方同意按照以下约定购买工程保险：</w:t>
      </w:r>
    </w:p>
    <w:p w14:paraId="3D814B5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由发包人购买的保险：发包人就本工程项目购买建筑（安装）工程一切险、安全生产责任险中第三者人身伤亡和财产损失赔偿等保险、其他保险（为运至施工场地内用于工程的材料和待安装工程设备办理）；前述保险事项委托承包人进行购买，承包人应当在开工前向具备相应资格的保险人投保，该保险费已包含在本合同价款中，具体支付和结算方式按照合同专用条款28.2的约定执行。</w:t>
      </w:r>
    </w:p>
    <w:p w14:paraId="4A2E513B">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A：保险责任</w:t>
      </w:r>
    </w:p>
    <w:p w14:paraId="24A4D5B9">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建筑（安装）工程一切险保险责任：保险人负责赔偿在工程项目所在工地和中华人民共和国境内地域范围内其它地方，属于被保险人或其负有责任的永久性工程、临时工程、辅助工程和与此有关的设备、材料等（包括场地外堆放和任何形式的运输），包括在保险期限终止前由工程所有人（或发包人）签发完工验收证书或验收合格或实际占有或使用或接收的部分，因自然灾害及意外事故导致的损失，包括因此而产生的施救费用、清理场地费用及其他费用项目。</w:t>
      </w:r>
    </w:p>
    <w:p w14:paraId="105FE5B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安全生产责任险中的第三者人身伤亡和财产损失赔偿等保险责任：保险人负责赔偿因发生与保险工程（包括在保险期限终止前由工程所有人（或发包人）签发完工验收证书或验收合格或实际占有或使用或接收的部分）直接相关的包括但不限于施工所致意外事故引起工地内及邻近区域的第三者人身伤亡和财产损失赔偿以及因此造成的事故抢险救援、医疗救护、事故鉴定、法律服务和诉讼等费用。</w:t>
      </w:r>
    </w:p>
    <w:p w14:paraId="282C9E7C">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B：保险人资格</w:t>
      </w:r>
    </w:p>
    <w:p w14:paraId="0F4C91C3">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安全生产责任险保险人应在中华人民共和国境内依法注册并具有相应承保服务能力，遵照法律法规开展安责险业务。同属一家公司的保险机构应向上级公司申请授权在广州市注册唯一地市级分支机构统筹开展房屋建筑工程相关的安责险业务，并告知广州市安全生产委员会办公室（广州市应急管理局）、广州市住房和城乡建设局。其他保险人应为在中华人民共和国境内注册具有独立法人资格的保险公司总公司或经其唯一授权的省/市级分支机构。上述分支机构必须获得保险公司总公司法定代表人授权其参加本次承保的授权书；</w:t>
      </w:r>
    </w:p>
    <w:p w14:paraId="76E3703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保险人必须为经中国银行保险监督管理委员会批准在中华人民共和国境内设立和营业，且自身依法持有中国银行保险监督管理委员会或其派出机构颁发的包含本项目承保范围的保险业务许可证（业务范围包括财产保险和责任保险）。</w:t>
      </w:r>
    </w:p>
    <w:p w14:paraId="3401350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C：保险期限</w:t>
      </w:r>
    </w:p>
    <w:p w14:paraId="6BFB46D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自保单生效之日起至合同约定项目工程竣工验收且完成竣工联合验收取得批复意见之日止，且保单生效之日必须不迟于工程开工之日。</w:t>
      </w:r>
    </w:p>
    <w:p w14:paraId="747D647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（2）承包人应当购买的保险包括：</w:t>
      </w:r>
    </w:p>
    <w:p w14:paraId="1B8E73F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1）建筑职工意外伤害险（足额购买）、</w:t>
      </w:r>
    </w:p>
    <w:p w14:paraId="08CB647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2）安全生产责任险中施工单位从业人员（含劳务派遣人员）人身伤亡和损害、赔偿以及因此造成的事故抢险救援、医疗救护、事故鉴定、法律服务和诉讼等相关保险（足额购买）；</w:t>
      </w:r>
    </w:p>
    <w:p w14:paraId="2CB5D22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3）承包人雇主责任险；</w:t>
      </w:r>
    </w:p>
    <w:p w14:paraId="7CA0DC4A">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4）施工机械设备保险；</w:t>
      </w:r>
    </w:p>
    <w:p w14:paraId="51E59B49">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5）建筑业职工工伤保险[按《广东省人力资源和社会保障厅  广东省财政厅 国家税务总局广东省税务局关于印发广东省工伤保险基金省级统筹实施方案的通知》（粤人社规[2019]20号）和《关于进一步做好我省建筑业工伤保险工作的实施意见》（粤人社规﹝2015﹞5号）的规定购买]。</w:t>
      </w:r>
    </w:p>
    <w:p w14:paraId="2EA4C5E6">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（3）承包人不按上述约定购买保险或保险购买不足额所产生的一切后果，由承包人自行承担。</w:t>
      </w:r>
    </w:p>
    <w:p w14:paraId="78D41BA4">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44、履约担保</w:t>
      </w:r>
    </w:p>
    <w:p w14:paraId="372AD1F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44.3双方同意，承包人按如下约定向发包人提供履约担保：</w:t>
      </w:r>
    </w:p>
    <w:p w14:paraId="2F78516A">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本合同签订后30日内，承包人按合同附件载明的格式向发包人提交由在中华人民共和国注册且营业地点在广州市行政辖区内并经发包人认可的担保机构开出的担保金额为合同价款现金支付部分金额10%的《履约担保》原件。</w:t>
      </w:r>
    </w:p>
    <w:p w14:paraId="5BA4329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承包人如未能在上述约定的时间内提交履约担保的，发包人有权取消承包人中标资格并解除合同，给发包人造成损失的，发包人有权要求承包人承担赔偿责任。</w:t>
      </w:r>
    </w:p>
    <w:p w14:paraId="3B95ECE0">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承包人需保证履约担保在本合同整个履行期间的有效性；若因工程延期或因其他原因导致担保期限未涵盖本合同整个有效期的，承包人应在担保有效期届满前45天办理履约担保续期手续，并于原担保有效期届满前10天向发包人提交同样格式且更新日期后的有效履约担保，以替代原履约担保。关于新履约担保担保金额：</w:t>
      </w:r>
    </w:p>
    <w:p w14:paraId="7962BED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（1）若承包人已完成实体工程并无欠付发包人相关费用的，则无论原履约担保是否到期，承包人均可申请提交担保金额为原担保金额30%的新履约担保替换原履约担保。经监理单位及发包人审核同意后方可执行。</w:t>
      </w:r>
    </w:p>
    <w:p w14:paraId="6D21E6A3">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（2）若承包人未完成实体工程的，则须按原担保金额办理履约担保续期手续。</w:t>
      </w:r>
    </w:p>
    <w:p w14:paraId="3488625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若履约担保到期，承包人未按合同约定更新履约担保的，应按以下约定承担违约责任，且发包人有权以不超过原担保金额为限暂停支付余下的合同价款，直至承包人提交新履约担保或本项目分部（子分部）工程质量验收记录（或专业验收记录）及专业工程竣工图。</w:t>
      </w:r>
    </w:p>
    <w:p w14:paraId="4A8F9513">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（1）自原担保期限届满之日起5日内未提交新履约担保的，给予书面警告并限期整改。</w:t>
      </w:r>
    </w:p>
    <w:p w14:paraId="0381F3A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（2）若原担保过期达10天（含）仍未提交新履约担保的，则承包人承担一般违约责任；若原担保过期达30天（含）仍未提交新履约担保的，则承包人须再承担严重违约责任。</w:t>
      </w:r>
    </w:p>
    <w:p w14:paraId="3DE24B98">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若原担保过期达60天（含）仍未提交新履约担保的，则承包人除按上述约定承担违约责任外，自原担保届满第60天起，承包人应向发包人支付违约金☑20000元/天、□50000元/天、□100000元/天，直至承包人提交新履约担保或本项目分部（子分部）工程质量验收记录（或专业验收记录）及专业工程竣工图。</w:t>
      </w:r>
    </w:p>
    <w:p w14:paraId="0E6A06F1">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承包人与发包人一致同意增加44.4至44.7：</w:t>
      </w:r>
    </w:p>
    <w:p w14:paraId="11359083">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44.4承包人提交的履约担保是对本合同约定的承包人的全部义务（包括但不限于承包人违约后应支付的违约金和赔偿金）的担保，承包人的任何一次不履行或不完全履行合同义务的行为，发包人均有权向保证人提出索赔。</w:t>
      </w:r>
    </w:p>
    <w:p w14:paraId="2195230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44.5承包人不履行或不完全履行合同义务的行为导致发包人依据履约担保向保证人索赔担保金额的一部分或者全部的，承包人必须在发包人规定的时间内补充提交履约担保，使得本合同履行期间有效的担保金额等于承包人第一次提交的担保金额。</w:t>
      </w:r>
    </w:p>
    <w:p w14:paraId="1E14AB7B">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44.6如果承包人不按发包人的要求及时补充提交履约担保，则发包人有权单方面部分解除或解除本合同，并按合同专用条款第38.4（4）、（5）及47.9、47.10、47.11款的有关约定执行。</w:t>
      </w:r>
    </w:p>
    <w:p w14:paraId="79D0A468">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44.7承包人提供本项目分部（子分部）工程质量验收记录（或专业验收记</w:t>
      </w:r>
      <w:r>
        <w:rPr>
          <w:rFonts w:hint="eastAsia" w:ascii="宋体" w:hAnsi="宋体" w:eastAsia="宋体" w:cs="宋体"/>
          <w:color w:val="auto"/>
          <w:kern w:val="2"/>
          <w:sz w:val="24"/>
          <w:szCs w:val="24"/>
          <w:highlight w:val="none"/>
          <w:lang w:val="en-US" w:eastAsia="zh-CN" w:bidi="ar"/>
        </w:rPr>
        <w:t>录）及专业工程竣工图后，可以向发包人申请退还履约担保。</w:t>
      </w:r>
    </w:p>
    <w:p w14:paraId="2F4D8DFA">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47、合同解除</w:t>
      </w:r>
    </w:p>
    <w:p w14:paraId="45A279D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47.7合同解除后，不影响双方在合同中约定的结算和清理条款的效力，亦不能免除承包人对已完工项目的保修责任。</w:t>
      </w:r>
    </w:p>
    <w:p w14:paraId="50281A9D">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承包人与发包人一致同意增加47.8至47.11：</w:t>
      </w:r>
    </w:p>
    <w:p w14:paraId="3A47ADD0">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47.8发包人有权依据本合同有关条款的约定部分解除合同或解除合同。</w:t>
      </w:r>
    </w:p>
    <w:p w14:paraId="512FAAA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47.9部分解除合同</w:t>
      </w:r>
    </w:p>
    <w:p w14:paraId="73DB93B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承包人违约致部分解除合同的条件成就时，承包人在此承诺：</w:t>
      </w:r>
    </w:p>
    <w:p w14:paraId="688A87D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（1）因承包人违约致部分解除合同的条件成就时，发包人有权向承包人发出部分解除合同的通知，该通知送达承包人时部分解除合同即生效，并立即按照合同专用条款第38.4（4）款的约定执行。</w:t>
      </w:r>
    </w:p>
    <w:p w14:paraId="4128A71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（2）承包人在接到部分解除合同的通知后，在2天内停止该部分工程的施工，并将机械、材料、物件、人员从该部分工程的施工场地撤离。</w:t>
      </w:r>
    </w:p>
    <w:p w14:paraId="2C7740E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停工3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14:paraId="6CBC4FF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（4）承包人在收到部分解除合同的通知后，若不按上述约定执行，发包人有权自行处理承包人滞留在施工现场的物品，处理费用及因此所造成的损失由承包人承担。</w:t>
      </w:r>
    </w:p>
    <w:p w14:paraId="6CE9855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（5）部分解除合同的通知送达承包人后，发包人就该部分解除合同的工程即可另行与其他单位签订施工合同，承包人不得阻碍新的单位进场施工。</w:t>
      </w:r>
    </w:p>
    <w:p w14:paraId="441537E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（6）当部分解除合同的工程额达到本合同价款的50%时，发包人有权解除合同。</w:t>
      </w:r>
    </w:p>
    <w:p w14:paraId="06EA9BC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47.10解除合同</w:t>
      </w:r>
    </w:p>
    <w:p w14:paraId="24F7335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承包人违约致解除合同的条件成就时，承包人在此承诺：</w:t>
      </w:r>
    </w:p>
    <w:p w14:paraId="53A6762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（1）因承包人违约致解除合同的条件成就时，发包人有权向承包人发出解除合同的通知，该通知送达承包人时解除合同即生效，并立即按照合同专用条款第38.4（5）款的约定执行。</w:t>
      </w:r>
    </w:p>
    <w:p w14:paraId="21F3328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承包人接到解除合同的通知后，必须在2天内停止工程施工，并在10天内将机械、材料、物件、人员从施工现场撤离。停工3天内，发包人、监理单位将会同承包人对已完成工程量进行清点，清点规则比照部分解除合同的情形处理。</w:t>
      </w:r>
    </w:p>
    <w:p w14:paraId="53E18E5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承包人未在规定期限内离场的，发包人有权将其留在现场的材料、设备和其他物件临时转运到其他堆放处，由此产生的搬运、保管费用由承包人负责，在此过程中出现的任何非发包人主观故意引起的损坏、遗失及因此所造成的其他损失全部由承包人自行负责，处理费用由承包人承担。</w:t>
      </w:r>
    </w:p>
    <w:p w14:paraId="1B7590A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（4）解除合同的通知送达承包人后，发包人就该解除合同的工程即可另行与其他单位签订施工合同，承包人不得阻碍新的单位进场施工。</w:t>
      </w:r>
    </w:p>
    <w:p w14:paraId="472B6ED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47.11承包人在部分解除合同或解除合同后，还必须在规定期限内作好已施工项目技术资料和实物的交底、移交工作。承包人因未履行上述义务而给发包人带来工期延误和其他损失的，应赔偿发包人的实际损失。</w:t>
      </w:r>
    </w:p>
    <w:p w14:paraId="3BB79761">
      <w:pPr>
        <w:keepNext w:val="0"/>
        <w:keepLines w:val="0"/>
        <w:widowControl w:val="0"/>
        <w:suppressLineNumbers w:val="0"/>
        <w:adjustRightInd w:val="0"/>
        <w:snapToGrid w:val="0"/>
        <w:spacing w:before="0" w:beforeAutospacing="0" w:after="0" w:afterAutospacing="0" w:line="360" w:lineRule="auto"/>
        <w:ind w:left="0" w:right="11" w:firstLine="463" w:firstLineChars="192"/>
        <w:jc w:val="both"/>
        <w:outlineLvl w:val="2"/>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50、补充条款</w:t>
      </w:r>
    </w:p>
    <w:p w14:paraId="5A2CF87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50.1施工水电费（包括承包人本身及其总承包管理范围内的专业单位、分包单位的水电费）由承包人向有关部门缴纳，发包人协助办理相关手续。</w:t>
      </w:r>
    </w:p>
    <w:p w14:paraId="273C3AD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50.2承包人承诺：</w:t>
      </w:r>
    </w:p>
    <w:p w14:paraId="4F81AF73">
      <w:pPr>
        <w:keepNext w:val="0"/>
        <w:keepLines w:val="0"/>
        <w:widowControl w:val="0"/>
        <w:numPr>
          <w:ilvl w:val="0"/>
          <w:numId w:val="1"/>
        </w:numPr>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严格按照合同和招投标文件规定履行义务，并同意发包人将其履行合同、招投标文件义务的履约情况和不诚信行为（包括但不限于由发包人作出的组织的考核、考评通报、违约责任处理决定等）在发包人网站和广州市建设项目业主网站及其他媒体上公开披露，由此造成的一切损失和不利后果均由承包人自行承担。</w:t>
      </w:r>
    </w:p>
    <w:p w14:paraId="54D42ABC">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w:t>
      </w:r>
      <w:r>
        <w:rPr>
          <w:rFonts w:hint="default" w:ascii="Times New Roman" w:hAnsi="Times New Roman" w:eastAsia="宋体" w:cs="Times New Roman"/>
          <w:color w:val="auto"/>
          <w:kern w:val="2"/>
          <w:sz w:val="24"/>
          <w:szCs w:val="24"/>
          <w:highlight w:val="none"/>
          <w:lang w:val="en-US" w:eastAsia="zh-CN" w:bidi="ar"/>
        </w:rPr>
        <w:t>2</w:t>
      </w:r>
      <w:r>
        <w:rPr>
          <w:rFonts w:hint="eastAsia" w:ascii="宋体" w:hAnsi="宋体" w:eastAsia="宋体" w:cs="宋体"/>
          <w:color w:val="auto"/>
          <w:kern w:val="2"/>
          <w:sz w:val="24"/>
          <w:szCs w:val="24"/>
          <w:highlight w:val="none"/>
          <w:lang w:val="en-US" w:eastAsia="zh-CN" w:bidi="ar"/>
        </w:rPr>
        <w:t>）在本合同承包范围内，如因第三人在本工程实施过程中产生工程款支付、工人工资支付等各类纠纷或其他承包人原因（包括但不限于分包或违法分包、转包引起的法律纠纷等），导致发包人参与诉讼、仲裁事项的，均视作承包人对其承包工程存在管理不善的问题。承包人均应赔偿发包人的经济损失，以及承担发包人由此支出的所有诉讼费、仲裁费、律师费及其他费用，并且在收到发包人赔付通知后立即支付，否则，每逾期</w:t>
      </w:r>
      <w:r>
        <w:rPr>
          <w:rFonts w:hint="default" w:ascii="Times New Roman" w:hAnsi="Times New Roman" w:eastAsia="宋体" w:cs="Times New Roman"/>
          <w:color w:val="auto"/>
          <w:kern w:val="2"/>
          <w:sz w:val="24"/>
          <w:szCs w:val="24"/>
          <w:highlight w:val="none"/>
          <w:lang w:val="en-US" w:eastAsia="zh-CN" w:bidi="ar"/>
        </w:rPr>
        <w:t>1</w:t>
      </w:r>
      <w:r>
        <w:rPr>
          <w:rFonts w:hint="eastAsia" w:ascii="宋体" w:hAnsi="宋体" w:eastAsia="宋体" w:cs="宋体"/>
          <w:color w:val="auto"/>
          <w:kern w:val="2"/>
          <w:sz w:val="24"/>
          <w:szCs w:val="24"/>
          <w:highlight w:val="none"/>
          <w:lang w:val="en-US" w:eastAsia="zh-CN" w:bidi="ar"/>
        </w:rPr>
        <w:t>天应按逾付款项总额的</w:t>
      </w:r>
      <w:r>
        <w:rPr>
          <w:rFonts w:hint="default" w:ascii="Times New Roman" w:hAnsi="Times New Roman" w:eastAsia="宋体" w:cs="Times New Roman"/>
          <w:color w:val="auto"/>
          <w:kern w:val="2"/>
          <w:sz w:val="24"/>
          <w:szCs w:val="24"/>
          <w:highlight w:val="none"/>
          <w:lang w:val="en-US" w:eastAsia="zh-CN" w:bidi="ar"/>
        </w:rPr>
        <w:t>5</w:t>
      </w:r>
      <w:r>
        <w:rPr>
          <w:rFonts w:hint="eastAsia" w:ascii="宋体" w:hAnsi="宋体" w:eastAsia="宋体" w:cs="宋体"/>
          <w:color w:val="auto"/>
          <w:kern w:val="2"/>
          <w:sz w:val="24"/>
          <w:szCs w:val="24"/>
          <w:highlight w:val="none"/>
          <w:lang w:val="en-US" w:eastAsia="zh-CN" w:bidi="ar"/>
        </w:rPr>
        <w:t>‰向发包人承担违约责任。</w:t>
      </w:r>
    </w:p>
    <w:p w14:paraId="5BB8C940">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50.3双方一致同意，在工程未竣工验收移交前所有工程资料均归发包人所有，并必须在现场存放保管，发包人委托监理单位负责看管，在未得到发包人同意前，上述资料不得移出工地现场。</w:t>
      </w:r>
    </w:p>
    <w:p w14:paraId="3878DF7A">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50.4当发生下列情况之一时，双方应在事件发生后三个月内签订补充合同（协议），双方另有约定的除外：</w:t>
      </w:r>
    </w:p>
    <w:p w14:paraId="1EE6AE3C">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（1）发包人根据合同协议书第3.3款的约定调整合同工期；</w:t>
      </w:r>
    </w:p>
    <w:p w14:paraId="2E6BCDD6">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（2）发包人根据合同协议书第2.4款的约定调整承包范围、或发生设计变更、工程签证等情况导致本合同承包范围内的总金额超过本合同价款；</w:t>
      </w:r>
    </w:p>
    <w:p w14:paraId="172D7BE3">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（3）发包人根据合同专用条款总则第6条约定制订的制度、规定涉及双方经济利益变动；</w:t>
      </w:r>
    </w:p>
    <w:p w14:paraId="77308B95">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（4）原合同条款欠完善或存在歧义；</w:t>
      </w:r>
    </w:p>
    <w:p w14:paraId="57068E0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（5）发包人、承包人双方认为需要签订补充合同（协议）的其他情形。</w:t>
      </w:r>
    </w:p>
    <w:p w14:paraId="5AD14ADB">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50.5承包人必须接受政府有关部门对本工程的监督，并无条件配合政府指定的审计机构的审计。</w:t>
      </w:r>
    </w:p>
    <w:p w14:paraId="0360D453">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outlineLvl w:val="3"/>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 xml:space="preserve"> 50.6综合考评</w:t>
      </w:r>
    </w:p>
    <w:p w14:paraId="4D32D674">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鉴于本工程的重要性，为确保本合同工程质量，发包人将对参与本合同项目建设的设计、施工、监理等单位进行综合考评，并根据综合考评的结果按照相关规定执行。</w:t>
      </w:r>
    </w:p>
    <w:p w14:paraId="17D1B54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50.7其他约定事项：</w:t>
      </w:r>
      <w:r>
        <w:rPr>
          <w:rFonts w:hint="eastAsia" w:ascii="宋体" w:hAnsi="宋体" w:eastAsia="宋体" w:cs="宋体"/>
          <w:color w:val="auto"/>
          <w:kern w:val="0"/>
          <w:sz w:val="24"/>
          <w:szCs w:val="24"/>
          <w:highlight w:val="none"/>
          <w:u w:val="single"/>
          <w:lang w:val="en-US" w:eastAsia="zh-CN" w:bidi="ar"/>
        </w:rPr>
        <w:t xml:space="preserve">   无  。</w:t>
      </w:r>
      <w:r>
        <w:rPr>
          <w:rFonts w:hint="eastAsia" w:ascii="宋体" w:hAnsi="宋体" w:eastAsia="宋体" w:cs="宋体"/>
          <w:b/>
          <w:color w:val="auto"/>
          <w:kern w:val="0"/>
          <w:sz w:val="24"/>
          <w:szCs w:val="24"/>
          <w:highlight w:val="none"/>
          <w:lang w:val="en-US" w:eastAsia="zh-CN" w:bidi="ar"/>
        </w:rPr>
        <w:br w:type="page"/>
      </w:r>
    </w:p>
    <w:p w14:paraId="39BEAB47">
      <w:pPr>
        <w:keepNext w:val="0"/>
        <w:keepLines w:val="0"/>
        <w:widowControl w:val="0"/>
        <w:suppressLineNumbers w:val="0"/>
        <w:adjustRightInd w:val="0"/>
        <w:snapToGrid w:val="0"/>
        <w:spacing w:before="0" w:beforeAutospacing="0" w:after="0" w:afterAutospacing="0" w:line="360" w:lineRule="auto"/>
        <w:ind w:left="0" w:right="11"/>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val="en-US" w:eastAsia="zh-CN" w:bidi="ar"/>
        </w:rPr>
        <w:t>第三篇  合同通用条款</w:t>
      </w:r>
    </w:p>
    <w:p w14:paraId="46AEBC04">
      <w:pPr>
        <w:pStyle w:val="3"/>
        <w:keepNext w:val="0"/>
        <w:keepLines w:val="0"/>
        <w:widowControl w:val="0"/>
        <w:suppressLineNumbers w:val="0"/>
        <w:adjustRightInd w:val="0"/>
        <w:snapToGrid w:val="0"/>
        <w:spacing w:before="0" w:beforeAutospacing="0" w:after="0" w:afterAutospacing="0" w:line="360" w:lineRule="auto"/>
        <w:ind w:left="0" w:right="0"/>
        <w:jc w:val="center"/>
        <w:rPr>
          <w:rFonts w:hint="eastAsia" w:ascii="楷体_GB2312" w:hAnsi="宋体" w:eastAsia="楷体_GB2312" w:cs="楷体_GB2312"/>
          <w:color w:val="auto"/>
          <w:kern w:val="0"/>
          <w:sz w:val="24"/>
          <w:szCs w:val="24"/>
          <w:highlight w:val="none"/>
        </w:rPr>
      </w:pPr>
      <w:r>
        <w:rPr>
          <w:rFonts w:hint="eastAsia" w:ascii="楷体_GB2312" w:hAnsi="宋体" w:eastAsia="楷体_GB2312" w:cs="楷体_GB2312"/>
          <w:color w:val="auto"/>
          <w:kern w:val="0"/>
          <w:sz w:val="24"/>
          <w:szCs w:val="24"/>
          <w:highlight w:val="none"/>
          <w:lang w:val="en-US" w:eastAsia="zh-CN" w:bidi="ar"/>
        </w:rPr>
        <w:t>（适用于各类公用建筑、民用住宅、工业厂房、</w:t>
      </w:r>
    </w:p>
    <w:p w14:paraId="3312A797">
      <w:pPr>
        <w:pStyle w:val="3"/>
        <w:keepNext w:val="0"/>
        <w:keepLines w:val="0"/>
        <w:widowControl w:val="0"/>
        <w:suppressLineNumbers w:val="0"/>
        <w:adjustRightInd w:val="0"/>
        <w:snapToGrid w:val="0"/>
        <w:spacing w:before="0" w:beforeAutospacing="0" w:after="0" w:afterAutospacing="0" w:line="360" w:lineRule="auto"/>
        <w:ind w:left="0" w:right="0"/>
        <w:jc w:val="center"/>
        <w:rPr>
          <w:rFonts w:hint="eastAsia" w:ascii="楷体_GB2312" w:hAnsi="宋体" w:eastAsia="楷体_GB2312" w:cs="楷体_GB2312"/>
          <w:color w:val="auto"/>
          <w:kern w:val="0"/>
          <w:sz w:val="24"/>
          <w:szCs w:val="24"/>
          <w:highlight w:val="none"/>
        </w:rPr>
      </w:pPr>
      <w:r>
        <w:rPr>
          <w:rFonts w:hint="eastAsia" w:ascii="楷体_GB2312" w:hAnsi="宋体" w:eastAsia="楷体_GB2312" w:cs="楷体_GB2312"/>
          <w:color w:val="auto"/>
          <w:kern w:val="0"/>
          <w:sz w:val="24"/>
          <w:szCs w:val="24"/>
          <w:highlight w:val="none"/>
          <w:lang w:val="en-US" w:eastAsia="zh-CN" w:bidi="ar"/>
        </w:rPr>
        <w:t>交通设施及线路管道的施工和设备安装）</w:t>
      </w:r>
    </w:p>
    <w:p w14:paraId="45D06A8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35ED2A80">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一、词语定义及合同文件</w:t>
      </w:r>
    </w:p>
    <w:p w14:paraId="6E8AA9E5">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1、词语定义</w:t>
      </w:r>
    </w:p>
    <w:p w14:paraId="3FAF2CA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下列词语除合同专用条款另有约定外，应具有本条所赋予的定义：</w:t>
      </w:r>
    </w:p>
    <w:p w14:paraId="5332916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1.1合同通用条款：是根据法律、行政法规规定及建设工程施工的需要订立，通用于建设工程施工的条款。</w:t>
      </w:r>
    </w:p>
    <w:p w14:paraId="051223F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1.2合同专用条款：是发包人与承包人根据法律、行政法规规定，结合具体工程实际，经协商达成一致意见的条款，是对合同通用条款的具体化、补充或修改。</w:t>
      </w:r>
    </w:p>
    <w:p w14:paraId="2EE61A8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1.3发包人：指在合同协议书中约定，具有工程发包主体资格和支付工程价款能力的当事人以及取得该当事人资格的合法继承人。</w:t>
      </w:r>
    </w:p>
    <w:p w14:paraId="2E8E377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1.4承包人：指在合同协议书中约定，被发包人接受的具有工程施工承包主体资格的当事人以及取得该当事人资格的合法继承人。</w:t>
      </w:r>
    </w:p>
    <w:p w14:paraId="4F7521E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1.5项目经理：指承包人在合同专用条款中指定的负责施工管理和合同履行的代表。</w:t>
      </w:r>
    </w:p>
    <w:p w14:paraId="042BA48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1.6设计单位：指发包人委托的负责本工程设计并取得相应工程设计资质等级证书的单位。</w:t>
      </w:r>
    </w:p>
    <w:p w14:paraId="3CA3907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1.7监理单位：指发包人委托的负责本工程监理并取得相应工程监理资质等级证书的单位。</w:t>
      </w:r>
    </w:p>
    <w:p w14:paraId="08BE688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1.8工程师：指本工程监理单位委派的总监理工程师或发包人指定的履行本合同的代表，其具体身份和职权由发包人、承包人在合同专用条款中约定。</w:t>
      </w:r>
    </w:p>
    <w:p w14:paraId="4654C0F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1.9工程造价管理部门：指国务院有关部门、县级以上人民政府建设行政主管部门或其委托的工程造价管理机构。</w:t>
      </w:r>
    </w:p>
    <w:p w14:paraId="117AE27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1.10工程：指发包人、承包人在合同协议书中约定的承包范围内的工程。</w:t>
      </w:r>
    </w:p>
    <w:p w14:paraId="79D4CD2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1.11合同价款：指发包人、承包人在合同协议书中约定，发包人用以支付承包人按照合同约定完成承包范围内全部工程并承担质量保修责任的款项。</w:t>
      </w:r>
    </w:p>
    <w:p w14:paraId="48BC3FE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1.12追加合同价款：指在合同履行中发生需要增加合同价款的情况，经发包人确认后按计算合同价款的方法增加的合同价款。</w:t>
      </w:r>
    </w:p>
    <w:p w14:paraId="479B378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1.13费用：指不包含在合同价款之内的应当由发包人或承包人承担的经济支出。</w:t>
      </w:r>
    </w:p>
    <w:p w14:paraId="47E6377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1.14工期：指发包人、承包人在合同协议书中约定，按总日历天数（包括法定节假日）计算的承包天数。</w:t>
      </w:r>
    </w:p>
    <w:p w14:paraId="4ADF70D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1.15开工日期：指发包人、承包人在合同协议书中约定，承包人开始施工的绝对或相对的日期。</w:t>
      </w:r>
    </w:p>
    <w:p w14:paraId="01B6CFD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1.16竣工日期：指发包人、承包人在合同协议书中约定，承包人完成承包范围内工程的绝对或相对的日期。</w:t>
      </w:r>
    </w:p>
    <w:p w14:paraId="237D785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1.17图纸：指由发包人提供或由承包人提供并经发包人批准，满足承包人施工需要的所有图纸（包括配套说明和有关资料）。</w:t>
      </w:r>
    </w:p>
    <w:p w14:paraId="0625983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1.18施工场地：指由发包人提供的用于工程施工的场所以及发包人在图纸中具体指定的供施工使用的任何其他场所。</w:t>
      </w:r>
    </w:p>
    <w:p w14:paraId="0EC1FD2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1.19书面形式：指合同书、信件和数据电文（包括电报、电传、传真、电子数据交换和电子邮件）等可以有形地表现所载内容的形式。</w:t>
      </w:r>
    </w:p>
    <w:p w14:paraId="76AC2F7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1.20违约责任：指合同一方不履行合同义务或履行合同义务不符合约定所应承担的责任。</w:t>
      </w:r>
    </w:p>
    <w:p w14:paraId="16CCB7F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1.21索赔：指在合同履行过程中，对于并非自己的过错，而是应由对方承担责任的情况造成的实际损失，向对方提出经济补偿和（或）工期顺延的要求。</w:t>
      </w:r>
    </w:p>
    <w:p w14:paraId="6620F91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1.22不可抗力：指不能预见、不能避免并不能克服的客观情况。</w:t>
      </w:r>
    </w:p>
    <w:p w14:paraId="5471B59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1.23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时。</w:t>
      </w:r>
    </w:p>
    <w:p w14:paraId="1080C4E4">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2、合同文件及解释顺序</w:t>
      </w:r>
    </w:p>
    <w:p w14:paraId="6CB39B8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2.1合同文件应能相互解释，互为说明。除合同专用条款另有约定外，组成本合同的文件及优先解释顺序如下：</w:t>
      </w:r>
    </w:p>
    <w:p w14:paraId="36BFD80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（1）合同协议书</w:t>
      </w:r>
    </w:p>
    <w:p w14:paraId="45FEC65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（2）中标通知书</w:t>
      </w:r>
    </w:p>
    <w:p w14:paraId="3C96269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（3）投标书及其附件</w:t>
      </w:r>
    </w:p>
    <w:p w14:paraId="32D8955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（4）合同专用条款</w:t>
      </w:r>
    </w:p>
    <w:p w14:paraId="02EF66B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（5）合同通用条款</w:t>
      </w:r>
    </w:p>
    <w:p w14:paraId="487A8A8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（6）标准、规范及有关技术文件</w:t>
      </w:r>
    </w:p>
    <w:p w14:paraId="7BF1888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（7）图纸</w:t>
      </w:r>
    </w:p>
    <w:p w14:paraId="4466233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（8）工程量清单</w:t>
      </w:r>
    </w:p>
    <w:p w14:paraId="0E195F6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（9）工程报价单或预算书</w:t>
      </w:r>
    </w:p>
    <w:p w14:paraId="0B00794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合同履行中，发包人、承包人有关工程的洽商、变更等书面协议或文件视为本合同的组成部分。</w:t>
      </w:r>
    </w:p>
    <w:p w14:paraId="48633B0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2.2当合同文件内容含糊不清或不相一致时，在不影响工程正常进行的情况下，由发包人、承包人协商解决。双方也可以提请负责监理的工程师作出解释。双方协商不成或不同意负责监理的工程师的解释时，按合同通用条款40条关于争议的约定处理。</w:t>
      </w:r>
    </w:p>
    <w:p w14:paraId="6478A2E2">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3、语言文字和适用法律、标准及规范</w:t>
      </w:r>
    </w:p>
    <w:p w14:paraId="1CF89F7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3.1语言文字</w:t>
      </w:r>
    </w:p>
    <w:p w14:paraId="107DE12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本合同文件使用汉语语言文字书写、解释和说明。如合同专用条款约定使用两种以上（含两种）语言文字时，汉语应为解释和说明本合同的标准语言文字。</w:t>
      </w:r>
    </w:p>
    <w:p w14:paraId="7E4CCDF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在少数民族地区，双方可以约定使用少数民族语言文字书写和解释、说明本合同。</w:t>
      </w:r>
    </w:p>
    <w:p w14:paraId="134D82E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3.2适用法律和法规</w:t>
      </w:r>
    </w:p>
    <w:p w14:paraId="6AD328D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本合同文件适用国家的法律和行政法规。需要明示的法律、行政法规，由双方在合同专用条款中约定。</w:t>
      </w:r>
    </w:p>
    <w:p w14:paraId="68B106E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3.3适用标准、规范</w:t>
      </w:r>
    </w:p>
    <w:p w14:paraId="40823BE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双方在合同专用条款内约定适用国家标准、规范的名称；没有国家标准、规范由有行业标准、规范的，约定适用行业标准、规范的名称；没有国家和行业标准、规范的，约定适用工程所在地地方标准、规范的名称。发包人应按合同专用条款约定的时间向承包人提供一式两份约定的标准、规范。</w:t>
      </w:r>
    </w:p>
    <w:p w14:paraId="5ABE1DB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国内没有相应标准、规范的，由发包人按合同专用条款约定的时间向承包人提出施工技术要求，承包人按约定的时间和要求提出施工工艺经发包人认可后执行。发包人要求使用国外标准、规范的，应负责提供中文译本。</w:t>
      </w:r>
    </w:p>
    <w:p w14:paraId="0F5F961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本条所发生的购买、翻译标准、规范或制定施工工艺的费用，由发包人承担。</w:t>
      </w:r>
    </w:p>
    <w:p w14:paraId="530A815E">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4、图纸</w:t>
      </w:r>
    </w:p>
    <w:p w14:paraId="650131B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4.1发包人应按合同专用条款约定的日期的套数，向承包人提供图纸。承包人需要增加图纸套数的，发包人应代为复制，复制费用由承包人承担。发包人对工程有保密要求的，应在合同专用条款中提出保密要求，保密措施费用由发包人承担，承包人在约定保密期限内履行保密义务。</w:t>
      </w:r>
    </w:p>
    <w:p w14:paraId="6D96C49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4.2承包人未经发包人同意，不得将本工程图纸转给第三人。工程质量保修期满后，除承包人存档需要的图纸外，应将全部图纸退还给发包人。</w:t>
      </w:r>
    </w:p>
    <w:p w14:paraId="66314DC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4.3承包人应在施工现场保留一套完整图纸，供工程师及有关人员进行工程检查时使用。</w:t>
      </w:r>
    </w:p>
    <w:p w14:paraId="4EFD738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79450D3">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二、双方一般权利和义务</w:t>
      </w:r>
    </w:p>
    <w:p w14:paraId="4601A264">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5、工程师</w:t>
      </w:r>
    </w:p>
    <w:p w14:paraId="0957328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5.1实行工程监理的，发包人应在实施监理前将委托的监理单位名称、监理内容及监理权限以书面形式通知承包人。</w:t>
      </w:r>
    </w:p>
    <w:p w14:paraId="3BC4DB4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5.2监理单位委派的总监理工程师在本合同中称工程师，其姓名、职务、职权由发包人、承包人在合同专用条款内写明。工程师按合同约定行使职权，发包人在合同专用条款内要求工程师在行使某些职权前需要征得发包人批准的，工程师应征得发包人批准。</w:t>
      </w:r>
    </w:p>
    <w:p w14:paraId="5ED4B0A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5.3发包人派驻施工场地履行合同的代表在本合同中也称工程师，其姓名、职务、职权由发包人在合同专用条款内写明，但职权不得与监理单位委派的总监理工程师职权相互交叉。双方职权发生交叉或不明确时，由发包人予以明确，并以书面形式通知承包人。</w:t>
      </w:r>
    </w:p>
    <w:p w14:paraId="6ABDB0A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5.4合同履行中，发生影响发包人、承包人双方权利或义务和事件时，负责监理的工程师应依据合同在其职权范围内客观公正地进行处理。一方对工程师的处理有异议时，按合同通用条款40条关于争议的约定处理。</w:t>
      </w:r>
    </w:p>
    <w:p w14:paraId="409BD75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5.5除合同内有明确约定或经发包人同意外，负责监理的工程师无权解释本合同约定的承包人任何权利与义务。</w:t>
      </w:r>
    </w:p>
    <w:p w14:paraId="31A78E8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5.6不实行工程监理的，本合同中工程师专指发包人派驻施工场地履行合同的代表，其具体职权由发包人在合同专用条款内写明。</w:t>
      </w:r>
    </w:p>
    <w:p w14:paraId="10E738DC">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6、工程师的委派和指令</w:t>
      </w:r>
    </w:p>
    <w:p w14:paraId="091A6E1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6.1工程师可委派工程师代表，行使合同约定的自己的职权，并可在认为必要时撤回委派。委派和撤回均应提前7天以书面形式通知承包人，负责监理的工程师还应将委派和撤回通知发包人。委派书和撤回通知作为合同附件。</w:t>
      </w:r>
    </w:p>
    <w:p w14:paraId="1A42C9B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改正。</w:t>
      </w:r>
    </w:p>
    <w:p w14:paraId="271B3B4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除工程师或工程师代表外，发包人派驻工地的其他人员均无权向承包人发出任何指令。</w:t>
      </w:r>
    </w:p>
    <w:p w14:paraId="38E2DD6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6.2工程师的指令、通知由其本人签字后，以书面形式交给项目经理，项目经理在回执上签署姓名和收到时间后生效。确有必要时，工程师可发出口头指令，并在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14:paraId="3BD127F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认为工程师指令不合理，应在收到指令后24小时内向工程师提出修改指令的书面报告，工程师在收到承包人报告后24小时内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14:paraId="5991638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本款规定同样适用于由工程师代表发出的指令、通知。</w:t>
      </w:r>
    </w:p>
    <w:p w14:paraId="7248778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6.3工程师应按合同约定，及时向承包人提供所需指令、批准并履行约定的其他义务。由于工程师未能按合同约定履行义务造成工期延误，发包人应承担延误造成的追加合同价款，并赔偿承包人有关损失，顺延延误的工期。</w:t>
      </w:r>
    </w:p>
    <w:p w14:paraId="1792B61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6.4如需更换工程师，发包人应至少提前7天以书面形式通知承包人，后任继续行使合同文件约定的前任的职权，履行前任的义务。</w:t>
      </w:r>
    </w:p>
    <w:p w14:paraId="6D939025">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7、项目经理</w:t>
      </w:r>
    </w:p>
    <w:p w14:paraId="195AE4D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7.1项目经理的姓名、职务在合同专用条款内写明。</w:t>
      </w:r>
    </w:p>
    <w:p w14:paraId="17BDAC3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7.2承包人依据合同发出的通知，以书面形式由项目经理签字后送交工程师，工程师在回执上签署姓名和收到时间后生效。</w:t>
      </w:r>
    </w:p>
    <w:p w14:paraId="753C9B5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7.3项目经理按发包人认可的施工组织设计（施工方案）和工程师依据合同发出的指令组织施工。在情况紧急且无法与工程师联系时，项目经理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14:paraId="5B011F7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7.4承包人如需更换项目经理，应至少提前7天以书面形式通知发包人，并征得发包人同意。后任继续行使合同文件约定的前任的职权，履行前任的义务。</w:t>
      </w:r>
    </w:p>
    <w:p w14:paraId="658BC4E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7.5发包人可以与承包人协商，建议更换其认为不称职的项目经理。</w:t>
      </w:r>
    </w:p>
    <w:p w14:paraId="5FEF829D">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8、发包人工作</w:t>
      </w:r>
    </w:p>
    <w:p w14:paraId="5E48942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8.1发包人按合同专用条款约定的内容和时间完成以下工作：</w:t>
      </w:r>
    </w:p>
    <w:p w14:paraId="739E5AB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（1）办理土地征用、拆迁补偿、平整施工场地等工作，使施工场地具备施工条件，在开工后继续负责解决以上事项遗留问题；</w:t>
      </w:r>
    </w:p>
    <w:p w14:paraId="79E777E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（2）将施工所需水、电、电讯线路从施工场地外部接至合同专用条款约定地点，保证施工期间的需要；</w:t>
      </w:r>
    </w:p>
    <w:p w14:paraId="3FE64FE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（3）开通施工场地与城乡公共道路的通道，以及合同专用条款约定的施工场地内的主要道路，满足施工运输的需要，保证施工期间的畅通；</w:t>
      </w:r>
    </w:p>
    <w:p w14:paraId="4E7E101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（4）向承包人提供施工场地的工程地质和地下管线资料，对资料的真实准确性负责；</w:t>
      </w:r>
    </w:p>
    <w:p w14:paraId="18BF6BE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（5）办理施工许可证及其他施工所需证件、批件和临时用地、停水、停电、中断道路交通、爆破作业等的申请批准手续（证明承包人自身资质的证件除外）；</w:t>
      </w:r>
    </w:p>
    <w:p w14:paraId="0B46A91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（6）确定水准点与坐标控制点，以书面形式交给承包人，进行现场交验；</w:t>
      </w:r>
    </w:p>
    <w:p w14:paraId="56D0C3A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（7）组织承包人和设计单位进行图纸会审和设计交底；</w:t>
      </w:r>
    </w:p>
    <w:p w14:paraId="2BC5A36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（8）协调处理施工场地周围地下管线和邻近建筑物、构筑物（包括文物保护建筑）、古树名木的保护工作，承担有关费用；</w:t>
      </w:r>
    </w:p>
    <w:p w14:paraId="1D1F1FF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（9）发包人应做的其他工作，双方在合同专用条款内约定。</w:t>
      </w:r>
    </w:p>
    <w:p w14:paraId="1385731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8.2发包人可以将8.1款部分工作委托承包人办理，双方在合同专用条款内约定，其费用由发包人承担。</w:t>
      </w:r>
    </w:p>
    <w:p w14:paraId="7FB1F70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8.3发包人未能履行8.1款各项义务，导致工期延误或给承包人造成损失的，发包人赔偿承包人有关损失，顺延延误的工期。</w:t>
      </w:r>
    </w:p>
    <w:p w14:paraId="208FD0D0">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9、承包人工作</w:t>
      </w:r>
    </w:p>
    <w:p w14:paraId="4A1CF02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9.1承包人按合同专用条款约定的内容和时间完成以下工作：</w:t>
      </w:r>
    </w:p>
    <w:p w14:paraId="6D55048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（1）根据发包人委托，在其设计资质等级和业务允许的范围内，完成施工图设计或工程配套的设计，经工程师确认后使用，发包人承担由此发生的费用；</w:t>
      </w:r>
    </w:p>
    <w:p w14:paraId="2A6F305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（2）向工程师提供年、季、月度工程进度计划及相应进度统计报表；</w:t>
      </w:r>
    </w:p>
    <w:p w14:paraId="30B7F2D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（3）根据工程需要，提供和维修非夜间施工使用的照明、围栏设施，并负责安全保卫；</w:t>
      </w:r>
    </w:p>
    <w:p w14:paraId="3D16412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（4）按合同专用条款约定的数量和要求，向发包人提供施工场地办公和生活的房屋及设施，发包人承担由此发生的费用；</w:t>
      </w:r>
    </w:p>
    <w:p w14:paraId="3193177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（5）遵守政府有关主管部门对施工场地交通、施工噪音以及环境保护和安全生产等的管理规定，按规定办理有关手续，并以书面形式通知发包人，发包人承担由此发生的费用，因承包人责任造成的罚款除外；</w:t>
      </w:r>
    </w:p>
    <w:p w14:paraId="4384671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已竣工工程未交付发包人之前，承包人按合同专用条款约定负责已完工程的保护工作，保护期间发生损坏，承包人自费予以修复；发包人要求承包人采取特殊措施保护的工程部位和相应的追加合同价款，双方在合同专用条款内约定；</w:t>
      </w:r>
    </w:p>
    <w:p w14:paraId="76D4833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（7）按合同专用条款约定做好施工场地地下管线和邻近建筑物、构筑物（包括文物保护建筑）、古树名木的保护工作；</w:t>
      </w:r>
    </w:p>
    <w:p w14:paraId="4A63F3A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（8）保证施工场地清洁符合环境卫生管理的有关规定，交工前清理现场达到合同专用条款约定的要求，承担因自身原因违反有关规定造成的损失和罚款；</w:t>
      </w:r>
    </w:p>
    <w:p w14:paraId="4A3E01F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（9）承包人应做的其他工作，双方在合同专用条款内约定。</w:t>
      </w:r>
    </w:p>
    <w:p w14:paraId="18430BA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9.2承包人未能履行9.1款各项义务，造成发包人损失的，承包人赔偿发包人有关损失。</w:t>
      </w:r>
    </w:p>
    <w:p w14:paraId="2EAAABB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796B6F6">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三、施工组织设计和工期</w:t>
      </w:r>
    </w:p>
    <w:p w14:paraId="6E47E967">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10、进度计划</w:t>
      </w:r>
    </w:p>
    <w:p w14:paraId="796658A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10.1承包人应按合同专用条款约定的日期，将施工组织设计和工程进度计划提交工程师，工程师按合同专用条款约定的时间予以确认或提出修改意见，逾期不确认也不提出书面意见的，视为同意。</w:t>
      </w:r>
    </w:p>
    <w:p w14:paraId="2D2348B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10.2群体工程中单位工程分期进行施工的，承包人应按照发包人提供图纸及有关资料的时间，按单位工程编制进度计划，其具体内容双方在合同专用条款中约定。</w:t>
      </w:r>
    </w:p>
    <w:p w14:paraId="01155A4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14:paraId="22D2CC69">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11、开工及延期开工</w:t>
      </w:r>
    </w:p>
    <w:p w14:paraId="39A0AAA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11.1承包人应当按照合同协议书约定的开工日期开工。承包人不能按时开工，应当不迟于合同协议书约定的开工日期前7天，以书面形式向工程师提出延期开工的理由和要求，工程师在接到延期开工申请后48小时内以书面形式答复承包人。工程师在接到延期开工申请后48小时内不答复，视为同意承包人要求，工期相应顺延。工程师不同意顺延要求或承包人未在规定时间内提出延期开工要求，工期不予顺延。</w:t>
      </w:r>
    </w:p>
    <w:p w14:paraId="0F77E43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11.2因发包人原因不能按照合同协议书约定的开工日期开工，工程师应以书面形式通知承包人，推迟开工日期，发包人赔偿承包人因延期开工造成的损失，并相应顺延工期。</w:t>
      </w:r>
    </w:p>
    <w:p w14:paraId="4F6A84EF">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12、暂停施工</w:t>
      </w:r>
    </w:p>
    <w:p w14:paraId="3CC557F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工程师认为确有必要暂停施工时，应当以书面形式要求承包人暂停施工，并在提出要求后48小时内提出书面处理意见。承包人应当按工程师要求停止施工，并妥善保护自己已完工程。承包人实施工程师作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14:paraId="16813D2D">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13、工期延误</w:t>
      </w:r>
    </w:p>
    <w:p w14:paraId="768A234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13.1因以下原因造成工期延误，经工程师确认，工期相应顺延；</w:t>
      </w:r>
    </w:p>
    <w:p w14:paraId="47CF0EE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（1）发包人未能按合同专用条款的约定提供图纸及开工条件；</w:t>
      </w:r>
    </w:p>
    <w:p w14:paraId="3FEEA76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（2）发包人未能按约定日期支付工程预付款、进度款，致使施工不能正常进行；</w:t>
      </w:r>
    </w:p>
    <w:p w14:paraId="1DFFB11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（3）工程师未按合同约定提供所需指令、批准等，致使施工不能正常进行；</w:t>
      </w:r>
    </w:p>
    <w:p w14:paraId="04E0989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（4）设计变更和工程量增加；</w:t>
      </w:r>
    </w:p>
    <w:p w14:paraId="2282D42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（5）一周内非承包人原因停水、停电、停气造成停工累计超过8小时；</w:t>
      </w:r>
    </w:p>
    <w:p w14:paraId="7DC597E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（6）不可抗力；</w:t>
      </w:r>
    </w:p>
    <w:p w14:paraId="687F9D0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（7）合同专用条款中约定或工程师同意工期顺延的其他情况。</w:t>
      </w:r>
    </w:p>
    <w:p w14:paraId="6ACE1CE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13.2承包人在13.1款情况发生后14天内，就延误的工期以书面形式向工程师提出报告。工程师在收到报告后14天内予以确认，逾期不予确认也不提出修改意见，视为同意顺延工期。</w:t>
      </w:r>
    </w:p>
    <w:p w14:paraId="11B71F91">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14、工程竣工</w:t>
      </w:r>
    </w:p>
    <w:p w14:paraId="46AF2AD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14.1承包人必须按照合同协议书约定的竣工日期或工程师同意顺延的工期竣工。</w:t>
      </w:r>
    </w:p>
    <w:p w14:paraId="38EBA8F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14.2因承包人原因不能按照合同协议书约定的竣工日期或工程师同意顺延的工期竣工的，承包人承担违约责任。</w:t>
      </w:r>
    </w:p>
    <w:p w14:paraId="7513754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14.3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14:paraId="36FBDD0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340FCA83">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四、质量与检验</w:t>
      </w:r>
    </w:p>
    <w:p w14:paraId="7F948A6C">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15、工程质量</w:t>
      </w:r>
    </w:p>
    <w:p w14:paraId="392FEF2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15.1工程质量应当达到合同协议书约定的质量标准，质量标准的评定以国家或行业的质量检验评定标准为依据。因承包人原因工程质量达不到约定的质量标准，承包人承担违约责任。</w:t>
      </w:r>
    </w:p>
    <w:p w14:paraId="703FC89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15.2双方对工程质量有争议，由双方同意的工程质量检测机构鉴定，所需费用及因此造成的损失，由责任方承担。双方均有责任，由双方根据其责任分别承担。</w:t>
      </w:r>
    </w:p>
    <w:p w14:paraId="03BFB996">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16、检查和返工</w:t>
      </w:r>
    </w:p>
    <w:p w14:paraId="38C5542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16.1承包人应认真按照标准、规范和设计图纸要求以及工程师依据合同发出的指令施工，随时接受工程师的检查检验，为检查检验提供便利条件。</w:t>
      </w:r>
    </w:p>
    <w:p w14:paraId="7AF8033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16.2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14:paraId="3EAF84D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16.3工程师的检查检验不应影响施工正常进行。如影响施工正常进行，检查检验不合格时，影响正常施工的费用由承包人承担。除此之外影响正常施工的追加合同价款由发包人承担，相应顺延工期。</w:t>
      </w:r>
    </w:p>
    <w:p w14:paraId="71F35FE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16.4因工程师指令失误或其他非承包人原因发生的追加合同价款，由发包人承担。</w:t>
      </w:r>
    </w:p>
    <w:p w14:paraId="7E234630">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17、隐蔽工程和中间验收</w:t>
      </w:r>
    </w:p>
    <w:p w14:paraId="77FBA13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17.1工程具备隐蔽条件或达到合同专用条款约定的中间验收部位，承包人进行自检，并在隐蔽或中间验收前48小时以书面形式通知工程师验收。通知包括隐蔽和中间验收的内容、验收时间和地点。承包人准备验收记录，验收合格，工程师在验收记录上签字后，承包人可进行隐蔽和继续施工。验收不合格，承包人在工程师限定的时间内修改后重新验收。</w:t>
      </w:r>
    </w:p>
    <w:p w14:paraId="1008C58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17.2工程师不能按时进行验收，应在验收前24小时以书面形式向承包人提出延期要求，延期不能超过48小时。工程师未能按以上时间提出延期要求，不进行验收，承包人可自行组织验收，工程师应承认验收记录。</w:t>
      </w:r>
    </w:p>
    <w:p w14:paraId="2A71F94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17.3经工程师验收，工程质量符合标准、规范和设计图纸等要求，验收24小时后，工程师不在验收记录上签字，视为工程师已经认可验收记录，承包人可进行隐蔽或继续施工。</w:t>
      </w:r>
    </w:p>
    <w:p w14:paraId="74C04C56">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18、重新检验</w:t>
      </w:r>
    </w:p>
    <w:p w14:paraId="296E0C7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无论工程师是否进行验收，当其要求对已经隐蔽的工程重新检验时，承包人应按要求进行剥离或开孔，并要检验后重新覆盖或修复。检验合格，发包人承担由此发生的全部追加合同价款，赔偿承包人损失，并相应顺延工期。检验不合格，承包人承担发生的全部费用，工期不予顺延。</w:t>
      </w:r>
    </w:p>
    <w:p w14:paraId="4E0129AA">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19、工程试车</w:t>
      </w:r>
    </w:p>
    <w:p w14:paraId="4D3DF87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19.1双方约定需要试车的，试车内容应与承包人承包的安装范围相一致。</w:t>
      </w:r>
    </w:p>
    <w:p w14:paraId="0DE45FC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19.2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14:paraId="72B0A01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19.3工程师不能按时参加试车，须在开始试车前24小时以书面形式向承包人提出延期要求，延期不能超过48小时。工程师未能按以上时间提出延期要求，不参加试车，应承认试车记录。</w:t>
      </w:r>
    </w:p>
    <w:p w14:paraId="2ED5C29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19.4设备安装工程具备无负荷联动试车条件，发包人组织试车，并在试车前48小时以书面形式通知承包人。通知包括试车内容、时间、地点和对承包人的要求，承包人按要求做好准备工作。试车合格，双方在试车记录上签字。</w:t>
      </w:r>
    </w:p>
    <w:p w14:paraId="41F69CE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19.5双方责任</w:t>
      </w:r>
    </w:p>
    <w:p w14:paraId="2649352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（1）由于设计原因试车达不到验收要求，发包人应要求设计单位修改设计，承包人按修改后的设计重新安装。发包人承担修改设计、拆除及重新安装的全部费用和追加合同价款，工期相应顺延。</w:t>
      </w:r>
    </w:p>
    <w:p w14:paraId="5F3FE10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14:paraId="0BD9C40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（3）由于承包人施工原因试车达不到验收要求，承包人按工程师要求重新安装和试车，并承担重新安装和试车的费用，工期不予顺延。</w:t>
      </w:r>
    </w:p>
    <w:p w14:paraId="3D6A10B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（4）试车费用除已包括在合同价款之内或合同专用条款另有约定外，均由发包人承担。</w:t>
      </w:r>
    </w:p>
    <w:p w14:paraId="797E5CB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（5）工程师在试车合格后不在试车记录上签字，试车结束24小时后，视为工程师已经认可试车记录，承包人可继续施工或办理竣工手续。</w:t>
      </w:r>
    </w:p>
    <w:p w14:paraId="2F19496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19.6投料试车应在工程竣工验收后由发包人负责，如发包人要求在工程竣工验收前进行或需要承包人配合时，应征得承包人同意，另行签订补充协议。</w:t>
      </w:r>
    </w:p>
    <w:p w14:paraId="7C21A96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3F401451">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五、安全文明施工</w:t>
      </w:r>
    </w:p>
    <w:p w14:paraId="1BC09583">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20、施工场地的占用和管理</w:t>
      </w:r>
    </w:p>
    <w:p w14:paraId="537D79A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20.1发包人应当依照合同专用条款约定的时间，按照其与监理单位会签认可的施工平面图给承包人提供施工场地。承包人必须在发包人提供的施工场地范围内布置、安排和组织施工，严禁擅自变更场地范围。因工程施工需要，承包人确需临时征用场地或道路的，必须事先取得监理单位和发包人的批准。</w:t>
      </w:r>
    </w:p>
    <w:p w14:paraId="5EE3AE8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20.2承包人应当严格遵守国家有关建设项目施工现场管理的有关规定，做好施工场地方方面面的管理工作，并应对管理不善引发的纠纷和损失承担全部责任。</w:t>
      </w:r>
    </w:p>
    <w:p w14:paraId="0CB0E5E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20.3工程竣工验收且办理了移交与接收手续后，承包人应当按照合同专用条款约定的时间，从施工场地搬走或清除其设备、临时设施以及多余的材料、余泥、垃圾，并保持现场和工程清洁整齐，达到发包人和总监理工程师满意的程度。</w:t>
      </w:r>
    </w:p>
    <w:p w14:paraId="3529CDF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20.4承包人应当随时接受政府主管部门的监督和执法检查，并对管理不善之处及时予以全面整改。</w:t>
      </w:r>
    </w:p>
    <w:p w14:paraId="54B72CAC">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21、安全施工与检查</w:t>
      </w:r>
    </w:p>
    <w:p w14:paraId="304D1C2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21.1承包人应遵守《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14:paraId="3CF4E1A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21.2发包人不得要求承包人违反安全管理的规定进行施工。因发包人原因导致的安全事故，由发包人承担相应责任及发生的费用。</w:t>
      </w:r>
    </w:p>
    <w:p w14:paraId="6FE83627">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22、安全防护</w:t>
      </w:r>
    </w:p>
    <w:p w14:paraId="5D3883C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22.1承包人在动力设备、输电线路、地下管道、密封防震车间、易燃易爆地段以及临街交通要道附近施工时，施工开始前应向工程师提出安全防护措施，经工程师认可后实施，防护措施费用由发包人承担。</w:t>
      </w:r>
    </w:p>
    <w:p w14:paraId="0352DDE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22.2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14:paraId="78A34FD4">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23、事故处理</w:t>
      </w:r>
    </w:p>
    <w:p w14:paraId="6EF240A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23.1发生重大伤亡及其他安全事故，承包人应按《建设工程安全管理条例》的规定立即上报有关部门并通知工程师，同时按政府有关部门要求处理，由事故责任方承担发生的费用。</w:t>
      </w:r>
    </w:p>
    <w:p w14:paraId="100E14F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23.2发包人、承包人对事故责任有争议时，应按政府有关部门的认定处理。</w:t>
      </w:r>
    </w:p>
    <w:p w14:paraId="57CC10A1">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24、文明施工与环境保护</w:t>
      </w:r>
    </w:p>
    <w:p w14:paraId="2A26C6C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24.1承包人应遵守工程建设文明施工有关管理规定，建立健全文明施工制度，切实采取有效措施，创建文明施工现场。</w:t>
      </w:r>
    </w:p>
    <w:p w14:paraId="49260A6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24.2在工程施工期间，根据建设项目环境保护的有关管理规定，承包人应采取所有合理的措施来保护施工场地内外的环境，避免由于其操作方法所造成的污染、噪声或其他问题而对周边的人员或公私财产造成干扰、损失或者损害。因承包人环保措施不力造成损害的责任和因此发生的费用，由承包人承担。</w:t>
      </w:r>
    </w:p>
    <w:p w14:paraId="7A49AD5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18CBAD5">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六、合同价款与支付</w:t>
      </w:r>
    </w:p>
    <w:p w14:paraId="732E725D">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25、合同价款及调整</w:t>
      </w:r>
    </w:p>
    <w:p w14:paraId="4B56E43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25.1招标工程的合同价款由发包人、承包人依据中标通知书中的中标价格在合同协议书内约定。非招标工程的合同价款由发包人、承包人依据工程预算书在合同协议书内约定。</w:t>
      </w:r>
    </w:p>
    <w:p w14:paraId="247EC48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25.2合同价款在合同协议书内约定后，任何一方不得擅自改变。下列三种确定合同价款的方式，双方可在合同专用条款内约定采用其中一种：</w:t>
      </w:r>
    </w:p>
    <w:p w14:paraId="4F7DE5B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（1）固定价格合同。双方在合同专用条款内约定合同价款包含的风险范围和风险费用的计算方法，在约定的风险范围内合同价款不再调整。风险范围以外的合同价款调整方法，应当在合同专用条款内约定。</w:t>
      </w:r>
    </w:p>
    <w:p w14:paraId="123CCD4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（2）可调价格合同。合同价款可根据双方的约定而调整，双方在合同专用条款内约定合同价款调整方法。</w:t>
      </w:r>
    </w:p>
    <w:p w14:paraId="192F7F6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（3）成本加酬金合同。合同价款包括成本和酬金两部分，双方在合同专用条款内约定成本构成和酬金的计算方法。</w:t>
      </w:r>
    </w:p>
    <w:p w14:paraId="250C79B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25.3可调价格合同中合同价款的调整因素包括：</w:t>
      </w:r>
    </w:p>
    <w:p w14:paraId="0D10D62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（1）法律、行政法规和国家有关政策变化影响合同价款；</w:t>
      </w:r>
    </w:p>
    <w:p w14:paraId="5E22CAC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（2）工程造价管理部门颁布的价格调整；</w:t>
      </w:r>
    </w:p>
    <w:p w14:paraId="798F21C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（3）一周内非承包人原因停水、停电、停气造成停工累计超过8小时；</w:t>
      </w:r>
    </w:p>
    <w:p w14:paraId="75890DE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（4）双方约定的其他因素。</w:t>
      </w:r>
    </w:p>
    <w:p w14:paraId="551FC16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25.4承包人应当在25.3款情况发生后14天内，将调整原因、金额以书面形式通知工程师，工程师确认调整金额后作为追加合同价款，与工程款同期支付。工程师收到承包人通知后14天内不予确认也不提出修改意见，视为已经同意该项调整。</w:t>
      </w:r>
    </w:p>
    <w:p w14:paraId="3C00A4F9">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26、工程预付款</w:t>
      </w:r>
    </w:p>
    <w:p w14:paraId="7C9F47B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实行工程预付款的，双方应当在合同专用条款内约定发包人向承包人预付工程款的时间和数额，开工后按约定的时间和比例逐次扣回。预付时间应不迟于约定的开工日期前7天。发包人不按约定预付，承包人在约定预付时间7天后向发包人发出要求预付的通知，发包人收到通知后仍不能按要求预付，承包人可在发出通知后7天停止施工，发包人应从约定应付之日起向承包人支付应付款的贷款利息，并承担违约责任。</w:t>
      </w:r>
    </w:p>
    <w:p w14:paraId="748738BD">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27、工程量的确认</w:t>
      </w:r>
    </w:p>
    <w:p w14:paraId="1EA50BB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27.1承包人应按合同专用条款约定的时间，向工程师提交已完工程量的报告。工程师接到报告后7天内按设计图纸核实已完工程量（以下称计量），并在计量前24小时通知承包人，承包人为计量提供便利条件并派人参加。承包人收到通知后不参加计量，计量结果有效，作为工程价款支付的依据。</w:t>
      </w:r>
    </w:p>
    <w:p w14:paraId="187399E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27.2工程师收到承包人报告后7天内未进行计量，从第8天起，承包人报告中开列的工程量即视为被确认，作为工程价款支付的依据。工程师不按约定时间通知承包人，致使承包人未能参加计量，计量结果无效。</w:t>
      </w:r>
    </w:p>
    <w:p w14:paraId="5CC79C8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27.3对承包人超出设计图纸范围和因承包人原因造成返工的工程量，工程师不予计量。</w:t>
      </w:r>
    </w:p>
    <w:p w14:paraId="1D696AFF">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28、工程款（进度款）支付</w:t>
      </w:r>
    </w:p>
    <w:p w14:paraId="7F68DE3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28.1在确认计量结果后14天内，发包人应向承包人支付工程款（进度款）。按约定时间发包人应扣回的预付款，与工程款（进度款）同期结算。</w:t>
      </w:r>
    </w:p>
    <w:p w14:paraId="7D4FFD3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28.2合同通用条款第25条确定调整的合同价款，第33条工程变更调整的合同价款及其他条款中约定的追加合同价款，应与工程款（进度款）同期调整支付。</w:t>
      </w:r>
    </w:p>
    <w:p w14:paraId="7CFFCED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28.3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14:paraId="7CB0E0A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28.4发包人不按合同约定支付工程款（进度款），双方又未达成延期付款协议，导致施工无法进行，承包人可停止施工，由发包人承担违约责任。</w:t>
      </w:r>
    </w:p>
    <w:p w14:paraId="56CA89FF">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七、材料设备供应</w:t>
      </w:r>
    </w:p>
    <w:p w14:paraId="4A40DAE2">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29、发包人供应材料设备</w:t>
      </w:r>
    </w:p>
    <w:p w14:paraId="3282376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29.1实行发包人供应材料设备的，双方应当约定发包人供应材料设备的一览表，作为合同附件。一览表包括发包人供应材料设备的品种、规格、型号、数量、单价、质量等级、提供时间和地点。</w:t>
      </w:r>
    </w:p>
    <w:p w14:paraId="03CAF3A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29.2发包人按一览表约定的内容提供材料设备，并向承包人提供产品合格证明，对其质量负责。发包人在所供材料设备到货前24小时，以书面形式通知承包人，由承包人派人与发包人共同清点。</w:t>
      </w:r>
    </w:p>
    <w:p w14:paraId="6099A9B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29.3发包人供应的材料设备，承包人派人参加清点后由承包人妥善保管，发包人支付相应保管费用。因承包人原因发生丢失损坏，由承包人负责赔偿。</w:t>
      </w:r>
    </w:p>
    <w:p w14:paraId="1752902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发包人未通知承包人清点，承包人不负责材料设备的保管，丢失损坏由发包人负责。</w:t>
      </w:r>
    </w:p>
    <w:p w14:paraId="5A1F88E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29.4发包人供应的材料设备与一览表不符时，发包人承担有关责任。发包人应承担责任的具体内容，双方根据下列情况在合同专用条款内约定：</w:t>
      </w:r>
    </w:p>
    <w:p w14:paraId="36015D7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（1）材料设备单价与一览表不符，由发包人承担所有价差；</w:t>
      </w:r>
    </w:p>
    <w:p w14:paraId="07E6060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（2）材料设备的品种、规格、型号、质量等级与一览表不符，承包人可拒绝接收保管，由发包人运出施工场地并重新采购；</w:t>
      </w:r>
    </w:p>
    <w:p w14:paraId="0B3041C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（3）发包人供应的材料规格、型号与一览表不符，经发包人同意，承包人可代为调剂串换，由发包人承担相应费用；</w:t>
      </w:r>
    </w:p>
    <w:p w14:paraId="3D6692E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（4）到货地点与一览表不符，由发包人负责运至一览表指定地点；</w:t>
      </w:r>
    </w:p>
    <w:p w14:paraId="5E64E16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（5）供应数量少于一览表约定的数量时，由发包人补齐，多于一览表约定数量时，发包人负责将多出部分运出施工场地；</w:t>
      </w:r>
    </w:p>
    <w:p w14:paraId="6FE5AF9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（6）到货时间早于一览表约定时间，由发包人承担因此发生的保管费用；到货时间迟于一览表约定的供应时间，发包人赔偿由此造成承包人损失，造成工期延误的，相应顺延工期。</w:t>
      </w:r>
    </w:p>
    <w:p w14:paraId="0DE71B1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29.5发包人供应的材料设备使用前，由承包人负责检验或试验，不合格的不得使用，检验或试验费用由发包人承担。</w:t>
      </w:r>
    </w:p>
    <w:p w14:paraId="5D09A81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29.6发包人供应材料设备的结算方法，双方在合同专用条款内约定。</w:t>
      </w:r>
    </w:p>
    <w:p w14:paraId="2625B0C2">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30、承包人采购材料设备</w:t>
      </w:r>
    </w:p>
    <w:p w14:paraId="58E2325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30.1承包人负责采购材料设备的，应按照合同专用条款约定及设计和有关标准要求采购，并提供产品合格证明，对材料设备质量负责。承包人在材料设备到货前24小时通知工程师清点。</w:t>
      </w:r>
    </w:p>
    <w:p w14:paraId="410EE43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30.2承包人采购的材料设备与设计或标准要求不符时，承包人应按工程师要求的时间运出施工场地，重新采购符合要求的产品，承担由此发生的费用，由此延误的工期不予顺延。</w:t>
      </w:r>
    </w:p>
    <w:p w14:paraId="33AA11B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30.3承包人采购的材料设备在使用前，承包人应按工程师的要求进行检验或试验，不合格的不得使用，检验或试验费用由承包人承担。</w:t>
      </w:r>
    </w:p>
    <w:p w14:paraId="55DB4F0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30.4工程师发现承包人采购并使用不符合设计或标准要求的材料或设备时，应要求由承包人负责修复、拆除或重新采购，并承担发生的费用，由此延误的工期不予顺延。</w:t>
      </w:r>
    </w:p>
    <w:p w14:paraId="2D68F3A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30.5承包人需要使用代用材料时，应经工程师认可后才能使用，由此增减的合同价款双方以书面形式议定。</w:t>
      </w:r>
    </w:p>
    <w:p w14:paraId="77D954B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30.6由承包人采购的材料设备，发包人不得指定生产厂或供应商。</w:t>
      </w:r>
    </w:p>
    <w:p w14:paraId="0EAEA24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1D337144">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八、工程变更</w:t>
      </w:r>
    </w:p>
    <w:p w14:paraId="55D2C422">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31、工程设计变更</w:t>
      </w:r>
    </w:p>
    <w:p w14:paraId="3C97151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31.1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14:paraId="23CA213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（1）更改工程有关部分的标高、基线、位置和尺寸；</w:t>
      </w:r>
    </w:p>
    <w:p w14:paraId="2BB4FE1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（2）增减合同中约定的工程量；</w:t>
      </w:r>
    </w:p>
    <w:p w14:paraId="07CBC88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（3）改变有关工程的施工时间和顺序；</w:t>
      </w:r>
    </w:p>
    <w:p w14:paraId="2A1B843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（4）其他有关工程变更需要的附加工作。</w:t>
      </w:r>
    </w:p>
    <w:p w14:paraId="0A3BA69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因变更导致合同价款的增减及造成的承包人损失，由发包人承担，延误的工期相应顺延。</w:t>
      </w:r>
    </w:p>
    <w:p w14:paraId="6020FB2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31.2施工中承包人不得对原工程设计进行变更。因承包人擅自变更设计发生的费用和由此导致发包人的直接损失，由承包人承担，延误的工期不予顺延。</w:t>
      </w:r>
    </w:p>
    <w:p w14:paraId="501A015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31.3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14:paraId="16EE1C7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工程师同意采用承包人合理化建议，所发生的费用和获得的收益，发包人、承包人另行约定分担或分享。</w:t>
      </w:r>
    </w:p>
    <w:p w14:paraId="5C314E69">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32、其他变更</w:t>
      </w:r>
    </w:p>
    <w:p w14:paraId="2352EDF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合同履行中发包人要求变更工程质量标准及发生其他实质性变更，由双方协商解决。</w:t>
      </w:r>
    </w:p>
    <w:p w14:paraId="4E8B5400">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33、确定变更价款</w:t>
      </w:r>
    </w:p>
    <w:p w14:paraId="0EB7034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33.1承包人在工程变更确定后14天内，提出变更工程价款的报告，经工程师确认后调整合同价款。变更合同价款按下列方法进行：</w:t>
      </w:r>
    </w:p>
    <w:p w14:paraId="55E127B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（1）合同中已有适用于变更工程的价格，按合同已有的价格变更合同价款；</w:t>
      </w:r>
    </w:p>
    <w:p w14:paraId="3C364FC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（2）合同中只有类似于变更工程的价格，可以参照类似价格变更合同价款；</w:t>
      </w:r>
    </w:p>
    <w:p w14:paraId="7590952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（3）合同中没有适用或类似于变更工程的价格，由承包人提出适当的变更价款，经工程师确认后执行。</w:t>
      </w:r>
    </w:p>
    <w:p w14:paraId="7DA02C8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33.2承包人在双方确定变更后14天内不向工程师提出变更工程价款报告时，视为该项变更不涉及合同价款的变更。</w:t>
      </w:r>
    </w:p>
    <w:p w14:paraId="0C3C716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33.3工程师应在收到变更工程价款报告之日起14天内予以确认，工程师无正当理由不确认时，自变更工程价款报告送达之日起14天后视为变更工程价款报告已被确认。</w:t>
      </w:r>
    </w:p>
    <w:p w14:paraId="536E852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33.4工程师不同意承包人提出的变更价款，按合同通用条款第40条关于争议的约定处理。</w:t>
      </w:r>
    </w:p>
    <w:p w14:paraId="360D9A9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33.5工程师确认增加的工程变更价款作为追加合同价款，与工程款同期支付。</w:t>
      </w:r>
    </w:p>
    <w:p w14:paraId="4F5F633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33.6因承包人自身原因导致的工程变更，承包人无权要求追加合同价款。</w:t>
      </w:r>
    </w:p>
    <w:p w14:paraId="0047C54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9EB6BE6">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九、竣工验收与结算</w:t>
      </w:r>
    </w:p>
    <w:p w14:paraId="5B1635DC">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34、竣工验收</w:t>
      </w:r>
    </w:p>
    <w:p w14:paraId="4433DD5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34.1工程具备竣工验收条件，承包人按国家工程竣工验收有关规定，向发包人提供完整竣工资料及竣工验收报告。双方约定由承包人提供竣工图的，应当在合同专用条款约定提供的日期和份数。</w:t>
      </w:r>
    </w:p>
    <w:p w14:paraId="6BFF8F8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34.2发包人收到竣工验收报告后28天内组织有关单位验收，并在验收后14天内给予认可或提出修改意见。承包人按要求修改，并承担由自身原因造成修改的费用。</w:t>
      </w:r>
    </w:p>
    <w:p w14:paraId="581BF27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34.3发包人收到承包人送交的竣工验收报告后28天内不组织验收，或验收后14天内不提出修改意见，视为竣工验收报告已被认可。</w:t>
      </w:r>
    </w:p>
    <w:p w14:paraId="45D086E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34.4工程竣工验收通过，承包人送交竣工验收报告的日期为实际竣工日期。工程按发包人要求修改后通过竣工验收的，实际竣工日期为承包人修改后提请发包人验收的日期。</w:t>
      </w:r>
    </w:p>
    <w:p w14:paraId="6F4B679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34.5发包人收到承包人竣工验收报告后28天内不组织验收，从第29天起承担工程保管及一切意外责任。</w:t>
      </w:r>
    </w:p>
    <w:p w14:paraId="055C7C6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34.6中间交工工程的范围和竣工时间，双方在合同专用条款内约定，其验收程序按合同通用条款34.1款至34.4款办理。</w:t>
      </w:r>
    </w:p>
    <w:p w14:paraId="3C44FEF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34.7因特殊原因，发包人要求部分单位工程或工程部位甩项竣工的，双方另行签订甩项竣工协议，明确双方责任和工程价款的支付方法。</w:t>
      </w:r>
    </w:p>
    <w:p w14:paraId="6AF3159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34.8工程未经竣工验收或竣工验收未通过的，发包人不得使用。发包人强行使用时，由此发生的质量问题及其他问题，由发包人承担责任。</w:t>
      </w:r>
    </w:p>
    <w:p w14:paraId="06E97F99">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35、工程移交</w:t>
      </w:r>
    </w:p>
    <w:p w14:paraId="5171EB4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双方在合同专用条款内约定工程移交办法。</w:t>
      </w:r>
    </w:p>
    <w:p w14:paraId="2E2F0A8B">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36、竣工结算</w:t>
      </w:r>
    </w:p>
    <w:p w14:paraId="1A87B56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36.1工程竣工验收报告经发包人认可后28天内，承包人向发包人递交竣工结算报告及完整的结算资料，双方按照合同协议书约定的合同价款及合同专用条款约定的合同价款调整内容，进行工程竣工结算。</w:t>
      </w:r>
    </w:p>
    <w:p w14:paraId="18E81D8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36.2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14:paraId="53C400D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36.3发包人收到竣工结算报告及结算资料后28天内无正当理由不支付工程竣工结算价款，从第29天起按承包人同期向银行贷款利率支付拖欠工程价款的利息，并承担违约责任。</w:t>
      </w:r>
    </w:p>
    <w:p w14:paraId="6057943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36.4发包人收到竣工结算报告及结算资料后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14:paraId="1D68E98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36.5工程竣工验收报告经发包人认可后28天内，承包人未能向发包人递交竣工结算报告及完整的结算资料，造成工程竣工结算不能正常进行或工程竣工结算价款不能及进支付，发包人要求交付工程的，承包人应当交付；发包人不要求交付工程的，承包人承担保管责任。</w:t>
      </w:r>
    </w:p>
    <w:p w14:paraId="1553E93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36.6发包人、承包人对工程竣工结算价款发生争议时，按合同通用条款40条关于争议的约定处理。</w:t>
      </w:r>
    </w:p>
    <w:p w14:paraId="36A0D04F">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37、质量保修</w:t>
      </w:r>
    </w:p>
    <w:p w14:paraId="6C5D9DD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37.1承包人应按法律、行政法规或国家关于工程质量保修的有关规定，对交付发包人使用的工程在质量保修期内承担质量保修责任。</w:t>
      </w:r>
    </w:p>
    <w:p w14:paraId="341ED90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37.2质量保修工作的实施。承包人应在工程竣工验收之前，与发包人签订质量保修书，作为合同附件1。</w:t>
      </w:r>
    </w:p>
    <w:p w14:paraId="5A592D2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37.3质量保修书的主要内容包括：</w:t>
      </w:r>
    </w:p>
    <w:p w14:paraId="317472D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（1）质量保修项目内容及范围；</w:t>
      </w:r>
    </w:p>
    <w:p w14:paraId="51E91ED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（2）质量保修期；</w:t>
      </w:r>
    </w:p>
    <w:p w14:paraId="734D971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（3）质量保修责任。</w:t>
      </w:r>
    </w:p>
    <w:p w14:paraId="7EB0105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（4）质量保修金的支付方法。</w:t>
      </w:r>
    </w:p>
    <w:p w14:paraId="6F5090F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2A29BDBB">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十、违约、索赔和争议</w:t>
      </w:r>
    </w:p>
    <w:p w14:paraId="28B36A32">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38、违约</w:t>
      </w:r>
    </w:p>
    <w:p w14:paraId="6733CF1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38.1发包人违约。当发生下列情况时：</w:t>
      </w:r>
    </w:p>
    <w:p w14:paraId="624E190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（1）合同通用条款第26条提到的发包人不按时支付工程预付款；</w:t>
      </w:r>
    </w:p>
    <w:p w14:paraId="07084AC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（2）合同通用条款第28.4款提到的发包人不按合同约定支付工程款，导致施工无法进行；</w:t>
      </w:r>
    </w:p>
    <w:p w14:paraId="679A005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（3）合同通用条款第36.3款提到的发包人无正当理由不支付工程竣工结算价款；</w:t>
      </w:r>
    </w:p>
    <w:p w14:paraId="1B6433D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（4）发包人不履行合同义务或不按合同约定履行义务的其他情况。</w:t>
      </w:r>
    </w:p>
    <w:p w14:paraId="702E6DB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发包人承担违约责任，赔偿因其违约给承包人造成的经济损失，顺延延误的工期。双方在合同专用条款内约定发包人赔偿承包人损失的计算方法或者发包人应当支付违约金的数额或计算方法。</w:t>
      </w:r>
    </w:p>
    <w:p w14:paraId="45652BC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38.2承包人违约。当发生下列情况时：</w:t>
      </w:r>
    </w:p>
    <w:p w14:paraId="0EB8E53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（1）合同通用条款第14.2款提到的因承包人原因不能按照合同协议书约定的竣工日期或工程师同意顺延的工期竣工；</w:t>
      </w:r>
    </w:p>
    <w:p w14:paraId="4640BDD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（2）合同通用条款第15.1款提到的因承包人原因工程质量达不到合同协议书约定的质量标准；</w:t>
      </w:r>
    </w:p>
    <w:p w14:paraId="57A5F9C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（3）承包人不履行合同义务或不按合同约定履行义务的其他情况。</w:t>
      </w:r>
    </w:p>
    <w:p w14:paraId="30CC925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承包人承担违约，赔偿因其违约给发包人造成的损失。双方在合同专用条款内约定承包人赔偿发包人损失的计算方法或者承包人应当支付违约金的数额或计算方法。</w:t>
      </w:r>
    </w:p>
    <w:p w14:paraId="15668E4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38.3一方违约后，另一方要求违约方继续履行合同时，违约方承担上述违约责任后仍应继续履行合同。</w:t>
      </w:r>
    </w:p>
    <w:p w14:paraId="5EA4DA12">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39、索赔</w:t>
      </w:r>
    </w:p>
    <w:p w14:paraId="0EE5015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39.1当一方向另一方提出索赔时，要有正当索赔理由，且有索赔事件发生时的有效证据。</w:t>
      </w:r>
    </w:p>
    <w:p w14:paraId="1761E81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39.2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14:paraId="75F8E49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（1）索赔事件发生后28天内，向工程师发出索赔意向通知；</w:t>
      </w:r>
    </w:p>
    <w:p w14:paraId="503C912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（2）发出索赔意向通知后28天内，向工程师提出延长工期和（或）补偿经济损失的索赔报告及有关资料；</w:t>
      </w:r>
    </w:p>
    <w:p w14:paraId="4D1AE4C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（3）工程师在收到承包人送交的索赔报告和有关资料后，于28天内给予答复，或要求承包人进一步补充索赔理由和证据；</w:t>
      </w:r>
    </w:p>
    <w:p w14:paraId="5D4B63B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（4）工程师在收到承包人送交的索赔报告和有关资料后28天内未予答复或未对承包人作出进一步要求，视为该项索赔已经认可；</w:t>
      </w:r>
    </w:p>
    <w:p w14:paraId="4187778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（5）当该索赔事件持续进行时，承包人应当阶段性向工程师发出索赔意向，在索赔事件终了后28天内，向工程师送交索赔的有关资料和最终索赔报告。索赔答复程序与（3）、（4）规定相同。</w:t>
      </w:r>
    </w:p>
    <w:p w14:paraId="1917D4D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39.3承包人未能按合同约定履行自己的各项义务或发生错误，给发包人造成经济损失，发包人可按39.2款确定的时限向承包人提出索赔。</w:t>
      </w:r>
    </w:p>
    <w:p w14:paraId="60B4F3B3">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40、争议</w:t>
      </w:r>
    </w:p>
    <w:p w14:paraId="3108C6C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40.1发包人、承包人在履行合同时发生争议，可以和解或者要求有关主管部门调解。当事人不愿和解、调解或者和解、调解不成的，双方可以在合同专用条款内约定以下一种方式解决争议：</w:t>
      </w:r>
    </w:p>
    <w:p w14:paraId="38DEFEF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第一种解决方式：双方达成仲裁协议，向约定的仲裁委员会申请仲裁；</w:t>
      </w:r>
    </w:p>
    <w:p w14:paraId="5223F88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第二种解决方式：向有管辖权的人民法院起诉。</w:t>
      </w:r>
    </w:p>
    <w:p w14:paraId="72C6E85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40.2发生争议后，除非出现下列情况的，双方都应继续履行合同，保持施工连续，保护好已完工程：</w:t>
      </w:r>
    </w:p>
    <w:p w14:paraId="47CD5A8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（1）单方违约导致合同确已无法履行，双方协议停止施工；</w:t>
      </w:r>
    </w:p>
    <w:p w14:paraId="039569B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（2）调解要求停止施工，且为双方接受；</w:t>
      </w:r>
    </w:p>
    <w:p w14:paraId="3BDE086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（3）仲裁机构要求停止施工；</w:t>
      </w:r>
    </w:p>
    <w:p w14:paraId="43553D0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（4）法院要求停止施工。</w:t>
      </w:r>
    </w:p>
    <w:p w14:paraId="58FB9EA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7D2BDC0">
      <w:pPr>
        <w:keepNext w:val="0"/>
        <w:keepLines w:val="0"/>
        <w:widowControl w:val="0"/>
        <w:suppressLineNumbers w:val="0"/>
        <w:adjustRightInd w:val="0"/>
        <w:snapToGrid w:val="0"/>
        <w:spacing w:before="0" w:beforeAutospacing="0" w:after="0" w:afterAutospacing="0" w:line="360" w:lineRule="auto"/>
        <w:ind w:left="0" w:right="11"/>
        <w:jc w:val="both"/>
        <w:outlineLvl w:val="1"/>
        <w:rPr>
          <w:rFonts w:hint="eastAsia" w:ascii="宋体" w:hAnsi="宋体" w:eastAsia="宋体" w:cs="宋体"/>
          <w:b/>
          <w:bCs w:val="0"/>
          <w:color w:val="auto"/>
          <w:kern w:val="0"/>
          <w:sz w:val="28"/>
          <w:szCs w:val="28"/>
          <w:highlight w:val="none"/>
        </w:rPr>
      </w:pPr>
      <w:r>
        <w:rPr>
          <w:rFonts w:hint="eastAsia" w:ascii="宋体" w:hAnsi="宋体" w:eastAsia="宋体" w:cs="宋体"/>
          <w:b/>
          <w:bCs w:val="0"/>
          <w:color w:val="auto"/>
          <w:kern w:val="0"/>
          <w:sz w:val="28"/>
          <w:szCs w:val="28"/>
          <w:highlight w:val="none"/>
          <w:lang w:val="en-US" w:eastAsia="zh-CN" w:bidi="ar"/>
        </w:rPr>
        <w:t>十一、其他</w:t>
      </w:r>
    </w:p>
    <w:p w14:paraId="7C132300">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41、工程分包</w:t>
      </w:r>
    </w:p>
    <w:p w14:paraId="652C4CC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41.1承包人按合同专用条款的约定分包所承包的部分工程，并与分包单位签订分包合同。非经发包人同意，承包人不得将承包工程的任务部分分包。</w:t>
      </w:r>
    </w:p>
    <w:p w14:paraId="332CA1C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41.2承包人不得将其承包的全部工程转包给他人，也不得将其承包的全部工程肢解以后以分包的名义分别转包给他人。</w:t>
      </w:r>
    </w:p>
    <w:p w14:paraId="6DF2072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41.3工程分包不能解除承包人任何责任与义务。承包人应在分包场地派驻相应管理人员，保证本合同的履行。分包单位的任何违约行为或疏忽导致工程损害或给发包人造成其他损失，承包人承担连带责任。</w:t>
      </w:r>
    </w:p>
    <w:p w14:paraId="0C3519F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41.4分包工程价款由承包人与发包单位结算。发包人未经承包人同意不得以任何形式向分包单位支付各种工程款项。</w:t>
      </w:r>
    </w:p>
    <w:p w14:paraId="62F5DDF5">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42、不可抗力</w:t>
      </w:r>
    </w:p>
    <w:p w14:paraId="593FFF1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42.1不可抗力包括因战争、动乱、空中飞行物体坠落或其他非发包人、承包人责任造成的爆炸、火灾，以及合同专用条款约定的风、雨、雪、洪、震等自然灾害。</w:t>
      </w:r>
    </w:p>
    <w:p w14:paraId="005A631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42.2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14:paraId="16C0117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42.3因不可抗力事件导致的费用及延误的工期由双方按以下方法分别承担：</w:t>
      </w:r>
    </w:p>
    <w:p w14:paraId="539B1DF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（1）工程本身的损害、因工程损害导致第三人人员伤亡和财产损失以及运至施工场地用于施工的材料和待安装的设备的损害，由发包人承担；</w:t>
      </w:r>
    </w:p>
    <w:p w14:paraId="42B7C51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（2）发包人、承包人人员伤亡由其所在单位负责，并承担相应费用；</w:t>
      </w:r>
    </w:p>
    <w:p w14:paraId="26E62D9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（3）承包人机械设备损坏及停工损失，由承包人承担；</w:t>
      </w:r>
    </w:p>
    <w:p w14:paraId="60DC69A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（4）停工期间，承包人应工程师要求留在施工场地的必要的管理人员及保卫人员的费用由发包人承担；</w:t>
      </w:r>
    </w:p>
    <w:p w14:paraId="62D9133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（5）工程所需清理、修复费用，由发包人承担；</w:t>
      </w:r>
    </w:p>
    <w:p w14:paraId="63F0A9A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（6）延误的工期相应顺延。</w:t>
      </w:r>
    </w:p>
    <w:p w14:paraId="709876F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42.4因合同一方迟延履行合同后发生不可抗力的，不能免除迟延履行方的相应责任。</w:t>
      </w:r>
    </w:p>
    <w:p w14:paraId="784F18AA">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43、保险</w:t>
      </w:r>
    </w:p>
    <w:p w14:paraId="0DF52D9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43.1工程开工前，发包人为建设工程和施工场地内的自有人员及第三人人员生命财产办理保险，支付保险费用。</w:t>
      </w:r>
    </w:p>
    <w:p w14:paraId="0C68DE8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43.2运至施工场地内用于工程的材料和待安装设备，由发包人办理保险，并支付保险费用。</w:t>
      </w:r>
    </w:p>
    <w:p w14:paraId="72C6FAB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43.3发包人可以将有关保险事项委托承包人办理，费用由发包人承担。</w:t>
      </w:r>
    </w:p>
    <w:p w14:paraId="1A20723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43.4承包人必须为从事危险作业的职工办理意外伤害保险，并为施工场地内自有人员生命财产和施工机械设备办理保险，支付保险费用。</w:t>
      </w:r>
    </w:p>
    <w:p w14:paraId="7115469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43.5保险事故发生时，发包人、承包人有责任尽力采取必要的措施，防止或者减少损失。</w:t>
      </w:r>
    </w:p>
    <w:p w14:paraId="5A63332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43.6具体投保内容和相关责任，发包人、承包人在合同专用条款中约定。</w:t>
      </w:r>
    </w:p>
    <w:p w14:paraId="64B5A7DF">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44、担保</w:t>
      </w:r>
    </w:p>
    <w:p w14:paraId="181AC1B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44.1发包人、承包人为了全面履行合同，应互相提供以下担保：</w:t>
      </w:r>
    </w:p>
    <w:p w14:paraId="2C846E7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（1）发包人向承包人提供履约担保，按合同约定支付工程价款及履行合同约定的其他义务。</w:t>
      </w:r>
    </w:p>
    <w:p w14:paraId="4ABB450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（2）承包人向发包人提供履约担保，按合同约定履行自己的各项义务。</w:t>
      </w:r>
    </w:p>
    <w:p w14:paraId="3C391C0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44.2一方违约后，另一方可要求提供担保的第三人承担相应责任。</w:t>
      </w:r>
    </w:p>
    <w:p w14:paraId="7CB4597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44.3提供担保的内容、方式和相关责任，发包人、承包人除在合同专用条款中约定外，被担保方与担保方还应签订担保合同，作为合同附件。</w:t>
      </w:r>
    </w:p>
    <w:p w14:paraId="2234CCAF">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45、专利技术及特殊工艺</w:t>
      </w:r>
    </w:p>
    <w:p w14:paraId="6E8DFE3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45.1发包人要求使用专利技术或特殊工艺，应负责办理相应的申报手续，承担申报、试验、使用等费用；承包人提出使用专利技术或特殊工艺，应取得工程师认可，承包人负责办理申报手续并承担有关费用。</w:t>
      </w:r>
    </w:p>
    <w:p w14:paraId="050BD0E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45.2擅自使用专利技术侵犯他人专利权的，责任者依法承担相应责任。</w:t>
      </w:r>
    </w:p>
    <w:p w14:paraId="29C82F8D">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46、文物和地下障碍物</w:t>
      </w:r>
    </w:p>
    <w:p w14:paraId="0449C48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46.1在施工中发现古墓、古建筑遗址等文物及化石或其他有考古、地质研究等价值的物品时，承包人应立即保护好现场并于4小时内以书面形式通知工程师，工程师应于收到书面通知后24小时内报告当地文物管理部门，发包人、承包人按管理部门的要求采取妥善保护措施。发包人承担由此发生的费用，顺延延误的工期。</w:t>
      </w:r>
    </w:p>
    <w:p w14:paraId="3E9FE63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如发现隐瞒不报，致使文物遭受破坏，责任者依法承担相应责任。</w:t>
      </w:r>
    </w:p>
    <w:p w14:paraId="04A9A2C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46.2施工中发现影响施工的地下障碍物时，承包人应于8小时内以书面形式通知工程师，同时提出处置方案，工程师收到处置方案后24小时内予以认可或提出修正方案。发包人承担由此发生的费用，顺延延误的工期。</w:t>
      </w:r>
    </w:p>
    <w:p w14:paraId="4D3DC88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所发现的地下障碍物有归属单位时，发包人应报请有关部门协同处置。</w:t>
      </w:r>
    </w:p>
    <w:p w14:paraId="6D7630C4">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47、合同解除</w:t>
      </w:r>
    </w:p>
    <w:p w14:paraId="7065390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47.1发包人、承包人协商一致，可以解除合同。</w:t>
      </w:r>
    </w:p>
    <w:p w14:paraId="35D8BDB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47.2发生合同通用条款第28.4款情况，停止施工超过56天，发包人仍不支付工程款（进度款），承包人有权解除合同。</w:t>
      </w:r>
    </w:p>
    <w:p w14:paraId="29C61BF3">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47.3发生合同通用条款第41.2款禁止的情况，承包人将其承包的全部工程转包给他人或者肢解以后以分包的名义分别转包给他人，发包人有权解除合同。</w:t>
      </w:r>
    </w:p>
    <w:p w14:paraId="3AB3E0B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47.4有下列情形之一的，发包人、承包人可以解除合同：</w:t>
      </w:r>
    </w:p>
    <w:p w14:paraId="624C183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（1）因不可抗力致使合同无法履行；</w:t>
      </w:r>
    </w:p>
    <w:p w14:paraId="3582AF0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（2）因一方违约（包括因发包人原因造成工程停建或缓建）致使合同无法履行。</w:t>
      </w:r>
    </w:p>
    <w:p w14:paraId="5370378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47.5一方依据本条第47.2、47.3、47.4款约定要求解除合同的，应以书面形式向对方发出解除合同的通知，并在发出通知前7天告知对方，通知到达对方时合同解除。对解除合同有争议的，按合同通用条款第40条关于争议的约定处理。</w:t>
      </w:r>
    </w:p>
    <w:p w14:paraId="5377FD0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47.6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14:paraId="39F693C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47.7合同解除后，不影响双方在合同约定的结算和清理条款的效力。</w:t>
      </w:r>
    </w:p>
    <w:p w14:paraId="538720F8">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48、合同生效与终止</w:t>
      </w:r>
    </w:p>
    <w:p w14:paraId="7E89525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48.1双方在合同协议书中约定合同生效方式。</w:t>
      </w:r>
    </w:p>
    <w:p w14:paraId="4DD6220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48.2除合同通用条款第40条外，发包人、承包人履行合同全部义务，竣工结算价款支付完毕，承包人向发包人交付竣工工程后，本合同即告终止。</w:t>
      </w:r>
    </w:p>
    <w:p w14:paraId="27959AB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48.3合同的权利义务终止后，发包人、承包人应当遵循诚实信用原则，履行通知，协助、保密等义务。</w:t>
      </w:r>
    </w:p>
    <w:p w14:paraId="216513C8">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49、合同份数</w:t>
      </w:r>
    </w:p>
    <w:p w14:paraId="6F968E2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49.1本合同正本两份，具有同等效力，由发包人、承包人分别保存一份。</w:t>
      </w:r>
    </w:p>
    <w:p w14:paraId="1B6DECD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49.2本合同副本份数，由双方根据需要在合同专用条款内约定。</w:t>
      </w:r>
    </w:p>
    <w:p w14:paraId="1EE7CFD9">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outlineLvl w:val="2"/>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50、补充条款</w:t>
      </w:r>
    </w:p>
    <w:p w14:paraId="4B89DEB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双方根据有关法律、行政法规规定，结合工程实际，经协商一致后，可对合同通用条款内容具体化、补充或修改，在合同专用条款内约定。</w:t>
      </w:r>
    </w:p>
    <w:p w14:paraId="5A50225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1DAF4E5A">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4"/>
          <w:highlight w:val="none"/>
          <w:lang w:val="en-US" w:eastAsia="zh-CN" w:bidi="ar"/>
        </w:rPr>
        <w:br w:type="page"/>
      </w:r>
    </w:p>
    <w:p w14:paraId="166DE5E5">
      <w:pPr>
        <w:keepNext w:val="0"/>
        <w:keepLines w:val="0"/>
        <w:widowControl w:val="0"/>
        <w:suppressLineNumbers w:val="0"/>
        <w:adjustRightInd w:val="0"/>
        <w:snapToGrid w:val="0"/>
        <w:spacing w:before="0" w:beforeAutospacing="0" w:after="0" w:afterAutospacing="0" w:line="360" w:lineRule="auto"/>
        <w:ind w:left="0" w:right="0"/>
        <w:jc w:val="center"/>
        <w:outlineLvl w:val="0"/>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val="en-US" w:eastAsia="zh-CN" w:bidi="ar"/>
        </w:rPr>
        <w:t>第四篇  合同附件</w:t>
      </w:r>
    </w:p>
    <w:p w14:paraId="51D48015">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附件1：</w:t>
      </w:r>
    </w:p>
    <w:p w14:paraId="78C1A9CC">
      <w:pPr>
        <w:keepNext w:val="0"/>
        <w:keepLines w:val="0"/>
        <w:widowControl w:val="0"/>
        <w:suppressLineNumbers w:val="0"/>
        <w:adjustRightInd w:val="0"/>
        <w:snapToGrid w:val="0"/>
        <w:spacing w:before="0" w:beforeAutospacing="0" w:after="0" w:afterAutospacing="0" w:line="360" w:lineRule="auto"/>
        <w:ind w:left="0" w:right="0"/>
        <w:jc w:val="center"/>
        <w:outlineLvl w:val="1"/>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工程质量保修书</w:t>
      </w:r>
    </w:p>
    <w:p w14:paraId="72992689">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0231976">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发包人：</w:t>
      </w:r>
      <w:r>
        <w:rPr>
          <w:rFonts w:hint="eastAsia" w:ascii="宋体" w:hAnsi="宋体" w:eastAsia="宋体" w:cs="宋体"/>
          <w:b/>
          <w:color w:val="auto"/>
          <w:kern w:val="0"/>
          <w:sz w:val="24"/>
          <w:szCs w:val="24"/>
          <w:highlight w:val="none"/>
          <w:lang w:val="en-US" w:eastAsia="zh-CN" w:bidi="ar"/>
        </w:rPr>
        <w:t>广州市重点公共建设项目管理中心</w:t>
      </w:r>
    </w:p>
    <w:p w14:paraId="1ABF1995">
      <w:pPr>
        <w:keepNext w:val="0"/>
        <w:keepLines w:val="0"/>
        <w:widowControl w:val="0"/>
        <w:suppressLineNumbers w:val="0"/>
        <w:adjustRightInd w:val="0"/>
        <w:snapToGrid w:val="0"/>
        <w:spacing w:before="0" w:beforeAutospacing="0" w:after="0" w:afterAutospacing="0" w:line="360" w:lineRule="auto"/>
        <w:ind w:left="1928" w:right="11" w:hanging="1928" w:hangingChars="8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承包人：中标赞助企业</w:t>
      </w:r>
    </w:p>
    <w:p w14:paraId="6E55C8D3">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3E13D0F9">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发包人、承包人根据《中华人民共和国建筑法》、《建设工程质量管理条例》和《房屋建筑工程质量保修办法》，经协商一致，对</w:t>
      </w:r>
      <w:r>
        <w:rPr>
          <w:rFonts w:hint="eastAsia" w:ascii="宋体" w:hAnsi="宋体" w:eastAsia="宋体" w:cs="宋体"/>
          <w:color w:val="auto"/>
          <w:kern w:val="0"/>
          <w:sz w:val="24"/>
          <w:szCs w:val="24"/>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color w:val="auto"/>
          <w:kern w:val="0"/>
          <w:sz w:val="24"/>
          <w:szCs w:val="24"/>
          <w:highlight w:val="none"/>
          <w:lang w:val="en-US" w:eastAsia="zh-CN" w:bidi="ar"/>
        </w:rPr>
        <w:t>（工程全称）签订工程质量保修书。</w:t>
      </w:r>
    </w:p>
    <w:p w14:paraId="6F5688E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一、工程质量保修范围和内容</w:t>
      </w:r>
    </w:p>
    <w:p w14:paraId="671C140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承包人在质量保修期内，按照有关法律、法规、规章的管理规定和双方约定，承担本工程质量保修责任。</w:t>
      </w:r>
    </w:p>
    <w:p w14:paraId="798F0A3D">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质量保修范围包括地基基础工程、主体结构工程，屋面防水工程、有防水要求的—卫生间、房间和外墙面的防渗漏，供热与供冷系统，电气管线、给排水管道设备安装和装修工程，以及双方约定的其他项目。</w:t>
      </w:r>
    </w:p>
    <w:p w14:paraId="4DB77A42">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二、质量保修期</w:t>
      </w:r>
    </w:p>
    <w:p w14:paraId="160D099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双方根据《建设工程质量管理条例》及有关规定，约定本工程的质量保修期如下：</w:t>
      </w:r>
    </w:p>
    <w:p w14:paraId="4CD618C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1．地基基础工程和主体结构工程，为设计文件规定的该工程的合理使用年限；</w:t>
      </w:r>
    </w:p>
    <w:p w14:paraId="43D5976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2．屋面防水工程、有防水要求的卫生间、房间和外墙面的防渗漏，为5年；</w:t>
      </w:r>
    </w:p>
    <w:p w14:paraId="07BDF0F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3．供热与供冷系统，为2个采暖期、供冷期；</w:t>
      </w:r>
    </w:p>
    <w:p w14:paraId="6B2F2C1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4．电气管线、给排水管道、设备安装为2年；</w:t>
      </w:r>
    </w:p>
    <w:p w14:paraId="1A1ADEBB">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5．装修工程为2年；</w:t>
      </w:r>
    </w:p>
    <w:p w14:paraId="029595A1">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6．其他项目的保修期限为2年。</w:t>
      </w:r>
    </w:p>
    <w:p w14:paraId="3EEE5590">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质量保修期自工程竣工验收合格之日起计算。</w:t>
      </w:r>
    </w:p>
    <w:p w14:paraId="6D8E7F2B">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三、质量保修责任</w:t>
      </w:r>
    </w:p>
    <w:p w14:paraId="49012E4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1．属于保修范围、内容的项目，承包人应当在接到保修通知之日起7天内派人保修。承包人不在约定期限内派人保修的，发包人可以委托他人修理。</w:t>
      </w:r>
    </w:p>
    <w:p w14:paraId="14CF0DCC">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2．发生紧急抢修事故的，承包人在接到事故通知后，应当立即到达事故现场抢修。</w:t>
      </w:r>
    </w:p>
    <w:p w14:paraId="632B0B50">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23C26564">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4．质量保修完成后，由发包人组织验收。</w:t>
      </w:r>
    </w:p>
    <w:p w14:paraId="31FF078F">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四、保修费用</w:t>
      </w:r>
    </w:p>
    <w:p w14:paraId="5844CFB8">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保修费用由造成质量缺陷的责任方承担。具体按照以下约定处理：</w:t>
      </w:r>
    </w:p>
    <w:p w14:paraId="12A49FE5">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保修期内，因承包人原因造成工程的缺陷、损坏，承包人应负责修复，并承担修复的费用以及因工程的缺陷、损坏造成的人身伤害和财产损失；承包人拒绝维修或未能在合理期限内修复缺陷或损坏，且经发包人书面催告后仍未修复的，发包人有权自行修复或委托第三方修复，所需费用由承包人承担。</w:t>
      </w:r>
    </w:p>
    <w:p w14:paraId="26FDC5EB">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2.保修期内，因发包人使用不当造成工程的缺陷、损坏，可以委托承包人修复，但发包人应承担修复的费用。</w:t>
      </w:r>
    </w:p>
    <w:p w14:paraId="5A7AAAD7">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3.因其他原因造成工程的缺陷、损坏，可以委托承包人修复，发包人应承担修复的费用，因工程的缺陷、损坏造成的人身伤害和财产损失由责任方承担。</w:t>
      </w:r>
    </w:p>
    <w:p w14:paraId="0C2E6342">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五、其他</w:t>
      </w:r>
    </w:p>
    <w:p w14:paraId="532986EE">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双方约定的其他工程质量保修事项：</w:t>
      </w:r>
      <w:r>
        <w:rPr>
          <w:rFonts w:hint="eastAsia" w:ascii="宋体" w:hAnsi="宋体" w:eastAsia="宋体" w:cs="宋体"/>
          <w:b/>
          <w:bCs w:val="0"/>
          <w:color w:val="auto"/>
          <w:kern w:val="2"/>
          <w:sz w:val="21"/>
          <w:szCs w:val="21"/>
          <w:highlight w:val="none"/>
          <w:u w:val="single"/>
          <w:lang w:val="en-US" w:eastAsia="zh-CN" w:bidi="ar"/>
        </w:rPr>
        <w:t xml:space="preserve">  /  </w:t>
      </w:r>
      <w:r>
        <w:rPr>
          <w:rFonts w:hint="eastAsia" w:ascii="宋体" w:hAnsi="宋体" w:eastAsia="宋体" w:cs="宋体"/>
          <w:color w:val="auto"/>
          <w:kern w:val="0"/>
          <w:sz w:val="24"/>
          <w:szCs w:val="24"/>
          <w:highlight w:val="none"/>
          <w:lang w:val="en-US" w:eastAsia="zh-CN" w:bidi="ar"/>
        </w:rPr>
        <w:t>。</w:t>
      </w:r>
    </w:p>
    <w:p w14:paraId="0996D7A2">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本工程质量保修书，由施工合同发包人、承包人双方在竣工验收前共同签署，作为施工合同附件其有效期限至保修期满。</w:t>
      </w:r>
    </w:p>
    <w:p w14:paraId="07F045B9">
      <w:pPr>
        <w:pStyle w:val="3"/>
        <w:keepNext w:val="0"/>
        <w:keepLines w:val="0"/>
        <w:widowControl w:val="0"/>
        <w:suppressLineNumbers w:val="0"/>
        <w:adjustRightInd w:val="0"/>
        <w:snapToGrid w:val="0"/>
        <w:spacing w:before="0" w:beforeAutospacing="0" w:after="0" w:afterAutospacing="0" w:line="360" w:lineRule="auto"/>
        <w:ind w:left="0" w:right="11" w:firstLine="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BF4516E">
      <w:pPr>
        <w:pStyle w:val="3"/>
        <w:keepNext w:val="0"/>
        <w:keepLines w:val="0"/>
        <w:widowControl w:val="0"/>
        <w:suppressLineNumbers w:val="0"/>
        <w:adjustRightInd w:val="0"/>
        <w:snapToGrid w:val="0"/>
        <w:spacing w:before="0" w:beforeAutospacing="0" w:after="0" w:afterAutospacing="0" w:line="360" w:lineRule="auto"/>
        <w:ind w:left="0" w:right="11" w:firstLine="0"/>
        <w:jc w:val="both"/>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bidi="ar"/>
        </w:rPr>
        <w:t xml:space="preserve"> </w:t>
      </w:r>
    </w:p>
    <w:p w14:paraId="2349D1BA">
      <w:pPr>
        <w:keepNext w:val="0"/>
        <w:keepLines w:val="0"/>
        <w:widowControl w:val="0"/>
        <w:suppressLineNumbers w:val="0"/>
        <w:adjustRightInd w:val="0"/>
        <w:snapToGrid w:val="0"/>
        <w:spacing w:before="0" w:beforeAutospacing="0" w:after="0" w:afterAutospacing="0" w:line="360" w:lineRule="auto"/>
        <w:ind w:left="1600" w:right="11" w:hanging="1600" w:hangingChars="800"/>
        <w:jc w:val="both"/>
        <w:rPr>
          <w:rFonts w:hint="eastAsia" w:ascii="宋体" w:hAnsi="宋体" w:eastAsia="宋体" w:cs="宋体"/>
          <w:b/>
          <w:bCs w:val="0"/>
          <w:color w:val="auto"/>
          <w:kern w:val="0"/>
          <w:sz w:val="24"/>
          <w:szCs w:val="24"/>
          <w:highlight w:val="none"/>
        </w:rPr>
      </w:pPr>
      <w:r>
        <w:rPr>
          <w:rFonts w:hint="eastAsia" w:ascii="宋体" w:hAnsi="宋体" w:eastAsia="宋体" w:cs="宋体"/>
          <w:color w:val="auto"/>
          <w:spacing w:val="-20"/>
          <w:kern w:val="0"/>
          <w:sz w:val="24"/>
          <w:szCs w:val="24"/>
          <w:highlight w:val="none"/>
          <w:lang w:val="en-US" w:eastAsia="zh-CN" w:bidi="ar"/>
        </w:rPr>
        <w:br w:type="page"/>
      </w:r>
      <w:r>
        <w:rPr>
          <w:rFonts w:hint="eastAsia" w:ascii="宋体" w:hAnsi="宋体" w:eastAsia="宋体" w:cs="宋体"/>
          <w:color w:val="auto"/>
          <w:spacing w:val="-20"/>
          <w:kern w:val="0"/>
          <w:sz w:val="24"/>
          <w:szCs w:val="24"/>
          <w:highlight w:val="none"/>
          <w:lang w:val="en-US" w:eastAsia="zh-CN" w:bidi="ar"/>
        </w:rPr>
        <w:t>发包人：</w:t>
      </w:r>
      <w:r>
        <w:rPr>
          <w:rFonts w:hint="eastAsia" w:ascii="宋体" w:hAnsi="宋体" w:eastAsia="宋体" w:cs="宋体"/>
          <w:b/>
          <w:color w:val="auto"/>
          <w:spacing w:val="-20"/>
          <w:kern w:val="0"/>
          <w:sz w:val="24"/>
          <w:szCs w:val="24"/>
          <w:highlight w:val="none"/>
          <w:lang w:val="en-US" w:eastAsia="zh-CN" w:bidi="ar"/>
        </w:rPr>
        <w:t>广州市重点公共建设项目管理中心</w:t>
      </w:r>
      <w:r>
        <w:rPr>
          <w:rFonts w:hint="eastAsia" w:ascii="宋体" w:hAnsi="宋体" w:eastAsia="宋体" w:cs="宋体"/>
          <w:color w:val="auto"/>
          <w:spacing w:val="-20"/>
          <w:kern w:val="0"/>
          <w:sz w:val="24"/>
          <w:szCs w:val="24"/>
          <w:highlight w:val="none"/>
          <w:lang w:val="en-US" w:eastAsia="zh-CN" w:bidi="ar"/>
        </w:rPr>
        <w:t xml:space="preserve">       承包人：</w:t>
      </w:r>
      <w:r>
        <w:rPr>
          <w:rFonts w:hint="eastAsia" w:ascii="宋体" w:hAnsi="宋体" w:eastAsia="宋体" w:cs="宋体"/>
          <w:b/>
          <w:bCs w:val="0"/>
          <w:color w:val="auto"/>
          <w:kern w:val="0"/>
          <w:sz w:val="24"/>
          <w:szCs w:val="24"/>
          <w:highlight w:val="none"/>
          <w:lang w:val="en-US" w:eastAsia="zh-CN" w:bidi="ar"/>
        </w:rPr>
        <w:t>中标赞助企业</w:t>
      </w:r>
    </w:p>
    <w:p w14:paraId="1B13D93E">
      <w:pPr>
        <w:keepNext w:val="0"/>
        <w:keepLines w:val="0"/>
        <w:widowControl w:val="0"/>
        <w:suppressLineNumbers w:val="0"/>
        <w:adjustRightInd w:val="0"/>
        <w:snapToGrid w:val="0"/>
        <w:spacing w:before="0" w:beforeAutospacing="0" w:after="0" w:afterAutospacing="0" w:line="360" w:lineRule="auto"/>
        <w:ind w:left="0" w:right="11" w:firstLine="2400" w:firstLineChars="10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（盖章）                         （盖章）</w:t>
      </w:r>
    </w:p>
    <w:p w14:paraId="2FB595A2">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C55A0C7">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法定代表人：                           法定代表人：</w:t>
      </w:r>
    </w:p>
    <w:p w14:paraId="21288F1A">
      <w:pPr>
        <w:keepNext w:val="0"/>
        <w:keepLines w:val="0"/>
        <w:widowControl w:val="0"/>
        <w:suppressLineNumbers w:val="0"/>
        <w:adjustRightInd w:val="0"/>
        <w:snapToGrid w:val="0"/>
        <w:spacing w:before="0" w:beforeAutospacing="0" w:after="0" w:afterAutospacing="0" w:line="360" w:lineRule="auto"/>
        <w:ind w:left="-2" w:leftChars="-1"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6651B53">
      <w:pPr>
        <w:keepNext w:val="0"/>
        <w:keepLines w:val="0"/>
        <w:widowControl w:val="0"/>
        <w:suppressLineNumbers w:val="0"/>
        <w:adjustRightInd w:val="0"/>
        <w:snapToGrid w:val="0"/>
        <w:spacing w:before="0" w:beforeAutospacing="0" w:after="0" w:afterAutospacing="0" w:line="360" w:lineRule="auto"/>
        <w:ind w:left="-2" w:leftChars="-1"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委托代理人：                           委托代理人：</w:t>
      </w:r>
    </w:p>
    <w:p w14:paraId="5480B8CF">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C1868AA">
      <w:pPr>
        <w:keepNext w:val="0"/>
        <w:keepLines w:val="0"/>
        <w:widowControl w:val="0"/>
        <w:suppressLineNumbers w:val="0"/>
        <w:adjustRightInd w:val="0"/>
        <w:snapToGrid w:val="0"/>
        <w:spacing w:before="0" w:beforeAutospacing="0" w:after="0" w:afterAutospacing="0" w:line="360" w:lineRule="auto"/>
        <w:ind w:left="0" w:right="1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20  年   月   日                       20  年   月   日</w:t>
      </w:r>
    </w:p>
    <w:p w14:paraId="07AFD4A8">
      <w:pPr>
        <w:keepNext w:val="0"/>
        <w:keepLines w:val="0"/>
        <w:widowControl w:val="0"/>
        <w:suppressLineNumbers w:val="0"/>
        <w:adjustRightInd w:val="0"/>
        <w:snapToGrid w:val="0"/>
        <w:spacing w:before="0" w:beforeAutospacing="0" w:after="0" w:afterAutospacing="0" w:line="360" w:lineRule="auto"/>
        <w:ind w:left="0" w:right="1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8B5A4F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default" w:ascii="Times New Roman" w:hAnsi="Times New Roman" w:cs="Times New Roman" w:eastAsiaTheme="minorEastAsia"/>
          <w:color w:val="auto"/>
          <w:kern w:val="0"/>
          <w:sz w:val="21"/>
          <w:szCs w:val="21"/>
          <w:highlight w:val="none"/>
          <w:lang w:val="en-US" w:eastAsia="zh-CN" w:bidi="ar"/>
        </w:rPr>
        <w:br w:type="page"/>
      </w:r>
      <w:r>
        <w:rPr>
          <w:rFonts w:hint="eastAsia" w:ascii="宋体" w:hAnsi="宋体" w:eastAsia="宋体" w:cs="宋体"/>
          <w:color w:val="auto"/>
          <w:kern w:val="0"/>
          <w:sz w:val="24"/>
          <w:szCs w:val="24"/>
          <w:highlight w:val="none"/>
          <w:lang w:val="en-US" w:eastAsia="zh-CN" w:bidi="ar"/>
        </w:rPr>
        <w:t>附件2：</w:t>
      </w:r>
    </w:p>
    <w:p w14:paraId="1150B015">
      <w:pPr>
        <w:keepNext w:val="0"/>
        <w:keepLines w:val="0"/>
        <w:widowControl w:val="0"/>
        <w:suppressLineNumbers w:val="0"/>
        <w:adjustRightInd w:val="0"/>
        <w:snapToGrid w:val="0"/>
        <w:spacing w:before="0" w:beforeAutospacing="0" w:after="0" w:afterAutospacing="0" w:line="360" w:lineRule="auto"/>
        <w:ind w:left="0" w:right="0"/>
        <w:jc w:val="center"/>
        <w:outlineLvl w:val="1"/>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工程建设廉洁协议书</w:t>
      </w:r>
    </w:p>
    <w:p w14:paraId="0ECA268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 </w:t>
      </w:r>
    </w:p>
    <w:p w14:paraId="388A0F5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工程项目名称：</w:t>
      </w:r>
      <w:r>
        <w:rPr>
          <w:rFonts w:hint="eastAsia" w:ascii="宋体" w:hAnsi="宋体" w:eastAsia="宋体" w:cs="宋体"/>
          <w:color w:val="auto"/>
          <w:kern w:val="0"/>
          <w:sz w:val="24"/>
          <w:szCs w:val="24"/>
          <w:highlight w:val="none"/>
          <w:u w:val="single"/>
          <w:lang w:val="en-US" w:eastAsia="zh-CN" w:bidi="ar"/>
        </w:rPr>
        <w:t>第十五届全运会广东奥林匹克体育中心升级改造项目、第十五届全运会广东省人民体育场改造项目体育工艺（设备类）采购及相关服务</w:t>
      </w:r>
    </w:p>
    <w:p w14:paraId="4279C7F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工程项目地址： </w:t>
      </w:r>
    </w:p>
    <w:p w14:paraId="5C2CE21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甲方（发包人）：广州市重点公共建设项目管理中心</w:t>
      </w:r>
    </w:p>
    <w:p w14:paraId="4193143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乙方（承包人）：中标赞助企业</w:t>
      </w:r>
    </w:p>
    <w:p w14:paraId="1A1A975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E5677F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为切实规范甲乙双方的各项建筑活动，预防本工程违法违纪等腐败现象的发生，保障工程建设优质、安全和廉洁，根据《广州市建筑市场廉洁准入规定》及相关法律法规的规定，特订立本协议书。</w:t>
      </w:r>
    </w:p>
    <w:p w14:paraId="35D5E70F">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第一条 甲乙双方责任</w:t>
      </w:r>
    </w:p>
    <w:p w14:paraId="10FE5A7C">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（一）严格遵守国家和省、市关于市场准入、项目招标投标、工程施工、工程验收、结算和市场活动等有关法律、法规，相关政策，以及廉政建设的各项约定。</w:t>
      </w:r>
    </w:p>
    <w:p w14:paraId="614F34B2">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（二）严格执行建设工程项目承发包合同文件，自觉按合同办事。</w:t>
      </w:r>
    </w:p>
    <w:p w14:paraId="5E9C175C">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三）建筑活动必须坚持公开、公平、公正、诚信、透明的原则（除法律法规另有规定者外），不得为获取不正当的利益，损害国家、集体和对方利益，不得违反国家、省、市和甲方有关工程建设管理的规章制度。</w:t>
      </w:r>
    </w:p>
    <w:p w14:paraId="7C78B7D8">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（四）发现对方在建筑活动中存在违规、违纪、违法行为的，有权向其上级主管部门或纪检监察、检察等有关机关举报。</w:t>
      </w:r>
    </w:p>
    <w:p w14:paraId="4F7B833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（五）甲乙双方单位监督部门应充分发挥各自职能作用，积极互动形成纵向监督合力，依照本协议书规定，对本工程廉洁从业情况实施监督，及时制止不廉洁行为的发生。</w:t>
      </w:r>
    </w:p>
    <w:p w14:paraId="5EC75E10">
      <w:pPr>
        <w:keepNext w:val="0"/>
        <w:keepLines w:val="0"/>
        <w:widowControl w:val="0"/>
        <w:suppressLineNumbers w:val="0"/>
        <w:adjustRightInd w:val="0"/>
        <w:snapToGrid w:val="0"/>
        <w:spacing w:before="0" w:beforeAutospacing="0" w:after="0" w:afterAutospacing="0" w:line="360" w:lineRule="auto"/>
        <w:ind w:left="0" w:right="0" w:firstLine="470" w:firstLineChars="196"/>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第二条 甲方责任</w:t>
      </w:r>
    </w:p>
    <w:p w14:paraId="276D018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（一）甲方领导干部和从事该工程建设的管理人员，在建筑活动中须严格遵守以下廉洁从业规定：</w:t>
      </w:r>
    </w:p>
    <w:p w14:paraId="13EBC63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1.不准向乙方和相关单位或个人索取钱物或接受回扣、礼金、各种有价证券、信用卡和好处费、感谢费以及其它支付凭证等。</w:t>
      </w:r>
    </w:p>
    <w:p w14:paraId="0AB8787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2.不准接受可能影响公正执行公务的乙方和相关单位或个人的礼物馈赠、宴请、各种形式俱乐部会员资格、高消费娱乐活动。</w:t>
      </w:r>
    </w:p>
    <w:p w14:paraId="4AF018A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3.不准在乙方和相关单位报销任何应由甲方或个人负担的费用。</w:t>
      </w:r>
    </w:p>
    <w:p w14:paraId="3F8F630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4.不准要求、暗示或接受乙方和相关单位或个人为自己、配偶、子女、其他亲属朋友及身边工作人员的装修住房、婚丧嫁娶、工作安排、学习培训、经商办企业以及出国（境）、旅游、度假等支付费用。</w:t>
      </w:r>
    </w:p>
    <w:p w14:paraId="3A483EC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5.不准向乙方介绍配偶、子女、其他亲属朋友及身边工作人员参与同甲方项目工程合同有关的设备、材料、工程分包、劳务等经济活动。</w:t>
      </w:r>
    </w:p>
    <w:p w14:paraId="4C969AF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6.不得以任何理由向乙方和相关单位推荐分包单位和要求或暗示乙方购买项目工程合同规定外的材料、设备等。</w:t>
      </w:r>
    </w:p>
    <w:p w14:paraId="13EF7A5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（二）正式开工前组织与乙方廉洁责任人见面会，进行廉洁工程建设交底，明确廉洁工程建设责任和目标任务、举报方式。</w:t>
      </w:r>
    </w:p>
    <w:p w14:paraId="33E59D1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（三）加强对质量安全、计量支付、工程变更以及工程结算等建设管理环节的监督管理，特别是各业务审批效能方面的监察检查，提高建设管理服务水平。</w:t>
      </w:r>
    </w:p>
    <w:p w14:paraId="39B97E8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（四）在工地现场设置反腐倡廉举报箱和公开举报电话，并组织开展廉政座谈、法制讲座、参观监狱等活动，加强廉洁自律教育，营造廉洁工地文化氛围，筑牢文化防腐第一道防线。</w:t>
      </w:r>
    </w:p>
    <w:p w14:paraId="3653B9B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（五）成立现场监督工作机构，不定期对工地建设管理及监督工作情况开展巡查，对发现的有关问题，及时协调给予现场解决。</w:t>
      </w:r>
    </w:p>
    <w:p w14:paraId="3668103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第三条 乙方责任</w:t>
      </w:r>
    </w:p>
    <w:p w14:paraId="1E3B362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（一）与甲方保持正常的业务交往，遵守以下规定：</w:t>
      </w:r>
    </w:p>
    <w:p w14:paraId="252E8A9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1.不准以任何理由向甲方人员行贿或赠送回扣、礼金、各种有价证券、信用卡和好处费、感谢费及其它支付凭证等。</w:t>
      </w:r>
    </w:p>
    <w:p w14:paraId="77F80A6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2.不准以任何理由为甲方人员组织有可能影响公正执行公务的宴请、各种形式俱乐部及高消费娱乐等活动。</w:t>
      </w:r>
    </w:p>
    <w:p w14:paraId="3302B8C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3.不准以任何理由为甲方或个人报销应由对方或个人支付的费用。</w:t>
      </w:r>
    </w:p>
    <w:p w14:paraId="54B8A2B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4.不准暗示或要求为甲方人员及其配偶、子女、其他亲属朋友及身边工作人员的装修住房、婚丧嫁娶、工作安排、学习培训、经商办企业以及出国（境）、旅游、度假提供方便和支付费用。</w:t>
      </w:r>
    </w:p>
    <w:p w14:paraId="081D8ED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5.不准介绍和安排甲方人员及其配偶、子女、其他亲属朋友及身边工作人员参与同甲方工程项目有关的设备、材料、工程分包、劳务等经济活动。</w:t>
      </w:r>
    </w:p>
    <w:p w14:paraId="4699651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（二）细化内部廉洁工程建设任务，分解责任，明确落实到项目部管理人员，层层签订廉洁从业责任状，形成有效的管理机制。</w:t>
      </w:r>
    </w:p>
    <w:p w14:paraId="54FD553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（三）成立现场施工监督工作组，负责项目部廉政责任组织落实，工地廉洁文化建设以及对现场实施进行监督管理，并接受甲方监督工作机构的再监督。</w:t>
      </w:r>
    </w:p>
    <w:p w14:paraId="58A2FB64">
      <w:pPr>
        <w:keepNext w:val="0"/>
        <w:keepLines w:val="0"/>
        <w:widowControl w:val="0"/>
        <w:suppressLineNumbers w:val="0"/>
        <w:adjustRightInd w:val="0"/>
        <w:snapToGrid w:val="0"/>
        <w:spacing w:before="0" w:beforeAutospacing="0" w:after="0" w:afterAutospacing="0" w:line="360" w:lineRule="auto"/>
        <w:ind w:left="0" w:right="0" w:firstLine="64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（四）按甲方要求在工地项目部设置廉洁文化教育专区，开展观看警示教育片、图片展览等教育活动，加强对员工的法律法规、廉洁和职业道德教育。</w:t>
      </w:r>
    </w:p>
    <w:p w14:paraId="3DE405F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第四条 违约责任</w:t>
      </w:r>
    </w:p>
    <w:p w14:paraId="450266F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（一）甲方违约责任</w:t>
      </w:r>
    </w:p>
    <w:p w14:paraId="1E20CBD5">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1.甲方</w:t>
      </w:r>
      <w:r>
        <w:rPr>
          <w:rFonts w:hint="eastAsia" w:ascii="宋体" w:hAnsi="宋体" w:eastAsia="宋体" w:cs="宋体"/>
          <w:bCs/>
          <w:color w:val="auto"/>
          <w:kern w:val="0"/>
          <w:sz w:val="24"/>
          <w:szCs w:val="24"/>
          <w:highlight w:val="none"/>
          <w:lang w:val="en-US" w:eastAsia="zh-CN" w:bidi="ar"/>
        </w:rPr>
        <w:t>不履行或不完全履行本协议书有关责任义务给乙方造成损失的，在乙方提交足够证据并经查证属实的情况下，甲方赔偿其直接经济损失。</w:t>
      </w:r>
    </w:p>
    <w:p w14:paraId="3317205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2.甲方人员出现受贿等严重违法违纪违规行为的，按照管理权限，依据有关法律法规和规定给予党纪、政纪处分或组织处理；涉嫌犯罪的，移交司法机关追究刑事责任。</w:t>
      </w:r>
    </w:p>
    <w:p w14:paraId="5054C511">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（二）乙方违约责任</w:t>
      </w:r>
    </w:p>
    <w:p w14:paraId="03B96E2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bCs/>
          <w:color w:val="auto"/>
          <w:kern w:val="0"/>
          <w:sz w:val="24"/>
          <w:szCs w:val="24"/>
          <w:highlight w:val="none"/>
          <w:lang w:val="en-US" w:eastAsia="zh-CN" w:bidi="ar"/>
        </w:rPr>
        <w:t>乙方不履行或不完全履行本协议书有关责任义务的，</w:t>
      </w:r>
      <w:r>
        <w:rPr>
          <w:rFonts w:hint="eastAsia" w:ascii="宋体" w:hAnsi="宋体" w:eastAsia="宋体" w:cs="宋体"/>
          <w:color w:val="auto"/>
          <w:kern w:val="0"/>
          <w:sz w:val="24"/>
          <w:szCs w:val="24"/>
          <w:highlight w:val="none"/>
          <w:lang w:val="en-US" w:eastAsia="zh-CN" w:bidi="ar"/>
        </w:rPr>
        <w:t>按本工程合同</w:t>
      </w:r>
      <w:r>
        <w:rPr>
          <w:rFonts w:hint="eastAsia" w:ascii="宋体" w:hAnsi="宋体" w:eastAsia="宋体" w:cs="宋体"/>
          <w:bCs/>
          <w:color w:val="auto"/>
          <w:kern w:val="0"/>
          <w:sz w:val="24"/>
          <w:szCs w:val="24"/>
          <w:highlight w:val="none"/>
          <w:lang w:val="en-US" w:eastAsia="zh-CN" w:bidi="ar"/>
        </w:rPr>
        <w:t>规定须承担一次一般违约责任。情节较轻的，可给予书面警告；情节较重的，须承担一次严重违约责任。</w:t>
      </w:r>
    </w:p>
    <w:p w14:paraId="441AA354">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2.乙方</w:t>
      </w:r>
      <w:r>
        <w:rPr>
          <w:rFonts w:hint="eastAsia" w:ascii="宋体" w:hAnsi="宋体" w:eastAsia="宋体" w:cs="宋体"/>
          <w:color w:val="auto"/>
          <w:kern w:val="0"/>
          <w:sz w:val="24"/>
          <w:szCs w:val="24"/>
          <w:highlight w:val="none"/>
          <w:lang w:val="en-US" w:eastAsia="zh-CN" w:bidi="ar"/>
        </w:rPr>
        <w:t>出现严重违法违纪违规行为的，甲方将上报市检察院或监察机关依法查处，并提请建设行政主管部门根据《广州市建筑市场廉洁准入规定（试行）》给予限制或者取消其进入广州市建筑市场从事建筑活动的资格等处罚。</w:t>
      </w:r>
    </w:p>
    <w:p w14:paraId="461308E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第五条 甲乙双方监管部门</w:t>
      </w:r>
    </w:p>
    <w:p w14:paraId="39450AAF">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1.甲方监督部门：纪检审计室，举报电话/电子邮箱：020-22905611/gcpcjj@gz.gov.cn（纪委书记信箱）。</w:t>
      </w:r>
    </w:p>
    <w:p w14:paraId="7CCE35B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2.乙方监督部门：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，举报电话：</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廉政责任人：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，职务：</w:t>
      </w:r>
      <w:r>
        <w:rPr>
          <w:rFonts w:hint="eastAsia" w:ascii="宋体" w:hAnsi="宋体" w:eastAsia="宋体" w:cs="宋体"/>
          <w:color w:val="auto"/>
          <w:kern w:val="0"/>
          <w:sz w:val="24"/>
          <w:szCs w:val="24"/>
          <w:highlight w:val="none"/>
          <w:u w:val="single"/>
          <w:lang w:val="en-US" w:eastAsia="zh-CN" w:bidi="ar"/>
        </w:rPr>
        <w:t xml:space="preserve">    ； </w:t>
      </w:r>
      <w:r>
        <w:rPr>
          <w:rFonts w:hint="eastAsia" w:ascii="宋体" w:hAnsi="宋体" w:eastAsia="宋体" w:cs="宋体"/>
          <w:color w:val="auto"/>
          <w:kern w:val="0"/>
          <w:sz w:val="24"/>
          <w:szCs w:val="24"/>
          <w:highlight w:val="none"/>
          <w:lang w:val="en-US" w:eastAsia="zh-CN" w:bidi="ar"/>
        </w:rPr>
        <w:t xml:space="preserve">  联系人：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，职务：</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上级主管部门：</w:t>
      </w:r>
      <w:r>
        <w:rPr>
          <w:rFonts w:hint="eastAsia" w:ascii="宋体" w:hAnsi="宋体" w:eastAsia="宋体" w:cs="宋体"/>
          <w:color w:val="auto"/>
          <w:kern w:val="0"/>
          <w:sz w:val="24"/>
          <w:szCs w:val="24"/>
          <w:highlight w:val="none"/>
          <w:u w:val="single"/>
          <w:lang w:val="en-US" w:eastAsia="zh-CN" w:bidi="ar"/>
        </w:rPr>
        <w:t xml:space="preserve">        。</w:t>
      </w:r>
    </w:p>
    <w:p w14:paraId="0971D14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第六条 本协议书作为工程施工合同的附件，与工程施工合同具有同等法律效力。经双方签字盖章后生效。</w:t>
      </w:r>
    </w:p>
    <w:p w14:paraId="7C3E47F7">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第七条 本协议书有效期为双方签字盖章之日起至所属工程项目合同履行完毕时止。</w:t>
      </w:r>
    </w:p>
    <w:p w14:paraId="602A199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第八条 未尽事宜，由双方协商解决。</w:t>
      </w:r>
    </w:p>
    <w:p w14:paraId="08C8779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11D4F26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5C2C91F">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lang w:val="en-US" w:eastAsia="zh-CN" w:bidi="ar"/>
        </w:rPr>
        <w:t>甲方：广州市重点公共建设项目管理中心            乙方：中标赞助企业</w:t>
      </w:r>
      <w:r>
        <w:rPr>
          <w:rFonts w:hint="eastAsia" w:ascii="宋体" w:hAnsi="宋体" w:eastAsia="宋体" w:cs="宋体"/>
          <w:color w:val="auto"/>
          <w:kern w:val="0"/>
          <w:sz w:val="24"/>
          <w:szCs w:val="24"/>
          <w:highlight w:val="none"/>
          <w:lang w:val="en-US" w:eastAsia="zh-CN" w:bidi="ar"/>
        </w:rPr>
        <w:t>（盖章）                                （盖章）</w:t>
      </w:r>
    </w:p>
    <w:p w14:paraId="3A048EF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F1A7B2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法定代表人：                          法定代表人：</w:t>
      </w:r>
    </w:p>
    <w:p w14:paraId="0C00D75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D9C4CC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2F5C0EC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委托代理人：                          委托代理人：</w:t>
      </w:r>
    </w:p>
    <w:p w14:paraId="46365C2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CCD90A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073495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20  年  月  日                       20  年  月  日</w:t>
      </w:r>
    </w:p>
    <w:p w14:paraId="0DCFB01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20E84AD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4"/>
          <w:szCs w:val="24"/>
          <w:highlight w:val="none"/>
          <w:lang w:val="en-US" w:eastAsia="zh-CN" w:bidi="ar"/>
        </w:rPr>
        <w:br w:type="page"/>
      </w:r>
      <w:r>
        <w:rPr>
          <w:rFonts w:hint="eastAsia" w:ascii="宋体" w:hAnsi="宋体" w:eastAsia="宋体" w:cs="宋体"/>
          <w:color w:val="auto"/>
          <w:kern w:val="0"/>
          <w:sz w:val="24"/>
          <w:szCs w:val="24"/>
          <w:highlight w:val="none"/>
          <w:lang w:val="en-US" w:eastAsia="zh-CN" w:bidi="ar"/>
        </w:rPr>
        <w:t>附件3：</w:t>
      </w:r>
    </w:p>
    <w:p w14:paraId="25BE1ABC">
      <w:pPr>
        <w:keepNext w:val="0"/>
        <w:keepLines w:val="0"/>
        <w:widowControl w:val="0"/>
        <w:suppressLineNumbers w:val="0"/>
        <w:adjustRightInd w:val="0"/>
        <w:snapToGrid w:val="0"/>
        <w:spacing w:before="0" w:beforeAutospacing="0" w:after="0" w:afterAutospacing="0" w:line="360" w:lineRule="auto"/>
        <w:ind w:left="0" w:right="0"/>
        <w:jc w:val="center"/>
        <w:outlineLvl w:val="1"/>
        <w:rPr>
          <w:rFonts w:hint="eastAsia" w:ascii="宋体" w:hAnsi="宋体" w:eastAsia="宋体" w:cs="_x000B_"/>
          <w:b/>
          <w:color w:val="auto"/>
          <w:kern w:val="0"/>
          <w:sz w:val="32"/>
          <w:szCs w:val="32"/>
          <w:highlight w:val="none"/>
        </w:rPr>
      </w:pPr>
      <w:r>
        <w:rPr>
          <w:rFonts w:hint="eastAsia" w:ascii="宋体" w:hAnsi="宋体" w:eastAsia="宋体" w:cs="宋体"/>
          <w:b/>
          <w:color w:val="auto"/>
          <w:kern w:val="0"/>
          <w:sz w:val="32"/>
          <w:szCs w:val="32"/>
          <w:highlight w:val="none"/>
          <w:lang w:val="en-US" w:eastAsia="zh-CN" w:bidi="ar"/>
        </w:rPr>
        <w:t>安全生产合同</w:t>
      </w:r>
    </w:p>
    <w:p w14:paraId="4C72311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 xml:space="preserve"> </w:t>
      </w:r>
    </w:p>
    <w:p w14:paraId="10915C7A">
      <w:pPr>
        <w:keepNext w:val="0"/>
        <w:keepLines w:val="0"/>
        <w:widowControl w:val="0"/>
        <w:suppressLineNumbers w:val="0"/>
        <w:autoSpaceDE w:val="0"/>
        <w:autoSpaceDN w:val="0"/>
        <w:adjustRightInd w:val="0"/>
        <w:snapToGrid w:val="0"/>
        <w:spacing w:before="0" w:beforeAutospacing="0" w:after="0" w:afterAutospacing="0" w:line="360" w:lineRule="auto"/>
        <w:ind w:left="0" w:right="11"/>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甲方（发包人）：广州市重点公共建设项目管理中心</w:t>
      </w:r>
    </w:p>
    <w:p w14:paraId="591047D3">
      <w:pPr>
        <w:keepNext w:val="0"/>
        <w:keepLines w:val="0"/>
        <w:widowControl w:val="0"/>
        <w:suppressLineNumbers w:val="0"/>
        <w:adjustRightInd w:val="0"/>
        <w:snapToGrid w:val="0"/>
        <w:spacing w:before="0" w:beforeAutospacing="0" w:after="0" w:afterAutospacing="0" w:line="360" w:lineRule="auto"/>
        <w:ind w:left="1928" w:right="11" w:hanging="1928" w:hangingChars="8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乙方（承包人）：中标赞助企业</w:t>
      </w:r>
    </w:p>
    <w:p w14:paraId="5CE4954E">
      <w:pPr>
        <w:keepNext w:val="0"/>
        <w:keepLines w:val="0"/>
        <w:widowControl w:val="0"/>
        <w:suppressLineNumbers w:val="0"/>
        <w:autoSpaceDE w:val="0"/>
        <w:autoSpaceDN w:val="0"/>
        <w:adjustRightInd w:val="0"/>
        <w:snapToGrid w:val="0"/>
        <w:spacing w:before="0" w:beforeAutospacing="0" w:after="0" w:afterAutospacing="0" w:line="360" w:lineRule="auto"/>
        <w:ind w:left="1920" w:right="11" w:hanging="192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5ED460D">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为确保</w:t>
      </w:r>
      <w:r>
        <w:rPr>
          <w:rFonts w:hint="eastAsia" w:ascii="宋体" w:hAnsi="宋体" w:eastAsia="宋体" w:cs="宋体"/>
          <w:color w:val="auto"/>
          <w:kern w:val="0"/>
          <w:sz w:val="24"/>
          <w:szCs w:val="24"/>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color w:val="auto"/>
          <w:kern w:val="0"/>
          <w:sz w:val="24"/>
          <w:szCs w:val="24"/>
          <w:highlight w:val="none"/>
          <w:lang w:val="en-US" w:eastAsia="zh-CN" w:bidi="ar"/>
        </w:rPr>
        <w:t>实施过程中的安全，发包人</w:t>
      </w:r>
      <w:r>
        <w:rPr>
          <w:rFonts w:hint="eastAsia" w:ascii="宋体" w:hAnsi="宋体" w:eastAsia="宋体" w:cs="宋体"/>
          <w:b/>
          <w:bCs w:val="0"/>
          <w:color w:val="auto"/>
          <w:kern w:val="0"/>
          <w:sz w:val="24"/>
          <w:szCs w:val="24"/>
          <w:highlight w:val="none"/>
          <w:lang w:val="en-US" w:eastAsia="zh-CN" w:bidi="ar"/>
        </w:rPr>
        <w:t>广州市重点公共建设项目管理中心</w:t>
      </w:r>
      <w:r>
        <w:rPr>
          <w:rFonts w:hint="eastAsia" w:ascii="宋体" w:hAnsi="宋体" w:eastAsia="宋体" w:cs="宋体"/>
          <w:color w:val="auto"/>
          <w:kern w:val="0"/>
          <w:sz w:val="24"/>
          <w:szCs w:val="24"/>
          <w:highlight w:val="none"/>
          <w:lang w:val="en-US" w:eastAsia="zh-CN" w:bidi="ar"/>
        </w:rPr>
        <w:t>（以下称甲方）与承包人</w:t>
      </w:r>
      <w:r>
        <w:rPr>
          <w:rFonts w:hint="eastAsia" w:ascii="宋体" w:hAnsi="宋体" w:eastAsia="宋体" w:cs="宋体"/>
          <w:b/>
          <w:color w:val="auto"/>
          <w:kern w:val="0"/>
          <w:sz w:val="24"/>
          <w:szCs w:val="24"/>
          <w:highlight w:val="none"/>
          <w:u w:val="single"/>
          <w:lang w:val="en-US" w:eastAsia="zh-CN" w:bidi="ar"/>
        </w:rPr>
        <w:t>中标赞助企业</w:t>
      </w:r>
      <w:r>
        <w:rPr>
          <w:rFonts w:hint="eastAsia" w:ascii="宋体" w:hAnsi="宋体" w:eastAsia="宋体" w:cs="宋体"/>
          <w:color w:val="auto"/>
          <w:kern w:val="0"/>
          <w:sz w:val="24"/>
          <w:szCs w:val="24"/>
          <w:highlight w:val="none"/>
          <w:lang w:val="en-US" w:eastAsia="zh-CN" w:bidi="ar"/>
        </w:rPr>
        <w:t>（以下称乙方），特签订本安全生产合同，明确双方职责。</w:t>
      </w:r>
    </w:p>
    <w:p w14:paraId="56CDD157">
      <w:pPr>
        <w:keepNext w:val="0"/>
        <w:keepLines w:val="0"/>
        <w:widowControl w:val="0"/>
        <w:suppressLineNumbers w:val="0"/>
        <w:autoSpaceDE w:val="0"/>
        <w:autoSpaceDN w:val="0"/>
        <w:adjustRightInd w:val="0"/>
        <w:snapToGrid w:val="0"/>
        <w:spacing w:before="0" w:beforeAutospacing="0" w:after="0" w:afterAutospacing="0" w:line="360" w:lineRule="auto"/>
        <w:ind w:left="461" w:right="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一、甲方职责</w:t>
      </w:r>
    </w:p>
    <w:p w14:paraId="2D2EF325">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（一）认真履行《建设工程安全生产管理条例》规定的安全责任及执行工程承包合同中的有关安全条款。</w:t>
      </w:r>
    </w:p>
    <w:p w14:paraId="649A83C7">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（二）重要的安全设施必须坚持与主体工程“三同时”的原则，即：同时设计、审批；同时施工；同时验收，投入使用。</w:t>
      </w:r>
    </w:p>
    <w:p w14:paraId="4CC84982">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（三）定期召开安全生产会议，指出施工现场存在的安全隐患，及时传达上级关于安全文明施工的要求。</w:t>
      </w:r>
    </w:p>
    <w:p w14:paraId="084621E6">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（四）组织对乙方施工现场安全生产检查，监督乙方及时排除各种安全隐患。</w:t>
      </w:r>
    </w:p>
    <w:p w14:paraId="579CFBAA">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（五）依据甲方制定的《广州市重点公共建设项目管理办公室建设项目环境管理规定》（试行）、《广州市重点公共建设项目管理办公室建设项目职业健康安全管理规定》（试行）进行工程项目管理。</w:t>
      </w:r>
    </w:p>
    <w:p w14:paraId="7F701D24">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（六）协助与促进乙方创建“广州市安全文明施工样板工地”。</w:t>
      </w:r>
    </w:p>
    <w:p w14:paraId="067DA4C3">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二、乙方职责</w:t>
      </w:r>
    </w:p>
    <w:p w14:paraId="3453CEF3">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（一）认真履行《建设工程安全生产管理条例》规定的安全责任及执行工程承包合同中的有关安全条款。</w:t>
      </w:r>
    </w:p>
    <w:p w14:paraId="6AEFA5AA">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二）坚持“安全第一、预防为主”和“管生产必须管安全”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14:paraId="3C34DE73">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三）建立安全生产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14:paraId="1612E3B9">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_x000B_"/>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（四）有责任采取各种合理的预防措施，防止其员工发生各种违法、违禁、暴力或妨碍治安的行为。</w:t>
      </w:r>
    </w:p>
    <w:p w14:paraId="7D261481">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五）参加施工的人员，必须接受安全技术教育，熟知和遵守所在岗位（工种）的各项安全技术操作规程，定期进行安全技术考核。对于从事电气、起重、登高作业、焊接等特殊工种的人员，须经过专业培训，获得《安全操作合格证》后，方准上岗。施工现场如出现特种行业无证上岗时，项目经理必须承担责任。            </w:t>
      </w:r>
    </w:p>
    <w:p w14:paraId="0665C141">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六）对于易燃易爆的材料除应专门妥善保管之外，还应配备足够的消防设施，所有施工人员都应熟悉消防设备的性能和使用方法；乙方不能将任何种类的爆炸物给予、易货或以其他方式转让给任何其他人，或允许、容忍上述同样行为。</w:t>
      </w:r>
    </w:p>
    <w:p w14:paraId="0F0220B8">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（七）操作人员上岗，必须按规定穿戴安全帽等防护用品。项目经理和专职安全员应随时检查劳动防护用品的穿戴情况，不按规定穿戴防护用品的人员不得上岗。</w:t>
      </w:r>
    </w:p>
    <w:p w14:paraId="6F49DEFA">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（八）所有施工机具设备和高处作业的设备均应定期检查，并有安全员的签名记录，保证其经常处于完好状态，不合格的机具、设备和劳动保护用品严禁使用。</w:t>
      </w:r>
    </w:p>
    <w:p w14:paraId="2D2C6ECD">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（九）施工中采用新技术、新工艺、新设备、新材料，必须制定相应的安全技术措施。施工现场必须按规定有针对性地悬挂安全标志牌。</w:t>
      </w:r>
    </w:p>
    <w:p w14:paraId="3FAFAAEB">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（十）乙方必须按照本工程项目特点，制定安全事故应急救援预案；如果发生安全事故，应按照《建设工程安全管理条例》的有关规定上报有关部门，并按照“四不放过”的原则调查处理。</w:t>
      </w:r>
    </w:p>
    <w:p w14:paraId="07D96B94">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（十一）遵守《广州市重点公共建设项目管理办公室建设项目环境管理规定》（试行）、《广州市重点公共建设项目管理办公室建设项目职业健康安全管理规定》（试行）等安全生产管理制度。</w:t>
      </w:r>
    </w:p>
    <w:p w14:paraId="5C15B2B7">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三、违约责任</w:t>
      </w:r>
    </w:p>
    <w:p w14:paraId="4FEE4356">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如因甲方或乙方失职违约，将依据《建设工程安全管理条例》、合同及有关规定追究责任。</w:t>
      </w:r>
    </w:p>
    <w:p w14:paraId="54E545C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本安全生产合同由双方法定代表人（或委托代理人）签字盖章后生效。工程竣工验收后失效。</w:t>
      </w:r>
    </w:p>
    <w:p w14:paraId="1291523B">
      <w:pPr>
        <w:pStyle w:val="3"/>
        <w:keepNext w:val="0"/>
        <w:keepLines w:val="0"/>
        <w:widowControl w:val="0"/>
        <w:suppressLineNumbers w:val="0"/>
        <w:adjustRightInd w:val="0"/>
        <w:snapToGrid w:val="0"/>
        <w:spacing w:before="0" w:beforeAutospacing="0" w:after="0" w:afterAutospacing="0" w:line="360" w:lineRule="auto"/>
        <w:ind w:left="0" w:right="11" w:firstLine="570"/>
        <w:jc w:val="both"/>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en-US" w:eastAsia="zh-CN" w:bidi="ar"/>
        </w:rPr>
        <w:t xml:space="preserve"> </w:t>
      </w:r>
    </w:p>
    <w:p w14:paraId="67B3DF9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3808438">
      <w:pPr>
        <w:keepNext w:val="0"/>
        <w:keepLines w:val="0"/>
        <w:widowControl w:val="0"/>
        <w:suppressLineNumbers w:val="0"/>
        <w:adjustRightInd w:val="0"/>
        <w:snapToGrid w:val="0"/>
        <w:spacing w:before="0" w:beforeAutospacing="0" w:after="0" w:afterAutospacing="0" w:line="360" w:lineRule="auto"/>
        <w:ind w:left="1600" w:right="11" w:hanging="1600" w:hangingChars="800"/>
        <w:jc w:val="both"/>
        <w:rPr>
          <w:rFonts w:hint="eastAsia" w:ascii="宋体" w:hAnsi="宋体" w:eastAsia="宋体" w:cs="宋体"/>
          <w:color w:val="auto"/>
          <w:spacing w:val="-20"/>
          <w:kern w:val="0"/>
          <w:sz w:val="24"/>
          <w:szCs w:val="24"/>
          <w:highlight w:val="none"/>
        </w:rPr>
      </w:pPr>
      <w:r>
        <w:rPr>
          <w:rFonts w:hint="eastAsia" w:ascii="宋体" w:hAnsi="宋体" w:eastAsia="宋体" w:cs="宋体"/>
          <w:color w:val="auto"/>
          <w:spacing w:val="-20"/>
          <w:kern w:val="0"/>
          <w:sz w:val="24"/>
          <w:szCs w:val="24"/>
          <w:highlight w:val="none"/>
          <w:lang w:val="en-US" w:eastAsia="zh-CN" w:bidi="ar"/>
        </w:rPr>
        <w:t>甲方：</w:t>
      </w:r>
      <w:r>
        <w:rPr>
          <w:rFonts w:hint="eastAsia" w:ascii="宋体" w:hAnsi="宋体" w:eastAsia="宋体" w:cs="宋体"/>
          <w:b/>
          <w:color w:val="auto"/>
          <w:spacing w:val="-20"/>
          <w:kern w:val="0"/>
          <w:sz w:val="24"/>
          <w:szCs w:val="24"/>
          <w:highlight w:val="none"/>
          <w:lang w:val="en-US" w:eastAsia="zh-CN" w:bidi="ar"/>
        </w:rPr>
        <w:t>广州市重点公共建设项目管理中心</w:t>
      </w:r>
      <w:r>
        <w:rPr>
          <w:rFonts w:hint="eastAsia" w:ascii="宋体" w:hAnsi="宋体" w:eastAsia="宋体" w:cs="宋体"/>
          <w:color w:val="auto"/>
          <w:spacing w:val="-20"/>
          <w:kern w:val="0"/>
          <w:sz w:val="24"/>
          <w:szCs w:val="24"/>
          <w:highlight w:val="none"/>
          <w:lang w:val="en-US" w:eastAsia="zh-CN" w:bidi="ar"/>
        </w:rPr>
        <w:t xml:space="preserve">            乙方：</w:t>
      </w:r>
      <w:r>
        <w:rPr>
          <w:rFonts w:hint="eastAsia" w:ascii="宋体" w:hAnsi="宋体" w:eastAsia="宋体" w:cs="宋体"/>
          <w:b/>
          <w:bCs w:val="0"/>
          <w:color w:val="auto"/>
          <w:kern w:val="0"/>
          <w:sz w:val="24"/>
          <w:szCs w:val="24"/>
          <w:highlight w:val="none"/>
          <w:lang w:val="en-US" w:eastAsia="zh-CN" w:bidi="ar"/>
        </w:rPr>
        <w:t>中标赞助企业</w:t>
      </w:r>
    </w:p>
    <w:p w14:paraId="103D5CD0">
      <w:pPr>
        <w:keepNext w:val="0"/>
        <w:keepLines w:val="0"/>
        <w:widowControl w:val="0"/>
        <w:suppressLineNumbers w:val="0"/>
        <w:adjustRightInd w:val="0"/>
        <w:snapToGrid w:val="0"/>
        <w:spacing w:before="0" w:beforeAutospacing="0" w:after="0" w:afterAutospacing="0" w:line="360" w:lineRule="auto"/>
        <w:ind w:left="0" w:right="11" w:firstLine="2400" w:firstLineChars="10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（盖章）                         （盖章）</w:t>
      </w:r>
    </w:p>
    <w:p w14:paraId="329EEE98">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7D389FC">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法定代表人：                           法定代表人：</w:t>
      </w:r>
    </w:p>
    <w:p w14:paraId="55D1C5E7">
      <w:pPr>
        <w:keepNext w:val="0"/>
        <w:keepLines w:val="0"/>
        <w:widowControl w:val="0"/>
        <w:suppressLineNumbers w:val="0"/>
        <w:adjustRightInd w:val="0"/>
        <w:snapToGrid w:val="0"/>
        <w:spacing w:before="0" w:beforeAutospacing="0" w:after="0" w:afterAutospacing="0" w:line="360" w:lineRule="auto"/>
        <w:ind w:left="-2" w:leftChars="-1"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749C8C8D">
      <w:pPr>
        <w:keepNext w:val="0"/>
        <w:keepLines w:val="0"/>
        <w:widowControl w:val="0"/>
        <w:suppressLineNumbers w:val="0"/>
        <w:adjustRightInd w:val="0"/>
        <w:snapToGrid w:val="0"/>
        <w:spacing w:before="0" w:beforeAutospacing="0" w:after="0" w:afterAutospacing="0" w:line="360" w:lineRule="auto"/>
        <w:ind w:left="-2" w:leftChars="-1"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委托代理人：                           委托代理人：</w:t>
      </w:r>
    </w:p>
    <w:p w14:paraId="2F3AE592">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34290247">
      <w:pPr>
        <w:keepNext w:val="0"/>
        <w:keepLines w:val="0"/>
        <w:widowControl w:val="0"/>
        <w:suppressLineNumbers w:val="0"/>
        <w:adjustRightInd w:val="0"/>
        <w:snapToGrid w:val="0"/>
        <w:spacing w:before="0" w:beforeAutospacing="0" w:after="0" w:afterAutospacing="0" w:line="360" w:lineRule="auto"/>
        <w:ind w:left="0" w:right="1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20  年   月   日                      20  年   月   日</w:t>
      </w:r>
    </w:p>
    <w:p w14:paraId="0A3A1901">
      <w:pPr>
        <w:keepNext w:val="0"/>
        <w:keepLines w:val="0"/>
        <w:widowControl w:val="0"/>
        <w:suppressLineNumbers w:val="0"/>
        <w:adjustRightInd w:val="0"/>
        <w:snapToGrid w:val="0"/>
        <w:spacing w:before="0" w:beforeAutospacing="0" w:after="0" w:afterAutospacing="0" w:line="360" w:lineRule="auto"/>
        <w:ind w:left="0" w:right="11"/>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A09DA4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kern w:val="0"/>
          <w:sz w:val="44"/>
          <w:szCs w:val="44"/>
          <w:highlight w:val="none"/>
        </w:rPr>
      </w:pPr>
      <w:r>
        <w:rPr>
          <w:rFonts w:hint="default" w:ascii="Times New Roman" w:hAnsi="Times New Roman" w:cs="Times New Roman" w:eastAsiaTheme="minorEastAsia"/>
          <w:color w:val="auto"/>
          <w:kern w:val="0"/>
          <w:sz w:val="21"/>
          <w:szCs w:val="21"/>
          <w:highlight w:val="none"/>
          <w:lang w:val="en-US" w:eastAsia="zh-CN" w:bidi="ar"/>
        </w:rPr>
        <w:br w:type="page"/>
      </w:r>
      <w:r>
        <w:rPr>
          <w:rFonts w:hint="eastAsia" w:ascii="宋体" w:hAnsi="宋体" w:eastAsia="宋体" w:cs="宋体"/>
          <w:color w:val="auto"/>
          <w:kern w:val="0"/>
          <w:sz w:val="24"/>
          <w:szCs w:val="24"/>
          <w:highlight w:val="none"/>
          <w:lang w:val="en-US" w:eastAsia="zh-CN" w:bidi="ar"/>
        </w:rPr>
        <w:t>附件4：</w:t>
      </w:r>
    </w:p>
    <w:p w14:paraId="7A230AB3">
      <w:pPr>
        <w:keepNext w:val="0"/>
        <w:keepLines w:val="0"/>
        <w:widowControl w:val="0"/>
        <w:suppressLineNumbers w:val="0"/>
        <w:adjustRightInd w:val="0"/>
        <w:snapToGrid w:val="0"/>
        <w:spacing w:before="0" w:beforeAutospacing="0" w:after="0" w:afterAutospacing="0" w:line="360" w:lineRule="auto"/>
        <w:ind w:left="0" w:right="0" w:firstLine="602" w:firstLineChars="200"/>
        <w:jc w:val="cente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bidi="ar"/>
        </w:rPr>
        <w:t>广州市重点公共建设项目管理中心</w:t>
      </w:r>
    </w:p>
    <w:p w14:paraId="688792A4">
      <w:pPr>
        <w:keepNext w:val="0"/>
        <w:keepLines w:val="0"/>
        <w:widowControl w:val="0"/>
        <w:suppressLineNumbers w:val="0"/>
        <w:adjustRightInd w:val="0"/>
        <w:snapToGrid w:val="0"/>
        <w:spacing w:before="0" w:beforeAutospacing="0" w:after="0" w:afterAutospacing="0" w:line="360" w:lineRule="auto"/>
        <w:ind w:left="0" w:right="0" w:firstLine="602" w:firstLineChars="20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30"/>
          <w:szCs w:val="30"/>
          <w:highlight w:val="none"/>
          <w:lang w:val="en-US" w:eastAsia="zh-CN" w:bidi="ar"/>
        </w:rPr>
        <w:t>建设资金拨付监督管理办法（修订）</w:t>
      </w:r>
    </w:p>
    <w:p w14:paraId="3E1B26E2">
      <w:pPr>
        <w:keepNext w:val="0"/>
        <w:keepLines w:val="0"/>
        <w:widowControl w:val="0"/>
        <w:suppressLineNumbers w:val="0"/>
        <w:adjustRightInd w:val="0"/>
        <w:snapToGrid w:val="0"/>
        <w:spacing w:before="0" w:beforeAutospacing="0" w:after="0" w:afterAutospacing="0" w:line="360" w:lineRule="auto"/>
        <w:ind w:left="0" w:right="0" w:firstLine="482" w:firstLineChars="20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第一章 总则</w:t>
      </w:r>
    </w:p>
    <w:p w14:paraId="21B515C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第一条  为加强对广州市重点公共建设项目管理中心（以下简称“市重点项目管理中心”）建设管理项目的建设资金管理，确保建设资金专款专用，提高建设资金使用效益，根据国家有关规定，特制定本办法。</w:t>
      </w:r>
    </w:p>
    <w:p w14:paraId="023CB43D">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第二条  本办法适用于市重点项目管理中心建设管理项目的工程承包人及资金监管银行。</w:t>
      </w:r>
    </w:p>
    <w:p w14:paraId="2F3E830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本办法所称项目，是指房屋建筑、市政基础设施、机电安装、智能化、园林绿化等建设工程项目。</w:t>
      </w:r>
    </w:p>
    <w:p w14:paraId="1DBE966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本办法所称工程承包人，是依法取得市重点项目管理中心建设管理项目的承包资格，与市重点项目管理中心签订施工承包合同（合同签约价不低于1,000万元）的总承包、专业承包单位。</w:t>
      </w:r>
    </w:p>
    <w:p w14:paraId="318AD10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本办法所称资金监管银行，是由市重点项目管理中心指定，办理项目资金监督管理业务的商业银行。</w:t>
      </w:r>
    </w:p>
    <w:p w14:paraId="6F5DEA8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本办法所称资金，是经市重点项目管理中心审批专项使用的建设资金，不含按国家法律法规实行分账管理（如建设领域工人工资）等专项资金。</w:t>
      </w:r>
    </w:p>
    <w:p w14:paraId="166B0E78">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第三条  工程承包人对所承包项目的资金负责。工程承包人依法将部分工程分包的，对分包单位资金负监管责任。</w:t>
      </w:r>
    </w:p>
    <w:p w14:paraId="32B6B90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第四条  资金监管银行应当具备专业、优质、高效、创新的金融服务能力，在广州市具有电子支付端和线下服务网点，能为市重点项目管理中心及工程承包人提供快速响应的金融服务。</w:t>
      </w:r>
    </w:p>
    <w:p w14:paraId="0DD8B0B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1D825F28">
      <w:pPr>
        <w:keepNext w:val="0"/>
        <w:keepLines w:val="0"/>
        <w:widowControl w:val="0"/>
        <w:numPr>
          <w:ilvl w:val="0"/>
          <w:numId w:val="2"/>
        </w:numPr>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 xml:space="preserve"> 资金监管账户的管理</w:t>
      </w:r>
    </w:p>
    <w:p w14:paraId="0B5CA7CA">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第五条  工程承包人应选择市重点项目管理中心指定的资金监管银行开设资金监管账户，并报市重点项目管理中心备案。工程承包人开设的资金监管账户可用于市重点项目管理中心建设管理的所有项目。</w:t>
      </w:r>
    </w:p>
    <w:p w14:paraId="2678E1C3">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第六条  工程承包人提出书面申请，要求采用指定资金监管银行以外账户收款的，申请收款的银行须在市财政局上年度市本级财政国库业务代理银行范围内，且年度综合考评结果为“良好”以上，接受本管理办法规定及签订《广州市重点公共建设项目管理中心项目建设资金监督管理协议》的，可作为资金监管银行。否则，市重点项目管理中心有权暂停拨付项目建设资金。</w:t>
      </w:r>
    </w:p>
    <w:p w14:paraId="08CE81EB">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第七条  工程承包人需撤销资金监管账户的，应当向市重点项目管理中心提出书面申请，经同意后按资金监管银行的有关规定办理手续。</w:t>
      </w:r>
    </w:p>
    <w:p w14:paraId="4228235A">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第八条  工程承包人的资金监管账户应当用于市重点项目管理中心建设管理项目的业务，不得出租、出借或转让。工程承包人违反上述规定将资金监管账户另作他用，资金监管银行有权制止并及时报市重点项目管理中心。</w:t>
      </w:r>
    </w:p>
    <w:p w14:paraId="7DAE6BB8">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第三章 项目资金管理</w:t>
      </w:r>
    </w:p>
    <w:p w14:paraId="08DA15BE">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第九条  市重点项目管理中心、工程承包人、资金监管银行三方共同签订《广州市重点公共建设项目管理中心项目建设资金监督管理协议》。授权资金监管银行代表市重点项目管理中心对资金监管账户进行监管，同时向市重点项目管理中心提供资金监管账户信息。</w:t>
      </w:r>
    </w:p>
    <w:p w14:paraId="1F979AC9">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第十条  工程承包人必须按国家法律法规、市重点项目管理中心相关制度和承包合同约定申报计量支付，对建设资金专款专用，在资金监管账户进行支付结算，严禁挪作他用。工程承包人应当严格遵守中国人民银行制定的现金管理相关规定，不得以任何名义套取现金。承包合同约定项目工程竣工结算完成前，工程承包人不得将资金监管账户内的建设资金转入其他银行账户。</w:t>
      </w:r>
    </w:p>
    <w:p w14:paraId="13EFC8D3">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第十一条  工程承包人应当依据市重点项目管理中心当期审批建设资金的支出情况，编制《工程建设资金使用计划确认表》一式两份，分别报送市重点项目管理中心和资金监管银行，作为市重点项目管理中心审批后续工程款项和资金监管银行监控建设资金流向的依据。</w:t>
      </w:r>
    </w:p>
    <w:p w14:paraId="3CC66987">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第十二条  资金监管银行应当对每个工程承包人分别建立资金收支序时台账，并安排专人负责《工程建设资金使用计划确认表》的核对。资金监管银行应当在每季度结束后的5个工作日内，把每个资金监管账户上季度的收支情况报送市重点项目管理中心备案。</w:t>
      </w:r>
    </w:p>
    <w:p w14:paraId="3F3EB07F">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第十三条  对于资金监管账户的异常收支现象，资金监管银行应及时将相关信息报送市重点项目管理中心，由其按有关法律法规和承包合同约定进行处理。</w:t>
      </w:r>
    </w:p>
    <w:p w14:paraId="3EAD1897">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第十四条  资金监管银行应为工程承包人提供全方位的优质服务，不得无理压票压汇；同时密切跟进工程承包人在建设资金运作中提出的服务要求，帮助解决建设过程中资金存在的实际问题。</w:t>
      </w:r>
    </w:p>
    <w:p w14:paraId="1B62415A">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第十五条  市重点项目管理中心根据管理需要，必要时授权资金监管银行对资金监管账户进行专项检查。</w:t>
      </w:r>
    </w:p>
    <w:p w14:paraId="136F259C">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第十六条  工程承包人未按合同约定用途使用资金或拖欠材料供应商和分包单位款项的，市重点项目管理中心有权要求工程承包人按有关规定进行调整及清偿。</w:t>
      </w:r>
    </w:p>
    <w:p w14:paraId="698C8956">
      <w:pPr>
        <w:keepNext w:val="0"/>
        <w:keepLines w:val="0"/>
        <w:widowControl w:val="0"/>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第十七条  若资金监管银行存在违反本办法规定的情形，或因不能兑现服务承诺引起工程承包人投诉的，市重点项目管理中心有权要求限期整改；逾期仍不能整改到位的，市重点项目管理中心有权将其从资金监管银行名单中撤除。</w:t>
      </w:r>
    </w:p>
    <w:p w14:paraId="35417F5A">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第四章 附则</w:t>
      </w:r>
    </w:p>
    <w:p w14:paraId="1CC4B3FB">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第十八条  本办法自印发之日起执行，有效期三年。如遇国家、省和市相关政策调整，则按相关政策执行。</w:t>
      </w:r>
    </w:p>
    <w:p w14:paraId="6DA7F71E">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4B259A7">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附件：1.项目建设资金监督管理协议（详见合同附件8）</w:t>
      </w:r>
    </w:p>
    <w:p w14:paraId="602E3BA9">
      <w:pPr>
        <w:keepNext w:val="0"/>
        <w:keepLines w:val="0"/>
        <w:widowControl/>
        <w:suppressLineNumbers w:val="0"/>
        <w:adjustRightInd w:val="0"/>
        <w:snapToGrid w:val="0"/>
        <w:spacing w:before="0" w:beforeAutospacing="0" w:after="0" w:afterAutospacing="0" w:line="360" w:lineRule="auto"/>
        <w:ind w:left="0" w:right="0"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2.工程建设资金使用计划确认表（表格详见后附文2）</w:t>
      </w:r>
    </w:p>
    <w:p w14:paraId="4DF72030">
      <w:pPr>
        <w:keepNext w:val="0"/>
        <w:keepLines w:val="0"/>
        <w:widowControl w:val="0"/>
        <w:suppressLineNumbers w:val="0"/>
        <w:adjustRightInd w:val="0"/>
        <w:snapToGrid w:val="0"/>
        <w:spacing w:before="0" w:beforeAutospacing="0" w:after="0" w:afterAutospacing="0" w:line="360" w:lineRule="auto"/>
        <w:ind w:left="0" w:right="0" w:firstLine="630"/>
        <w:jc w:val="both"/>
        <w:rPr>
          <w:rFonts w:hint="eastAsia" w:ascii="仿宋_GB2312" w:eastAsia="仿宋_GB2312" w:cs="仿宋_GB2312"/>
          <w:color w:val="auto"/>
          <w:kern w:val="0"/>
          <w:sz w:val="32"/>
          <w:szCs w:val="32"/>
          <w:highlight w:val="none"/>
        </w:rPr>
      </w:pPr>
      <w:r>
        <w:rPr>
          <w:rFonts w:hint="eastAsia" w:ascii="仿宋_GB2312" w:hAnsi="Times New Roman" w:eastAsia="仿宋_GB2312" w:cs="仿宋_GB2312"/>
          <w:color w:val="auto"/>
          <w:kern w:val="0"/>
          <w:sz w:val="32"/>
          <w:szCs w:val="32"/>
          <w:highlight w:val="none"/>
          <w:lang w:val="en-US" w:eastAsia="zh-CN" w:bidi="ar"/>
        </w:rPr>
        <w:t xml:space="preserve"> </w:t>
      </w:r>
    </w:p>
    <w:p w14:paraId="0FBBFF9C">
      <w:pPr>
        <w:keepNext w:val="0"/>
        <w:keepLines w:val="0"/>
        <w:widowControl w:val="0"/>
        <w:suppressLineNumbers w:val="0"/>
        <w:adjustRightInd w:val="0"/>
        <w:snapToGrid w:val="0"/>
        <w:spacing w:before="0" w:beforeAutospacing="0" w:after="0" w:afterAutospacing="0" w:line="360" w:lineRule="auto"/>
        <w:ind w:left="0" w:right="11"/>
        <w:jc w:val="left"/>
        <w:rPr>
          <w:rFonts w:hint="eastAsia" w:ascii="宋体" w:hAnsi="宋体" w:eastAsia="宋体" w:cs="宋体"/>
          <w:b/>
          <w:bCs w:val="0"/>
          <w:color w:val="auto"/>
          <w:kern w:val="0"/>
          <w:sz w:val="24"/>
          <w:szCs w:val="24"/>
          <w:highlight w:val="none"/>
        </w:rPr>
      </w:pPr>
      <w:r>
        <w:rPr>
          <w:rFonts w:hint="eastAsia" w:ascii="仿宋_GB2312" w:hAnsi="Times New Roman" w:eastAsia="仿宋_GB2312" w:cs="仿宋_GB2312"/>
          <w:color w:val="auto"/>
          <w:kern w:val="0"/>
          <w:sz w:val="32"/>
          <w:szCs w:val="32"/>
          <w:highlight w:val="none"/>
          <w:lang w:val="en-US" w:eastAsia="zh-CN" w:bidi="ar"/>
        </w:rPr>
        <w:br w:type="page"/>
      </w:r>
      <w:r>
        <w:rPr>
          <w:rFonts w:hint="eastAsia" w:ascii="宋体" w:hAnsi="宋体" w:eastAsia="宋体" w:cs="宋体"/>
          <w:b/>
          <w:bCs w:val="0"/>
          <w:color w:val="auto"/>
          <w:kern w:val="0"/>
          <w:sz w:val="24"/>
          <w:szCs w:val="24"/>
          <w:highlight w:val="none"/>
          <w:lang w:val="en-US" w:eastAsia="zh-CN" w:bidi="ar"/>
        </w:rPr>
        <w:t>附文：</w:t>
      </w:r>
    </w:p>
    <w:tbl>
      <w:tblPr>
        <w:tblStyle w:val="4"/>
        <w:tblW w:w="94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4"/>
        <w:gridCol w:w="851"/>
        <w:gridCol w:w="1559"/>
        <w:gridCol w:w="1166"/>
        <w:gridCol w:w="1449"/>
        <w:gridCol w:w="1805"/>
        <w:gridCol w:w="116"/>
        <w:gridCol w:w="686"/>
        <w:gridCol w:w="1073"/>
      </w:tblGrid>
      <w:tr w14:paraId="6A578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875" w:type="dxa"/>
          <w:trHeight w:val="540" w:hRule="atLeast"/>
        </w:trPr>
        <w:tc>
          <w:tcPr>
            <w:tcW w:w="7554" w:type="dxa"/>
            <w:gridSpan w:val="6"/>
            <w:tcBorders>
              <w:top w:val="nil"/>
              <w:left w:val="nil"/>
              <w:bottom w:val="nil"/>
              <w:right w:val="nil"/>
            </w:tcBorders>
            <w:shd w:val="clear" w:color="auto" w:fill="auto"/>
            <w:noWrap/>
            <w:vAlign w:val="center"/>
          </w:tcPr>
          <w:p w14:paraId="1961AE6E">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44"/>
                <w:szCs w:val="44"/>
                <w:highlight w:val="none"/>
              </w:rPr>
            </w:pPr>
            <w:r>
              <w:rPr>
                <w:rFonts w:hint="eastAsia" w:ascii="宋体" w:hAnsi="宋体" w:eastAsia="宋体" w:cs="宋体"/>
                <w:b/>
                <w:bCs w:val="0"/>
                <w:color w:val="auto"/>
                <w:kern w:val="0"/>
                <w:sz w:val="44"/>
                <w:szCs w:val="44"/>
                <w:highlight w:val="none"/>
                <w:lang w:val="en-US" w:eastAsia="zh-CN" w:bidi="ar"/>
              </w:rPr>
              <w:t>广州市重点公共建设项目管理中心</w:t>
            </w:r>
          </w:p>
        </w:tc>
      </w:tr>
      <w:tr w14:paraId="56DC1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875" w:type="dxa"/>
          <w:trHeight w:val="540" w:hRule="atLeast"/>
        </w:trPr>
        <w:tc>
          <w:tcPr>
            <w:tcW w:w="7554" w:type="dxa"/>
            <w:gridSpan w:val="6"/>
            <w:tcBorders>
              <w:top w:val="nil"/>
              <w:left w:val="nil"/>
              <w:bottom w:val="nil"/>
              <w:right w:val="nil"/>
            </w:tcBorders>
            <w:shd w:val="clear" w:color="auto" w:fill="auto"/>
            <w:noWrap/>
            <w:vAlign w:val="center"/>
          </w:tcPr>
          <w:p w14:paraId="47996579">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44"/>
                <w:szCs w:val="44"/>
                <w:highlight w:val="none"/>
              </w:rPr>
            </w:pPr>
            <w:r>
              <w:rPr>
                <w:rFonts w:hint="eastAsia" w:ascii="宋体" w:hAnsi="宋体" w:eastAsia="宋体" w:cs="宋体"/>
                <w:b/>
                <w:bCs w:val="0"/>
                <w:color w:val="auto"/>
                <w:kern w:val="0"/>
                <w:sz w:val="44"/>
                <w:szCs w:val="44"/>
                <w:highlight w:val="none"/>
                <w:lang w:val="en-US" w:eastAsia="zh-CN" w:bidi="ar"/>
              </w:rPr>
              <w:t>工程建设资金使用计划确认表</w:t>
            </w:r>
          </w:p>
        </w:tc>
      </w:tr>
      <w:tr w14:paraId="40379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24" w:type="dxa"/>
            <w:tcBorders>
              <w:top w:val="nil"/>
              <w:left w:val="nil"/>
              <w:bottom w:val="nil"/>
              <w:right w:val="nil"/>
            </w:tcBorders>
            <w:shd w:val="clear" w:color="auto" w:fill="auto"/>
            <w:noWrap/>
            <w:vAlign w:val="center"/>
          </w:tcPr>
          <w:p w14:paraId="176F720C">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44"/>
                <w:szCs w:val="44"/>
                <w:highlight w:val="none"/>
              </w:rPr>
            </w:pPr>
          </w:p>
        </w:tc>
        <w:tc>
          <w:tcPr>
            <w:tcW w:w="851" w:type="dxa"/>
            <w:tcBorders>
              <w:top w:val="nil"/>
              <w:left w:val="nil"/>
              <w:bottom w:val="nil"/>
              <w:right w:val="nil"/>
            </w:tcBorders>
            <w:shd w:val="clear" w:color="auto" w:fill="auto"/>
            <w:noWrap/>
            <w:vAlign w:val="center"/>
          </w:tcPr>
          <w:p w14:paraId="3D8920ED">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44"/>
                <w:szCs w:val="44"/>
                <w:highlight w:val="none"/>
              </w:rPr>
            </w:pPr>
          </w:p>
        </w:tc>
        <w:tc>
          <w:tcPr>
            <w:tcW w:w="1559" w:type="dxa"/>
            <w:tcBorders>
              <w:top w:val="nil"/>
              <w:left w:val="nil"/>
              <w:bottom w:val="nil"/>
              <w:right w:val="nil"/>
            </w:tcBorders>
            <w:shd w:val="clear" w:color="auto" w:fill="auto"/>
            <w:noWrap/>
            <w:vAlign w:val="center"/>
          </w:tcPr>
          <w:p w14:paraId="0A6771BB">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44"/>
                <w:szCs w:val="44"/>
                <w:highlight w:val="none"/>
              </w:rPr>
            </w:pPr>
          </w:p>
        </w:tc>
        <w:tc>
          <w:tcPr>
            <w:tcW w:w="1166" w:type="dxa"/>
            <w:tcBorders>
              <w:top w:val="nil"/>
              <w:left w:val="nil"/>
              <w:bottom w:val="nil"/>
              <w:right w:val="nil"/>
            </w:tcBorders>
            <w:shd w:val="clear" w:color="auto" w:fill="auto"/>
            <w:noWrap/>
            <w:vAlign w:val="center"/>
          </w:tcPr>
          <w:p w14:paraId="73C4ECBD">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44"/>
                <w:szCs w:val="44"/>
                <w:highlight w:val="none"/>
              </w:rPr>
            </w:pPr>
          </w:p>
        </w:tc>
        <w:tc>
          <w:tcPr>
            <w:tcW w:w="1449" w:type="dxa"/>
            <w:tcBorders>
              <w:top w:val="nil"/>
              <w:left w:val="nil"/>
              <w:bottom w:val="nil"/>
              <w:right w:val="nil"/>
            </w:tcBorders>
            <w:shd w:val="clear" w:color="auto" w:fill="auto"/>
            <w:noWrap/>
            <w:vAlign w:val="center"/>
          </w:tcPr>
          <w:p w14:paraId="51E1FBEC">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44"/>
                <w:szCs w:val="44"/>
                <w:highlight w:val="none"/>
              </w:rPr>
            </w:pPr>
          </w:p>
        </w:tc>
        <w:tc>
          <w:tcPr>
            <w:tcW w:w="2607" w:type="dxa"/>
            <w:gridSpan w:val="3"/>
            <w:tcBorders>
              <w:top w:val="nil"/>
              <w:left w:val="nil"/>
              <w:bottom w:val="nil"/>
              <w:right w:val="nil"/>
            </w:tcBorders>
            <w:shd w:val="clear" w:color="auto" w:fill="auto"/>
            <w:noWrap/>
            <w:vAlign w:val="center"/>
          </w:tcPr>
          <w:p w14:paraId="772C594E">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44"/>
                <w:szCs w:val="44"/>
                <w:highlight w:val="none"/>
              </w:rPr>
            </w:pPr>
          </w:p>
        </w:tc>
        <w:tc>
          <w:tcPr>
            <w:tcW w:w="1073" w:type="dxa"/>
            <w:tcBorders>
              <w:top w:val="nil"/>
              <w:left w:val="nil"/>
              <w:bottom w:val="nil"/>
              <w:right w:val="nil"/>
            </w:tcBorders>
            <w:shd w:val="clear" w:color="auto" w:fill="auto"/>
            <w:noWrap/>
            <w:vAlign w:val="center"/>
          </w:tcPr>
          <w:p w14:paraId="597D4242">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44"/>
                <w:szCs w:val="44"/>
                <w:highlight w:val="none"/>
              </w:rPr>
            </w:pPr>
          </w:p>
        </w:tc>
      </w:tr>
      <w:tr w14:paraId="77C61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134" w:type="dxa"/>
            <w:gridSpan w:val="3"/>
            <w:tcBorders>
              <w:top w:val="nil"/>
              <w:left w:val="nil"/>
              <w:bottom w:val="single" w:color="auto" w:sz="4" w:space="0"/>
              <w:right w:val="nil"/>
            </w:tcBorders>
            <w:shd w:val="clear" w:color="auto" w:fill="auto"/>
            <w:noWrap/>
            <w:vAlign w:val="center"/>
          </w:tcPr>
          <w:p w14:paraId="353AE11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计划期限：    年  月  日至    年  月  日</w:t>
            </w:r>
          </w:p>
        </w:tc>
        <w:tc>
          <w:tcPr>
            <w:tcW w:w="1166" w:type="dxa"/>
            <w:tcBorders>
              <w:top w:val="nil"/>
              <w:left w:val="nil"/>
              <w:bottom w:val="nil"/>
              <w:right w:val="nil"/>
            </w:tcBorders>
            <w:shd w:val="clear" w:color="auto" w:fill="auto"/>
            <w:noWrap/>
            <w:vAlign w:val="center"/>
          </w:tcPr>
          <w:p w14:paraId="4A831C8A">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44"/>
                <w:szCs w:val="44"/>
                <w:highlight w:val="none"/>
              </w:rPr>
            </w:pPr>
          </w:p>
        </w:tc>
        <w:tc>
          <w:tcPr>
            <w:tcW w:w="1449" w:type="dxa"/>
            <w:tcBorders>
              <w:top w:val="nil"/>
              <w:left w:val="nil"/>
              <w:bottom w:val="nil"/>
              <w:right w:val="nil"/>
            </w:tcBorders>
            <w:shd w:val="clear" w:color="auto" w:fill="auto"/>
            <w:noWrap/>
            <w:vAlign w:val="center"/>
          </w:tcPr>
          <w:p w14:paraId="24B56ACE">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44"/>
                <w:szCs w:val="44"/>
                <w:highlight w:val="none"/>
              </w:rPr>
            </w:pPr>
          </w:p>
        </w:tc>
        <w:tc>
          <w:tcPr>
            <w:tcW w:w="2607" w:type="dxa"/>
            <w:gridSpan w:val="3"/>
            <w:tcBorders>
              <w:top w:val="nil"/>
              <w:left w:val="nil"/>
              <w:bottom w:val="nil"/>
              <w:right w:val="nil"/>
            </w:tcBorders>
            <w:shd w:val="clear" w:color="auto" w:fill="auto"/>
            <w:noWrap/>
            <w:vAlign w:val="center"/>
          </w:tcPr>
          <w:p w14:paraId="2DBD81D8">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44"/>
                <w:szCs w:val="44"/>
                <w:highlight w:val="none"/>
              </w:rPr>
            </w:pPr>
          </w:p>
        </w:tc>
        <w:tc>
          <w:tcPr>
            <w:tcW w:w="1073" w:type="dxa"/>
            <w:tcBorders>
              <w:top w:val="nil"/>
              <w:left w:val="nil"/>
              <w:bottom w:val="nil"/>
              <w:right w:val="nil"/>
            </w:tcBorders>
            <w:shd w:val="clear" w:color="auto" w:fill="auto"/>
            <w:noWrap/>
            <w:vAlign w:val="center"/>
          </w:tcPr>
          <w:p w14:paraId="49753F31">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44"/>
                <w:szCs w:val="44"/>
                <w:highlight w:val="none"/>
              </w:rPr>
            </w:pPr>
          </w:p>
        </w:tc>
      </w:tr>
      <w:tr w14:paraId="07B7D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16C72F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参建单位</w:t>
            </w:r>
          </w:p>
        </w:tc>
        <w:tc>
          <w:tcPr>
            <w:tcW w:w="7854" w:type="dxa"/>
            <w:gridSpan w:val="7"/>
            <w:tcBorders>
              <w:top w:val="single" w:color="auto" w:sz="4" w:space="0"/>
              <w:left w:val="nil"/>
              <w:bottom w:val="single" w:color="auto" w:sz="4" w:space="0"/>
              <w:right w:val="single" w:color="000000" w:sz="4" w:space="0"/>
            </w:tcBorders>
            <w:shd w:val="clear" w:color="auto" w:fill="auto"/>
            <w:noWrap/>
            <w:vAlign w:val="center"/>
          </w:tcPr>
          <w:p w14:paraId="5F15AB8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00F94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64C0C9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合同名称</w:t>
            </w:r>
          </w:p>
        </w:tc>
        <w:tc>
          <w:tcPr>
            <w:tcW w:w="1559" w:type="dxa"/>
            <w:tcBorders>
              <w:top w:val="nil"/>
              <w:left w:val="nil"/>
              <w:bottom w:val="single" w:color="auto" w:sz="4" w:space="0"/>
              <w:right w:val="single" w:color="auto" w:sz="4" w:space="0"/>
            </w:tcBorders>
            <w:shd w:val="clear" w:color="auto" w:fill="auto"/>
            <w:noWrap/>
            <w:vAlign w:val="center"/>
          </w:tcPr>
          <w:p w14:paraId="6928632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166" w:type="dxa"/>
            <w:tcBorders>
              <w:top w:val="nil"/>
              <w:left w:val="nil"/>
              <w:bottom w:val="single" w:color="auto" w:sz="4" w:space="0"/>
              <w:right w:val="single" w:color="auto" w:sz="4" w:space="0"/>
            </w:tcBorders>
            <w:shd w:val="clear" w:color="auto" w:fill="auto"/>
            <w:noWrap/>
            <w:vAlign w:val="center"/>
          </w:tcPr>
          <w:p w14:paraId="79BEF71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合同编号</w:t>
            </w:r>
          </w:p>
        </w:tc>
        <w:tc>
          <w:tcPr>
            <w:tcW w:w="5129" w:type="dxa"/>
            <w:gridSpan w:val="5"/>
            <w:tcBorders>
              <w:top w:val="single" w:color="auto" w:sz="4" w:space="0"/>
              <w:left w:val="nil"/>
              <w:bottom w:val="single" w:color="auto" w:sz="4" w:space="0"/>
              <w:right w:val="single" w:color="000000" w:sz="4" w:space="0"/>
            </w:tcBorders>
            <w:shd w:val="clear" w:color="auto" w:fill="auto"/>
            <w:noWrap/>
            <w:vAlign w:val="center"/>
          </w:tcPr>
          <w:p w14:paraId="5000FBB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01F61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A25868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开户银行</w:t>
            </w:r>
          </w:p>
        </w:tc>
        <w:tc>
          <w:tcPr>
            <w:tcW w:w="1559" w:type="dxa"/>
            <w:tcBorders>
              <w:top w:val="nil"/>
              <w:left w:val="nil"/>
              <w:bottom w:val="single" w:color="auto" w:sz="4" w:space="0"/>
              <w:right w:val="single" w:color="auto" w:sz="4" w:space="0"/>
            </w:tcBorders>
            <w:shd w:val="clear" w:color="auto" w:fill="auto"/>
            <w:noWrap/>
            <w:vAlign w:val="center"/>
          </w:tcPr>
          <w:p w14:paraId="06639AC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166" w:type="dxa"/>
            <w:tcBorders>
              <w:top w:val="nil"/>
              <w:left w:val="nil"/>
              <w:bottom w:val="single" w:color="auto" w:sz="4" w:space="0"/>
              <w:right w:val="single" w:color="auto" w:sz="4" w:space="0"/>
            </w:tcBorders>
            <w:shd w:val="clear" w:color="auto" w:fill="auto"/>
            <w:noWrap/>
            <w:vAlign w:val="center"/>
          </w:tcPr>
          <w:p w14:paraId="4DB5721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银行帐号</w:t>
            </w:r>
          </w:p>
        </w:tc>
        <w:tc>
          <w:tcPr>
            <w:tcW w:w="5129" w:type="dxa"/>
            <w:gridSpan w:val="5"/>
            <w:tcBorders>
              <w:top w:val="single" w:color="auto" w:sz="4" w:space="0"/>
              <w:left w:val="nil"/>
              <w:bottom w:val="single" w:color="auto" w:sz="4" w:space="0"/>
              <w:right w:val="single" w:color="000000" w:sz="4" w:space="0"/>
            </w:tcBorders>
            <w:shd w:val="clear" w:color="auto" w:fill="auto"/>
            <w:noWrap/>
            <w:vAlign w:val="center"/>
          </w:tcPr>
          <w:p w14:paraId="63C2ECD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2ED6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57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4FA8D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本期申报计量资金额</w:t>
            </w:r>
          </w:p>
        </w:tc>
        <w:tc>
          <w:tcPr>
            <w:tcW w:w="1559" w:type="dxa"/>
            <w:tcBorders>
              <w:top w:val="nil"/>
              <w:left w:val="nil"/>
              <w:bottom w:val="single" w:color="auto" w:sz="4" w:space="0"/>
              <w:right w:val="single" w:color="auto" w:sz="4" w:space="0"/>
            </w:tcBorders>
            <w:shd w:val="clear" w:color="auto" w:fill="auto"/>
            <w:noWrap/>
            <w:vAlign w:val="center"/>
          </w:tcPr>
          <w:p w14:paraId="637D47E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615" w:type="dxa"/>
            <w:gridSpan w:val="2"/>
            <w:tcBorders>
              <w:top w:val="single" w:color="auto" w:sz="4" w:space="0"/>
              <w:left w:val="nil"/>
              <w:bottom w:val="single" w:color="auto" w:sz="4" w:space="0"/>
              <w:right w:val="single" w:color="000000" w:sz="4" w:space="0"/>
            </w:tcBorders>
            <w:shd w:val="clear" w:color="auto" w:fill="auto"/>
            <w:noWrap/>
            <w:vAlign w:val="center"/>
          </w:tcPr>
          <w:p w14:paraId="37CC3BE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至上期累计已收额</w:t>
            </w:r>
          </w:p>
        </w:tc>
        <w:tc>
          <w:tcPr>
            <w:tcW w:w="3680" w:type="dxa"/>
            <w:gridSpan w:val="4"/>
            <w:tcBorders>
              <w:top w:val="single" w:color="auto" w:sz="4" w:space="0"/>
              <w:left w:val="nil"/>
              <w:bottom w:val="single" w:color="auto" w:sz="4" w:space="0"/>
              <w:right w:val="single" w:color="000000" w:sz="4" w:space="0"/>
            </w:tcBorders>
            <w:shd w:val="clear" w:color="auto" w:fill="auto"/>
            <w:noWrap/>
            <w:vAlign w:val="center"/>
          </w:tcPr>
          <w:p w14:paraId="1B87310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638B0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2C3781E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7441DC9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用款单位</w:t>
            </w:r>
          </w:p>
        </w:tc>
        <w:tc>
          <w:tcPr>
            <w:tcW w:w="2615" w:type="dxa"/>
            <w:gridSpan w:val="2"/>
            <w:tcBorders>
              <w:top w:val="single" w:color="auto" w:sz="4" w:space="0"/>
              <w:left w:val="nil"/>
              <w:bottom w:val="single" w:color="auto" w:sz="4" w:space="0"/>
              <w:right w:val="single" w:color="auto" w:sz="4" w:space="0"/>
            </w:tcBorders>
            <w:shd w:val="clear" w:color="auto" w:fill="auto"/>
            <w:noWrap/>
            <w:vAlign w:val="center"/>
          </w:tcPr>
          <w:p w14:paraId="5A8F2DB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用途</w:t>
            </w:r>
          </w:p>
        </w:tc>
        <w:tc>
          <w:tcPr>
            <w:tcW w:w="1921" w:type="dxa"/>
            <w:gridSpan w:val="2"/>
            <w:tcBorders>
              <w:top w:val="nil"/>
              <w:left w:val="nil"/>
              <w:bottom w:val="single" w:color="auto" w:sz="4" w:space="0"/>
              <w:right w:val="single" w:color="auto" w:sz="4" w:space="0"/>
            </w:tcBorders>
            <w:shd w:val="clear" w:color="auto" w:fill="auto"/>
            <w:noWrap/>
            <w:vAlign w:val="center"/>
          </w:tcPr>
          <w:p w14:paraId="7887931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金额</w:t>
            </w:r>
          </w:p>
        </w:tc>
        <w:tc>
          <w:tcPr>
            <w:tcW w:w="1759" w:type="dxa"/>
            <w:gridSpan w:val="2"/>
            <w:tcBorders>
              <w:top w:val="nil"/>
              <w:left w:val="nil"/>
              <w:bottom w:val="single" w:color="auto" w:sz="4" w:space="0"/>
              <w:right w:val="single" w:color="auto" w:sz="4" w:space="0"/>
            </w:tcBorders>
            <w:shd w:val="clear" w:color="auto" w:fill="auto"/>
            <w:noWrap/>
            <w:vAlign w:val="center"/>
          </w:tcPr>
          <w:p w14:paraId="49C06E8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累计支付</w:t>
            </w:r>
          </w:p>
        </w:tc>
      </w:tr>
      <w:tr w14:paraId="702AB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09C59B1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56AE24B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615" w:type="dxa"/>
            <w:gridSpan w:val="2"/>
            <w:tcBorders>
              <w:top w:val="single" w:color="auto" w:sz="4" w:space="0"/>
              <w:left w:val="nil"/>
              <w:bottom w:val="single" w:color="auto" w:sz="4" w:space="0"/>
              <w:right w:val="single" w:color="auto" w:sz="4" w:space="0"/>
            </w:tcBorders>
            <w:shd w:val="clear" w:color="auto" w:fill="auto"/>
            <w:noWrap/>
            <w:vAlign w:val="center"/>
          </w:tcPr>
          <w:p w14:paraId="4F503D8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921" w:type="dxa"/>
            <w:gridSpan w:val="2"/>
            <w:tcBorders>
              <w:top w:val="nil"/>
              <w:left w:val="nil"/>
              <w:bottom w:val="single" w:color="auto" w:sz="4" w:space="0"/>
              <w:right w:val="single" w:color="auto" w:sz="4" w:space="0"/>
            </w:tcBorders>
            <w:shd w:val="clear" w:color="auto" w:fill="auto"/>
            <w:noWrap/>
            <w:vAlign w:val="center"/>
          </w:tcPr>
          <w:p w14:paraId="6BC38F42">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759" w:type="dxa"/>
            <w:gridSpan w:val="2"/>
            <w:tcBorders>
              <w:top w:val="nil"/>
              <w:left w:val="nil"/>
              <w:bottom w:val="single" w:color="auto" w:sz="4" w:space="0"/>
              <w:right w:val="single" w:color="auto" w:sz="4" w:space="0"/>
            </w:tcBorders>
            <w:shd w:val="clear" w:color="auto" w:fill="auto"/>
            <w:noWrap/>
            <w:vAlign w:val="center"/>
          </w:tcPr>
          <w:p w14:paraId="32160D91">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04953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7403A19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3E5D113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615" w:type="dxa"/>
            <w:gridSpan w:val="2"/>
            <w:tcBorders>
              <w:top w:val="single" w:color="auto" w:sz="4" w:space="0"/>
              <w:left w:val="nil"/>
              <w:bottom w:val="single" w:color="auto" w:sz="4" w:space="0"/>
              <w:right w:val="single" w:color="auto" w:sz="4" w:space="0"/>
            </w:tcBorders>
            <w:shd w:val="clear" w:color="auto" w:fill="auto"/>
            <w:noWrap/>
            <w:vAlign w:val="center"/>
          </w:tcPr>
          <w:p w14:paraId="715BE53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921" w:type="dxa"/>
            <w:gridSpan w:val="2"/>
            <w:tcBorders>
              <w:top w:val="nil"/>
              <w:left w:val="nil"/>
              <w:bottom w:val="single" w:color="auto" w:sz="4" w:space="0"/>
              <w:right w:val="single" w:color="auto" w:sz="4" w:space="0"/>
            </w:tcBorders>
            <w:shd w:val="clear" w:color="auto" w:fill="auto"/>
            <w:noWrap/>
            <w:vAlign w:val="center"/>
          </w:tcPr>
          <w:p w14:paraId="0333FFF4">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759" w:type="dxa"/>
            <w:gridSpan w:val="2"/>
            <w:tcBorders>
              <w:top w:val="nil"/>
              <w:left w:val="nil"/>
              <w:bottom w:val="single" w:color="auto" w:sz="4" w:space="0"/>
              <w:right w:val="single" w:color="auto" w:sz="4" w:space="0"/>
            </w:tcBorders>
            <w:shd w:val="clear" w:color="auto" w:fill="auto"/>
            <w:noWrap/>
            <w:vAlign w:val="center"/>
          </w:tcPr>
          <w:p w14:paraId="015A7E08">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2F70C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64E96BA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25C1E96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615" w:type="dxa"/>
            <w:gridSpan w:val="2"/>
            <w:tcBorders>
              <w:top w:val="single" w:color="auto" w:sz="4" w:space="0"/>
              <w:left w:val="nil"/>
              <w:bottom w:val="single" w:color="auto" w:sz="4" w:space="0"/>
              <w:right w:val="single" w:color="auto" w:sz="4" w:space="0"/>
            </w:tcBorders>
            <w:shd w:val="clear" w:color="auto" w:fill="auto"/>
            <w:noWrap/>
            <w:vAlign w:val="center"/>
          </w:tcPr>
          <w:p w14:paraId="735E156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921" w:type="dxa"/>
            <w:gridSpan w:val="2"/>
            <w:tcBorders>
              <w:top w:val="nil"/>
              <w:left w:val="nil"/>
              <w:bottom w:val="single" w:color="auto" w:sz="4" w:space="0"/>
              <w:right w:val="single" w:color="auto" w:sz="4" w:space="0"/>
            </w:tcBorders>
            <w:shd w:val="clear" w:color="auto" w:fill="auto"/>
            <w:noWrap/>
            <w:vAlign w:val="center"/>
          </w:tcPr>
          <w:p w14:paraId="52BF3F59">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759" w:type="dxa"/>
            <w:gridSpan w:val="2"/>
            <w:tcBorders>
              <w:top w:val="nil"/>
              <w:left w:val="nil"/>
              <w:bottom w:val="single" w:color="auto" w:sz="4" w:space="0"/>
              <w:right w:val="single" w:color="auto" w:sz="4" w:space="0"/>
            </w:tcBorders>
            <w:shd w:val="clear" w:color="auto" w:fill="auto"/>
            <w:noWrap/>
            <w:vAlign w:val="center"/>
          </w:tcPr>
          <w:p w14:paraId="1DE73138">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014D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6135B31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31E4AE6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615" w:type="dxa"/>
            <w:gridSpan w:val="2"/>
            <w:tcBorders>
              <w:top w:val="single" w:color="auto" w:sz="4" w:space="0"/>
              <w:left w:val="nil"/>
              <w:bottom w:val="single" w:color="auto" w:sz="4" w:space="0"/>
              <w:right w:val="single" w:color="auto" w:sz="4" w:space="0"/>
            </w:tcBorders>
            <w:shd w:val="clear" w:color="auto" w:fill="auto"/>
            <w:noWrap/>
            <w:vAlign w:val="center"/>
          </w:tcPr>
          <w:p w14:paraId="0FDA224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921" w:type="dxa"/>
            <w:gridSpan w:val="2"/>
            <w:tcBorders>
              <w:top w:val="nil"/>
              <w:left w:val="nil"/>
              <w:bottom w:val="single" w:color="auto" w:sz="4" w:space="0"/>
              <w:right w:val="single" w:color="auto" w:sz="4" w:space="0"/>
            </w:tcBorders>
            <w:shd w:val="clear" w:color="auto" w:fill="auto"/>
            <w:noWrap/>
            <w:vAlign w:val="center"/>
          </w:tcPr>
          <w:p w14:paraId="775D7AD2">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759" w:type="dxa"/>
            <w:gridSpan w:val="2"/>
            <w:tcBorders>
              <w:top w:val="nil"/>
              <w:left w:val="nil"/>
              <w:bottom w:val="single" w:color="auto" w:sz="4" w:space="0"/>
              <w:right w:val="single" w:color="auto" w:sz="4" w:space="0"/>
            </w:tcBorders>
            <w:shd w:val="clear" w:color="auto" w:fill="auto"/>
            <w:noWrap/>
            <w:vAlign w:val="center"/>
          </w:tcPr>
          <w:p w14:paraId="2247704D">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7A4C1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0823E04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17E801C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615" w:type="dxa"/>
            <w:gridSpan w:val="2"/>
            <w:tcBorders>
              <w:top w:val="single" w:color="auto" w:sz="4" w:space="0"/>
              <w:left w:val="nil"/>
              <w:bottom w:val="single" w:color="auto" w:sz="4" w:space="0"/>
              <w:right w:val="single" w:color="auto" w:sz="4" w:space="0"/>
            </w:tcBorders>
            <w:shd w:val="clear" w:color="auto" w:fill="auto"/>
            <w:noWrap/>
            <w:vAlign w:val="center"/>
          </w:tcPr>
          <w:p w14:paraId="2AA88B80">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921" w:type="dxa"/>
            <w:gridSpan w:val="2"/>
            <w:tcBorders>
              <w:top w:val="nil"/>
              <w:left w:val="nil"/>
              <w:bottom w:val="single" w:color="auto" w:sz="4" w:space="0"/>
              <w:right w:val="single" w:color="auto" w:sz="4" w:space="0"/>
            </w:tcBorders>
            <w:shd w:val="clear" w:color="auto" w:fill="auto"/>
            <w:noWrap/>
            <w:vAlign w:val="center"/>
          </w:tcPr>
          <w:p w14:paraId="06865560">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759" w:type="dxa"/>
            <w:gridSpan w:val="2"/>
            <w:tcBorders>
              <w:top w:val="nil"/>
              <w:left w:val="nil"/>
              <w:bottom w:val="single" w:color="auto" w:sz="4" w:space="0"/>
              <w:right w:val="single" w:color="auto" w:sz="4" w:space="0"/>
            </w:tcBorders>
            <w:shd w:val="clear" w:color="auto" w:fill="auto"/>
            <w:noWrap/>
            <w:vAlign w:val="center"/>
          </w:tcPr>
          <w:p w14:paraId="57A4F1CE">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18F1D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4" w:type="dxa"/>
            <w:tcBorders>
              <w:top w:val="nil"/>
              <w:left w:val="single" w:color="auto" w:sz="4" w:space="0"/>
              <w:bottom w:val="single" w:color="auto" w:sz="4" w:space="0"/>
              <w:right w:val="nil"/>
            </w:tcBorders>
            <w:shd w:val="clear" w:color="auto" w:fill="auto"/>
            <w:noWrap/>
            <w:vAlign w:val="center"/>
          </w:tcPr>
          <w:p w14:paraId="7A3D6F8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41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2140BC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166" w:type="dxa"/>
            <w:tcBorders>
              <w:top w:val="nil"/>
              <w:left w:val="nil"/>
              <w:bottom w:val="single" w:color="auto" w:sz="4" w:space="0"/>
              <w:right w:val="nil"/>
            </w:tcBorders>
            <w:shd w:val="clear" w:color="auto" w:fill="auto"/>
            <w:noWrap/>
            <w:vAlign w:val="center"/>
          </w:tcPr>
          <w:p w14:paraId="0B8056C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449" w:type="dxa"/>
            <w:tcBorders>
              <w:top w:val="nil"/>
              <w:left w:val="nil"/>
              <w:bottom w:val="single" w:color="auto" w:sz="4" w:space="0"/>
              <w:right w:val="single" w:color="auto" w:sz="4" w:space="0"/>
            </w:tcBorders>
            <w:shd w:val="clear" w:color="auto" w:fill="auto"/>
            <w:noWrap/>
            <w:vAlign w:val="center"/>
          </w:tcPr>
          <w:p w14:paraId="72247BD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921" w:type="dxa"/>
            <w:gridSpan w:val="2"/>
            <w:tcBorders>
              <w:top w:val="nil"/>
              <w:left w:val="nil"/>
              <w:bottom w:val="single" w:color="auto" w:sz="4" w:space="0"/>
              <w:right w:val="single" w:color="auto" w:sz="4" w:space="0"/>
            </w:tcBorders>
            <w:shd w:val="clear" w:color="auto" w:fill="auto"/>
            <w:noWrap/>
            <w:vAlign w:val="center"/>
          </w:tcPr>
          <w:p w14:paraId="5C8C817A">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759" w:type="dxa"/>
            <w:gridSpan w:val="2"/>
            <w:tcBorders>
              <w:top w:val="nil"/>
              <w:left w:val="nil"/>
              <w:bottom w:val="single" w:color="auto" w:sz="4" w:space="0"/>
              <w:right w:val="single" w:color="auto" w:sz="4" w:space="0"/>
            </w:tcBorders>
            <w:shd w:val="clear" w:color="auto" w:fill="auto"/>
            <w:noWrap/>
            <w:vAlign w:val="center"/>
          </w:tcPr>
          <w:p w14:paraId="42472B30">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36DCD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0F4971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0DEBD0D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615" w:type="dxa"/>
            <w:gridSpan w:val="2"/>
            <w:tcBorders>
              <w:top w:val="single" w:color="auto" w:sz="4" w:space="0"/>
              <w:left w:val="nil"/>
              <w:bottom w:val="single" w:color="auto" w:sz="4" w:space="0"/>
              <w:right w:val="single" w:color="auto" w:sz="4" w:space="0"/>
            </w:tcBorders>
            <w:shd w:val="clear" w:color="auto" w:fill="auto"/>
            <w:noWrap/>
            <w:vAlign w:val="center"/>
          </w:tcPr>
          <w:p w14:paraId="785FA82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921" w:type="dxa"/>
            <w:gridSpan w:val="2"/>
            <w:tcBorders>
              <w:top w:val="nil"/>
              <w:left w:val="nil"/>
              <w:bottom w:val="single" w:color="auto" w:sz="4" w:space="0"/>
              <w:right w:val="single" w:color="auto" w:sz="4" w:space="0"/>
            </w:tcBorders>
            <w:shd w:val="clear" w:color="auto" w:fill="auto"/>
            <w:noWrap/>
            <w:vAlign w:val="center"/>
          </w:tcPr>
          <w:p w14:paraId="097AF289">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759" w:type="dxa"/>
            <w:gridSpan w:val="2"/>
            <w:tcBorders>
              <w:top w:val="nil"/>
              <w:left w:val="nil"/>
              <w:bottom w:val="single" w:color="auto" w:sz="4" w:space="0"/>
              <w:right w:val="single" w:color="auto" w:sz="4" w:space="0"/>
            </w:tcBorders>
            <w:shd w:val="clear" w:color="auto" w:fill="auto"/>
            <w:noWrap/>
            <w:vAlign w:val="center"/>
          </w:tcPr>
          <w:p w14:paraId="514F5EC1">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5CCD1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605D32B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2AE4BAB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615" w:type="dxa"/>
            <w:gridSpan w:val="2"/>
            <w:tcBorders>
              <w:top w:val="single" w:color="auto" w:sz="4" w:space="0"/>
              <w:left w:val="nil"/>
              <w:bottom w:val="single" w:color="auto" w:sz="4" w:space="0"/>
              <w:right w:val="single" w:color="auto" w:sz="4" w:space="0"/>
            </w:tcBorders>
            <w:shd w:val="clear" w:color="auto" w:fill="auto"/>
            <w:noWrap/>
            <w:vAlign w:val="center"/>
          </w:tcPr>
          <w:p w14:paraId="353EE5C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921" w:type="dxa"/>
            <w:gridSpan w:val="2"/>
            <w:tcBorders>
              <w:top w:val="nil"/>
              <w:left w:val="nil"/>
              <w:bottom w:val="single" w:color="auto" w:sz="4" w:space="0"/>
              <w:right w:val="single" w:color="auto" w:sz="4" w:space="0"/>
            </w:tcBorders>
            <w:shd w:val="clear" w:color="auto" w:fill="auto"/>
            <w:noWrap/>
            <w:vAlign w:val="center"/>
          </w:tcPr>
          <w:p w14:paraId="3C8A5A17">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759" w:type="dxa"/>
            <w:gridSpan w:val="2"/>
            <w:tcBorders>
              <w:top w:val="nil"/>
              <w:left w:val="nil"/>
              <w:bottom w:val="single" w:color="auto" w:sz="4" w:space="0"/>
              <w:right w:val="single" w:color="auto" w:sz="4" w:space="0"/>
            </w:tcBorders>
            <w:shd w:val="clear" w:color="auto" w:fill="auto"/>
            <w:noWrap/>
            <w:vAlign w:val="center"/>
          </w:tcPr>
          <w:p w14:paraId="12B1DBC7">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1B19C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2AC4993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1E6708E2">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615" w:type="dxa"/>
            <w:gridSpan w:val="2"/>
            <w:tcBorders>
              <w:top w:val="single" w:color="auto" w:sz="4" w:space="0"/>
              <w:left w:val="nil"/>
              <w:bottom w:val="single" w:color="auto" w:sz="4" w:space="0"/>
              <w:right w:val="single" w:color="auto" w:sz="4" w:space="0"/>
            </w:tcBorders>
            <w:shd w:val="clear" w:color="auto" w:fill="auto"/>
            <w:noWrap/>
            <w:vAlign w:val="center"/>
          </w:tcPr>
          <w:p w14:paraId="7EC8DD5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921" w:type="dxa"/>
            <w:gridSpan w:val="2"/>
            <w:tcBorders>
              <w:top w:val="nil"/>
              <w:left w:val="nil"/>
              <w:bottom w:val="single" w:color="auto" w:sz="4" w:space="0"/>
              <w:right w:val="single" w:color="auto" w:sz="4" w:space="0"/>
            </w:tcBorders>
            <w:shd w:val="clear" w:color="auto" w:fill="auto"/>
            <w:noWrap/>
            <w:vAlign w:val="center"/>
          </w:tcPr>
          <w:p w14:paraId="3A3FB0FF">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759" w:type="dxa"/>
            <w:gridSpan w:val="2"/>
            <w:tcBorders>
              <w:top w:val="nil"/>
              <w:left w:val="nil"/>
              <w:bottom w:val="single" w:color="auto" w:sz="4" w:space="0"/>
              <w:right w:val="single" w:color="auto" w:sz="4" w:space="0"/>
            </w:tcBorders>
            <w:shd w:val="clear" w:color="auto" w:fill="auto"/>
            <w:noWrap/>
            <w:vAlign w:val="center"/>
          </w:tcPr>
          <w:p w14:paraId="2EB334E4">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51CB2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340EFC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6786690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615" w:type="dxa"/>
            <w:gridSpan w:val="2"/>
            <w:tcBorders>
              <w:top w:val="single" w:color="auto" w:sz="4" w:space="0"/>
              <w:left w:val="nil"/>
              <w:bottom w:val="single" w:color="auto" w:sz="4" w:space="0"/>
              <w:right w:val="single" w:color="auto" w:sz="4" w:space="0"/>
            </w:tcBorders>
            <w:shd w:val="clear" w:color="auto" w:fill="auto"/>
            <w:noWrap/>
            <w:vAlign w:val="center"/>
          </w:tcPr>
          <w:p w14:paraId="18FC7F5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921" w:type="dxa"/>
            <w:gridSpan w:val="2"/>
            <w:tcBorders>
              <w:top w:val="nil"/>
              <w:left w:val="nil"/>
              <w:bottom w:val="single" w:color="auto" w:sz="4" w:space="0"/>
              <w:right w:val="single" w:color="auto" w:sz="4" w:space="0"/>
            </w:tcBorders>
            <w:shd w:val="clear" w:color="auto" w:fill="auto"/>
            <w:noWrap/>
            <w:vAlign w:val="center"/>
          </w:tcPr>
          <w:p w14:paraId="3253280B">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759" w:type="dxa"/>
            <w:gridSpan w:val="2"/>
            <w:tcBorders>
              <w:top w:val="nil"/>
              <w:left w:val="nil"/>
              <w:bottom w:val="single" w:color="auto" w:sz="4" w:space="0"/>
              <w:right w:val="single" w:color="auto" w:sz="4" w:space="0"/>
            </w:tcBorders>
            <w:shd w:val="clear" w:color="auto" w:fill="auto"/>
            <w:noWrap/>
            <w:vAlign w:val="center"/>
          </w:tcPr>
          <w:p w14:paraId="3F279213">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1713F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4" w:type="dxa"/>
            <w:tcBorders>
              <w:top w:val="nil"/>
              <w:left w:val="single" w:color="auto" w:sz="4" w:space="0"/>
              <w:bottom w:val="single" w:color="auto" w:sz="4" w:space="0"/>
              <w:right w:val="single" w:color="auto" w:sz="4" w:space="0"/>
            </w:tcBorders>
            <w:shd w:val="clear" w:color="auto" w:fill="auto"/>
            <w:noWrap/>
            <w:vAlign w:val="center"/>
          </w:tcPr>
          <w:p w14:paraId="16BABE6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410" w:type="dxa"/>
            <w:gridSpan w:val="2"/>
            <w:tcBorders>
              <w:top w:val="single" w:color="auto" w:sz="4" w:space="0"/>
              <w:left w:val="nil"/>
              <w:bottom w:val="single" w:color="auto" w:sz="4" w:space="0"/>
              <w:right w:val="single" w:color="auto" w:sz="4" w:space="0"/>
            </w:tcBorders>
            <w:shd w:val="clear" w:color="auto" w:fill="auto"/>
            <w:noWrap/>
            <w:vAlign w:val="center"/>
          </w:tcPr>
          <w:p w14:paraId="6EE9404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2615" w:type="dxa"/>
            <w:gridSpan w:val="2"/>
            <w:tcBorders>
              <w:top w:val="single" w:color="auto" w:sz="4" w:space="0"/>
              <w:left w:val="nil"/>
              <w:bottom w:val="single" w:color="auto" w:sz="4" w:space="0"/>
              <w:right w:val="single" w:color="auto" w:sz="4" w:space="0"/>
            </w:tcBorders>
            <w:shd w:val="clear" w:color="auto" w:fill="auto"/>
            <w:noWrap/>
            <w:vAlign w:val="center"/>
          </w:tcPr>
          <w:p w14:paraId="35AD99BD">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921" w:type="dxa"/>
            <w:gridSpan w:val="2"/>
            <w:tcBorders>
              <w:top w:val="nil"/>
              <w:left w:val="nil"/>
              <w:bottom w:val="single" w:color="auto" w:sz="4" w:space="0"/>
              <w:right w:val="single" w:color="auto" w:sz="4" w:space="0"/>
            </w:tcBorders>
            <w:shd w:val="clear" w:color="auto" w:fill="auto"/>
            <w:noWrap/>
            <w:vAlign w:val="center"/>
          </w:tcPr>
          <w:p w14:paraId="1D3D25F5">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c>
          <w:tcPr>
            <w:tcW w:w="1759" w:type="dxa"/>
            <w:gridSpan w:val="2"/>
            <w:tcBorders>
              <w:top w:val="nil"/>
              <w:left w:val="nil"/>
              <w:bottom w:val="single" w:color="auto" w:sz="4" w:space="0"/>
              <w:right w:val="single" w:color="auto" w:sz="4" w:space="0"/>
            </w:tcBorders>
            <w:shd w:val="clear" w:color="auto" w:fill="auto"/>
            <w:noWrap/>
            <w:vAlign w:val="center"/>
          </w:tcPr>
          <w:p w14:paraId="4EE66571">
            <w:pPr>
              <w:keepNext w:val="0"/>
              <w:keepLines w:val="0"/>
              <w:widowControl/>
              <w:suppressLineNumbers w:val="0"/>
              <w:spacing w:before="0" w:beforeAutospacing="0" w:after="0" w:afterAutospacing="0"/>
              <w:ind w:left="0" w:right="0"/>
              <w:jc w:val="right"/>
              <w:rPr>
                <w:rFonts w:hint="default" w:ascii="Times New Roman" w:hAnsi="Times New Roman" w:cs="Times New Roman"/>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w:t>
            </w:r>
          </w:p>
        </w:tc>
      </w:tr>
      <w:tr w14:paraId="2341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5749" w:type="dxa"/>
            <w:gridSpan w:val="5"/>
            <w:tcBorders>
              <w:top w:val="single" w:color="auto" w:sz="4" w:space="0"/>
              <w:left w:val="single" w:color="auto" w:sz="4" w:space="0"/>
              <w:bottom w:val="single" w:color="auto" w:sz="4" w:space="0"/>
              <w:right w:val="single" w:color="000000" w:sz="4" w:space="0"/>
            </w:tcBorders>
            <w:shd w:val="clear" w:color="auto" w:fill="auto"/>
            <w:noWrap/>
            <w:vAlign w:val="center"/>
          </w:tcPr>
          <w:p w14:paraId="37C0DF7B">
            <w:pPr>
              <w:keepNext w:val="0"/>
              <w:keepLines w:val="0"/>
              <w:widowControl/>
              <w:suppressLineNumbers w:val="0"/>
              <w:spacing w:before="0" w:beforeAutospacing="0" w:after="0" w:afterAutospacing="0"/>
              <w:ind w:left="0" w:right="0"/>
              <w:jc w:val="center"/>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总计</w:t>
            </w:r>
          </w:p>
        </w:tc>
        <w:tc>
          <w:tcPr>
            <w:tcW w:w="1921" w:type="dxa"/>
            <w:gridSpan w:val="2"/>
            <w:tcBorders>
              <w:top w:val="nil"/>
              <w:left w:val="nil"/>
              <w:bottom w:val="single" w:color="auto" w:sz="4" w:space="0"/>
              <w:right w:val="single" w:color="auto" w:sz="4" w:space="0"/>
            </w:tcBorders>
            <w:shd w:val="clear" w:color="auto" w:fill="auto"/>
            <w:noWrap/>
            <w:vAlign w:val="center"/>
          </w:tcPr>
          <w:p w14:paraId="558AB3D4">
            <w:pPr>
              <w:keepNext w:val="0"/>
              <w:keepLines w:val="0"/>
              <w:widowControl/>
              <w:suppressLineNumbers w:val="0"/>
              <w:spacing w:before="0" w:beforeAutospacing="0" w:after="0" w:afterAutospacing="0"/>
              <w:ind w:left="0" w:right="0"/>
              <w:jc w:val="right"/>
              <w:rPr>
                <w:rFonts w:hint="default" w:ascii="Times New Roman" w:hAnsi="Times New Roman" w:cs="Times New Roman"/>
                <w:b/>
                <w:bCs w:val="0"/>
                <w:color w:val="auto"/>
                <w:kern w:val="0"/>
                <w:sz w:val="24"/>
                <w:szCs w:val="24"/>
                <w:highlight w:val="none"/>
              </w:rPr>
            </w:pPr>
            <w:r>
              <w:rPr>
                <w:rFonts w:hint="default" w:ascii="Times New Roman" w:hAnsi="Times New Roman" w:cs="Times New Roman" w:eastAsiaTheme="minorEastAsia"/>
                <w:b/>
                <w:bCs w:val="0"/>
                <w:color w:val="auto"/>
                <w:kern w:val="0"/>
                <w:sz w:val="24"/>
                <w:szCs w:val="24"/>
                <w:highlight w:val="none"/>
                <w:lang w:val="en-US" w:eastAsia="zh-CN" w:bidi="ar"/>
              </w:rPr>
              <w:t xml:space="preserve">                       -   </w:t>
            </w:r>
          </w:p>
        </w:tc>
        <w:tc>
          <w:tcPr>
            <w:tcW w:w="1759" w:type="dxa"/>
            <w:gridSpan w:val="2"/>
            <w:tcBorders>
              <w:top w:val="nil"/>
              <w:left w:val="nil"/>
              <w:bottom w:val="single" w:color="auto" w:sz="4" w:space="0"/>
              <w:right w:val="single" w:color="auto" w:sz="4" w:space="0"/>
            </w:tcBorders>
            <w:shd w:val="clear" w:color="auto" w:fill="auto"/>
            <w:noWrap/>
            <w:vAlign w:val="center"/>
          </w:tcPr>
          <w:p w14:paraId="4EE53E28">
            <w:pPr>
              <w:keepNext w:val="0"/>
              <w:keepLines w:val="0"/>
              <w:widowControl/>
              <w:suppressLineNumbers w:val="0"/>
              <w:spacing w:before="0" w:beforeAutospacing="0" w:after="0" w:afterAutospacing="0"/>
              <w:ind w:left="0" w:right="0"/>
              <w:jc w:val="right"/>
              <w:rPr>
                <w:rFonts w:hint="default" w:ascii="Times New Roman" w:hAnsi="Times New Roman" w:cs="Times New Roman"/>
                <w:b/>
                <w:bCs w:val="0"/>
                <w:color w:val="auto"/>
                <w:kern w:val="0"/>
                <w:sz w:val="24"/>
                <w:szCs w:val="24"/>
                <w:highlight w:val="none"/>
              </w:rPr>
            </w:pPr>
            <w:r>
              <w:rPr>
                <w:rFonts w:hint="default" w:ascii="Times New Roman" w:hAnsi="Times New Roman" w:cs="Times New Roman" w:eastAsiaTheme="minorEastAsia"/>
                <w:b/>
                <w:bCs w:val="0"/>
                <w:color w:val="auto"/>
                <w:kern w:val="0"/>
                <w:sz w:val="24"/>
                <w:szCs w:val="24"/>
                <w:highlight w:val="none"/>
                <w:lang w:val="en-US" w:eastAsia="zh-CN" w:bidi="ar"/>
              </w:rPr>
              <w:t xml:space="preserve">                       -   </w:t>
            </w:r>
          </w:p>
        </w:tc>
      </w:tr>
      <w:tr w14:paraId="2FF48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3"/>
          <w:wAfter w:w="1875" w:type="dxa"/>
          <w:trHeight w:val="552" w:hRule="atLeast"/>
        </w:trPr>
        <w:tc>
          <w:tcPr>
            <w:tcW w:w="7554" w:type="dxa"/>
            <w:gridSpan w:val="6"/>
            <w:tcBorders>
              <w:top w:val="nil"/>
              <w:left w:val="nil"/>
              <w:bottom w:val="nil"/>
              <w:right w:val="nil"/>
            </w:tcBorders>
            <w:shd w:val="clear" w:color="auto" w:fill="auto"/>
            <w:noWrap/>
            <w:vAlign w:val="center"/>
          </w:tcPr>
          <w:p w14:paraId="015E17F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备注：1、本表根据本期审定资金额编制用款计划(加盖单位公章)，连同计量相关资料报送；</w:t>
            </w:r>
          </w:p>
        </w:tc>
      </w:tr>
      <w:tr w14:paraId="3C2BA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356" w:type="dxa"/>
            <w:gridSpan w:val="8"/>
            <w:tcBorders>
              <w:top w:val="nil"/>
              <w:left w:val="nil"/>
              <w:bottom w:val="nil"/>
              <w:right w:val="nil"/>
            </w:tcBorders>
            <w:shd w:val="clear" w:color="auto" w:fill="auto"/>
            <w:noWrap/>
            <w:vAlign w:val="center"/>
          </w:tcPr>
          <w:p w14:paraId="2EC797E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2、本表一式两份，一份作为计量附件资料，一份提交资金监管银行。</w:t>
            </w:r>
          </w:p>
        </w:tc>
        <w:tc>
          <w:tcPr>
            <w:tcW w:w="1073" w:type="dxa"/>
            <w:tcBorders>
              <w:top w:val="nil"/>
              <w:left w:val="nil"/>
              <w:bottom w:val="nil"/>
              <w:right w:val="nil"/>
            </w:tcBorders>
            <w:shd w:val="clear" w:color="auto" w:fill="auto"/>
            <w:noWrap/>
            <w:vAlign w:val="center"/>
          </w:tcPr>
          <w:p w14:paraId="21FD103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r>
      <w:tr w14:paraId="44CA2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24" w:type="dxa"/>
            <w:tcBorders>
              <w:top w:val="nil"/>
              <w:left w:val="nil"/>
              <w:bottom w:val="nil"/>
              <w:right w:val="nil"/>
            </w:tcBorders>
            <w:shd w:val="clear" w:color="auto" w:fill="auto"/>
            <w:noWrap/>
            <w:vAlign w:val="center"/>
          </w:tcPr>
          <w:p w14:paraId="1BEE61F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851" w:type="dxa"/>
            <w:tcBorders>
              <w:top w:val="nil"/>
              <w:left w:val="nil"/>
              <w:bottom w:val="nil"/>
              <w:right w:val="nil"/>
            </w:tcBorders>
            <w:shd w:val="clear" w:color="auto" w:fill="auto"/>
            <w:noWrap/>
            <w:vAlign w:val="center"/>
          </w:tcPr>
          <w:p w14:paraId="0BB1982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1559" w:type="dxa"/>
            <w:tcBorders>
              <w:top w:val="nil"/>
              <w:left w:val="nil"/>
              <w:bottom w:val="nil"/>
              <w:right w:val="nil"/>
            </w:tcBorders>
            <w:shd w:val="clear" w:color="auto" w:fill="auto"/>
            <w:noWrap/>
            <w:vAlign w:val="center"/>
          </w:tcPr>
          <w:p w14:paraId="0BDD581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项目管理部门：</w:t>
            </w:r>
          </w:p>
        </w:tc>
        <w:tc>
          <w:tcPr>
            <w:tcW w:w="1166" w:type="dxa"/>
            <w:tcBorders>
              <w:top w:val="nil"/>
              <w:left w:val="nil"/>
              <w:bottom w:val="nil"/>
              <w:right w:val="nil"/>
            </w:tcBorders>
            <w:shd w:val="clear" w:color="auto" w:fill="auto"/>
            <w:noWrap/>
            <w:vAlign w:val="center"/>
          </w:tcPr>
          <w:p w14:paraId="40AC1BD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1449" w:type="dxa"/>
            <w:tcBorders>
              <w:top w:val="nil"/>
              <w:left w:val="nil"/>
              <w:bottom w:val="nil"/>
              <w:right w:val="nil"/>
            </w:tcBorders>
            <w:shd w:val="clear" w:color="auto" w:fill="auto"/>
            <w:noWrap/>
            <w:vAlign w:val="center"/>
          </w:tcPr>
          <w:p w14:paraId="16121C6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单位：</w:t>
            </w:r>
          </w:p>
        </w:tc>
        <w:tc>
          <w:tcPr>
            <w:tcW w:w="2607" w:type="dxa"/>
            <w:gridSpan w:val="3"/>
            <w:tcBorders>
              <w:top w:val="nil"/>
              <w:left w:val="nil"/>
              <w:bottom w:val="nil"/>
              <w:right w:val="nil"/>
            </w:tcBorders>
            <w:shd w:val="clear" w:color="auto" w:fill="auto"/>
            <w:noWrap/>
            <w:vAlign w:val="center"/>
          </w:tcPr>
          <w:p w14:paraId="1F44639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c>
          <w:tcPr>
            <w:tcW w:w="1073" w:type="dxa"/>
            <w:tcBorders>
              <w:top w:val="nil"/>
              <w:left w:val="nil"/>
              <w:bottom w:val="nil"/>
              <w:right w:val="nil"/>
            </w:tcBorders>
            <w:shd w:val="clear" w:color="auto" w:fill="auto"/>
            <w:noWrap/>
            <w:vAlign w:val="center"/>
          </w:tcPr>
          <w:p w14:paraId="46BDA70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tc>
      </w:tr>
    </w:tbl>
    <w:p w14:paraId="07A57665">
      <w:pPr>
        <w:keepNext w:val="0"/>
        <w:keepLines w:val="0"/>
        <w:widowControl w:val="0"/>
        <w:suppressLineNumbers w:val="0"/>
        <w:adjustRightInd w:val="0"/>
        <w:snapToGrid w:val="0"/>
        <w:spacing w:before="0" w:beforeAutospacing="0" w:after="0" w:afterAutospacing="0" w:line="360" w:lineRule="auto"/>
        <w:ind w:left="0" w:right="11"/>
        <w:jc w:val="left"/>
        <w:rPr>
          <w:rFonts w:hint="eastAsia" w:ascii="宋体" w:hAnsi="宋体" w:eastAsia="宋体" w:cs="宋体"/>
          <w:bCs/>
          <w:color w:val="auto"/>
          <w:kern w:val="0"/>
          <w:sz w:val="24"/>
          <w:szCs w:val="24"/>
          <w:highlight w:val="none"/>
        </w:rPr>
      </w:pPr>
      <w:r>
        <w:rPr>
          <w:rFonts w:hint="default" w:ascii="Times New Roman" w:hAnsi="Times New Roman" w:cs="Times New Roman" w:eastAsiaTheme="minorEastAsia"/>
          <w:b/>
          <w:bCs w:val="0"/>
          <w:color w:val="auto"/>
          <w:kern w:val="0"/>
          <w:sz w:val="24"/>
          <w:szCs w:val="24"/>
          <w:highlight w:val="none"/>
          <w:lang w:val="en-US" w:eastAsia="zh-CN" w:bidi="ar"/>
        </w:rPr>
        <w:br w:type="page"/>
      </w:r>
      <w:r>
        <w:rPr>
          <w:rFonts w:hint="eastAsia" w:ascii="宋体" w:hAnsi="宋体" w:eastAsia="宋体" w:cs="宋体"/>
          <w:color w:val="auto"/>
          <w:kern w:val="0"/>
          <w:sz w:val="24"/>
          <w:szCs w:val="24"/>
          <w:highlight w:val="none"/>
          <w:lang w:val="en-US" w:eastAsia="zh-CN" w:bidi="ar"/>
        </w:rPr>
        <w:t>附件5：</w:t>
      </w:r>
    </w:p>
    <w:p w14:paraId="3B83C626">
      <w:pPr>
        <w:keepNext w:val="0"/>
        <w:keepLines w:val="0"/>
        <w:widowControl w:val="0"/>
        <w:suppressLineNumbers w:val="0"/>
        <w:adjustRightInd w:val="0"/>
        <w:snapToGrid w:val="0"/>
        <w:spacing w:before="0" w:beforeAutospacing="0" w:after="0" w:afterAutospacing="0" w:line="360" w:lineRule="auto"/>
        <w:ind w:left="0" w:right="0"/>
        <w:jc w:val="center"/>
        <w:outlineLvl w:val="1"/>
        <w:rPr>
          <w:rFonts w:hint="eastAsia" w:ascii="宋体" w:hAnsi="宋体" w:eastAsia="宋体" w:cs="宋体"/>
          <w:b/>
          <w:bCs w:val="0"/>
          <w:color w:val="auto"/>
          <w:kern w:val="0"/>
          <w:sz w:val="52"/>
          <w:szCs w:val="52"/>
          <w:highlight w:val="none"/>
        </w:rPr>
      </w:pPr>
      <w:r>
        <w:rPr>
          <w:rFonts w:hint="eastAsia" w:ascii="宋体" w:hAnsi="宋体" w:eastAsia="宋体" w:cs="宋体"/>
          <w:b/>
          <w:bCs w:val="0"/>
          <w:color w:val="auto"/>
          <w:kern w:val="0"/>
          <w:sz w:val="32"/>
          <w:szCs w:val="32"/>
          <w:highlight w:val="none"/>
          <w:lang w:val="en-US" w:eastAsia="zh-CN" w:bidi="ar"/>
        </w:rPr>
        <w:t>第十五届全运会广东奥林匹克体育中心升级改造项目、第十五届全运会广东省人民体育场改造项目体育工艺（设备类）采购及相关服务工程结算工作协议书（格式）</w:t>
      </w:r>
    </w:p>
    <w:p w14:paraId="74B9D85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36FF8C6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发包人：广州市重点公共建设项目管理中心</w:t>
      </w:r>
    </w:p>
    <w:p w14:paraId="1EAE0739">
      <w:pPr>
        <w:keepNext w:val="0"/>
        <w:keepLines w:val="0"/>
        <w:widowControl w:val="0"/>
        <w:suppressLineNumbers w:val="0"/>
        <w:adjustRightInd w:val="0"/>
        <w:snapToGrid w:val="0"/>
        <w:spacing w:before="0" w:beforeAutospacing="0" w:after="0" w:afterAutospacing="0" w:line="360" w:lineRule="auto"/>
        <w:ind w:left="1928" w:right="11" w:hanging="1928" w:hangingChars="8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承包人：中标赞助企业</w:t>
      </w:r>
    </w:p>
    <w:p w14:paraId="5932FA90">
      <w:pPr>
        <w:keepNext w:val="0"/>
        <w:keepLines w:val="0"/>
        <w:widowControl w:val="0"/>
        <w:suppressLineNumbers w:val="0"/>
        <w:adjustRightInd w:val="0"/>
        <w:snapToGrid w:val="0"/>
        <w:spacing w:before="0" w:beforeAutospacing="0" w:after="0" w:afterAutospacing="0" w:line="360" w:lineRule="auto"/>
        <w:ind w:left="0" w:right="0"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十五届全运会广东奥林匹克体育中心升级改造项目、第十五届全运会广东省人民体育场改造项目体育工艺（设备类）采购及相关服务工程是广州市的重点项目，及时完成建设项目的结算工作，不仅是省市领导的明确要求，也是建设项目开展财务决算、资产移交、工程审计等工作的前提条件，是圆满完成建设任务自身的需要。为及时做好工程结算工作，发包人、承包人双方经协商一致，签订本工作协议书，资双方共同遵照执行。</w:t>
      </w:r>
    </w:p>
    <w:p w14:paraId="1EC48B51">
      <w:pPr>
        <w:keepNext w:val="0"/>
        <w:keepLines w:val="0"/>
        <w:widowControl w:val="0"/>
        <w:suppressLineNumbers w:val="0"/>
        <w:adjustRightInd w:val="0"/>
        <w:snapToGrid w:val="0"/>
        <w:spacing w:before="0" w:beforeAutospacing="0" w:after="0" w:afterAutospacing="0" w:line="360" w:lineRule="auto"/>
        <w:ind w:left="0" w:right="0" w:firstLine="463" w:firstLineChars="192"/>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1、工程结算报告的提交及审定</w:t>
      </w:r>
    </w:p>
    <w:p w14:paraId="0A54CBA8">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（1）承包人应按发包人的要求和本项目结算工作的需要派出不少于 2 名工程结算人员，在年月日至年月日必须保证在工地现场办公，专门从事竣工档案编制、工程结算工作；否则，应按《第十五届全运会广东奥林匹克体育中心升级改造项目、第十五届全运会广东省人民体育场改造项目体育工艺（设备类）采购及相关服务合同》（合同编号：以下简称原合同）合同专用条款第38.7（3）款的约定承担违约责任。</w:t>
      </w:r>
    </w:p>
    <w:p w14:paraId="075CA44F">
      <w:pPr>
        <w:pStyle w:val="3"/>
        <w:keepNext w:val="0"/>
        <w:keepLines w:val="0"/>
        <w:widowControl w:val="0"/>
        <w:numPr>
          <w:ilvl w:val="0"/>
          <w:numId w:val="3"/>
        </w:numPr>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承包人应按原合同专用条款第36.5款的要求编制工程结算基础资料，并在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日前向发包人提交符合原合同专用条款第36.5款要求的全部竣工结算资料。</w:t>
      </w:r>
    </w:p>
    <w:p w14:paraId="26A997C2">
      <w:pPr>
        <w:pStyle w:val="3"/>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（3）本项目合同正常结算工作以截止在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日前上报的工程结算资料为基础进行，承包人应积极配合发包人，协助政府上级主管部门，完成上报结算书的审定工作。</w:t>
      </w:r>
    </w:p>
    <w:p w14:paraId="18AC8C2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（4）发包人在收到承包人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日提交的手续齐备的工程结算资料后，应组织有关单位在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日前审核完毕，及时报送上级部门审批。</w:t>
      </w:r>
    </w:p>
    <w:p w14:paraId="77F2183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（5）承包人虽未能在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日前上报，但能在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日前上报且符合原合同专用条款第36.5款要求的工程结算资料，由发包人作为本项目合同的善后处理工作组织审核审定。</w:t>
      </w:r>
    </w:p>
    <w:p w14:paraId="22BF1C80">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（6）本项目结算资料发包人接收的最后截止日期为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日。至</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日承包人仍未报送的本项目结算资料，视为已全部报出，发包人不再受理任何本项目结算资料。</w:t>
      </w:r>
    </w:p>
    <w:p w14:paraId="76270E9C">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4"/>
          <w:szCs w:val="24"/>
          <w:highlight w:val="none"/>
        </w:rPr>
      </w:pP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7）承包人应按发包人的要求及时派出足够的工程结算管理人员与发包人派出的工程结算管理人员一起组成工程结算管理小组，并由承包人负责其总承包管理范围内工程结算的牵头工作，督促其总承包管理范围内的各专业单位按本条第（2）项的要求及时报送工程结算资料并予以落实，否则，应按原合同专用条款第38.7（5）款的约定承担违约责任。如承包人不按发包人的要求及时派出足够的工程结算管理人员，发包人有权另行聘请有关工程结算管理人员，有关费用在原合同的总承包管理费或专业工程配合服务费中支付，承包人不得有异议。</w:t>
      </w:r>
    </w:p>
    <w:p w14:paraId="66BB46F6">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2、工程结算定审后有关款项的支付</w:t>
      </w:r>
    </w:p>
    <w:p w14:paraId="78B1B135">
      <w:pPr>
        <w:keepNext w:val="0"/>
        <w:keepLines w:val="0"/>
        <w:widowControl w:val="0"/>
        <w:suppressLineNumbers w:val="0"/>
        <w:adjustRightInd w:val="0"/>
        <w:snapToGrid w:val="0"/>
        <w:spacing w:before="0" w:beforeAutospacing="0" w:after="0" w:afterAutospacing="0" w:line="360" w:lineRule="auto"/>
        <w:ind w:left="0" w:right="0"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本项目结算定审、承包人按原合同专用条款第35条约定完整移交工程竣工档案且不发生原合同专用条款第38.10（3）、（4）款的违约情形的，双方同意依据原合同专用条款第28.1【</w:t>
      </w:r>
      <w:r>
        <w:rPr>
          <w:rFonts w:hint="eastAsia" w:ascii="宋体" w:hAnsi="宋体" w:eastAsia="宋体" w:cs="宋体"/>
          <w:b/>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（11）、（12）</w:t>
      </w:r>
      <w:r>
        <w:rPr>
          <w:rFonts w:hint="eastAsia" w:ascii="宋体" w:hAnsi="宋体" w:eastAsia="宋体" w:cs="宋体"/>
          <w:bCs/>
          <w:color w:val="auto"/>
          <w:kern w:val="2"/>
          <w:sz w:val="21"/>
          <w:szCs w:val="21"/>
          <w:highlight w:val="none"/>
          <w:lang w:val="en-US" w:eastAsia="zh-CN" w:bidi="ar"/>
        </w:rPr>
        <w:t>×</w:t>
      </w:r>
      <w:r>
        <w:rPr>
          <w:rFonts w:hint="eastAsia" w:ascii="宋体" w:hAnsi="宋体" w:eastAsia="宋体" w:cs="宋体"/>
          <w:color w:val="auto"/>
          <w:kern w:val="0"/>
          <w:sz w:val="24"/>
          <w:szCs w:val="24"/>
          <w:highlight w:val="none"/>
          <w:lang w:val="en-US" w:eastAsia="zh-CN" w:bidi="ar"/>
        </w:rPr>
        <w:t>（12）、（13）】款的约定按如下方法之一处理：</w:t>
      </w:r>
    </w:p>
    <w:p w14:paraId="579DC721">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6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（1）发包人已支付的累计金额小于工程结算定审</w:t>
      </w:r>
      <w:r>
        <w:rPr>
          <w:rFonts w:hint="eastAsia" w:ascii="宋体" w:hAnsi="宋体" w:eastAsia="宋体" w:cs="宋体"/>
          <w:color w:val="auto"/>
          <w:kern w:val="0"/>
          <w:sz w:val="24"/>
          <w:szCs w:val="24"/>
          <w:highlight w:val="none"/>
          <w:u w:val="single"/>
          <w:lang w:val="en-US" w:eastAsia="zh-CN" w:bidi="ar"/>
        </w:rPr>
        <w:t>金额</w:t>
      </w:r>
      <w:r>
        <w:rPr>
          <w:rFonts w:hint="eastAsia" w:ascii="宋体" w:hAnsi="宋体" w:eastAsia="宋体" w:cs="宋体"/>
          <w:color w:val="auto"/>
          <w:kern w:val="0"/>
          <w:sz w:val="24"/>
          <w:szCs w:val="24"/>
          <w:highlight w:val="none"/>
          <w:lang w:val="en-US" w:eastAsia="zh-CN" w:bidi="ar"/>
        </w:rPr>
        <w:t>扣除赞助权益回报中标金额后的金额</w:t>
      </w:r>
      <w:r>
        <w:rPr>
          <w:rFonts w:hint="eastAsia" w:ascii="宋体" w:hAnsi="宋体" w:eastAsia="宋体" w:cs="宋体"/>
          <w:color w:val="auto"/>
          <w:kern w:val="0"/>
          <w:sz w:val="24"/>
          <w:szCs w:val="24"/>
          <w:highlight w:val="none"/>
          <w:u w:val="single"/>
          <w:lang w:val="en-US" w:eastAsia="zh-CN" w:bidi="ar"/>
        </w:rPr>
        <w:t>的97%的，发包人继续支付至结算定审金额</w:t>
      </w:r>
      <w:r>
        <w:rPr>
          <w:rFonts w:hint="eastAsia" w:ascii="宋体" w:hAnsi="宋体" w:eastAsia="宋体" w:cs="宋体"/>
          <w:color w:val="auto"/>
          <w:kern w:val="0"/>
          <w:sz w:val="24"/>
          <w:szCs w:val="24"/>
          <w:highlight w:val="none"/>
          <w:lang w:val="en-US" w:eastAsia="zh-CN" w:bidi="ar"/>
        </w:rPr>
        <w:t>扣除赞助权益回报中标金额后的金额</w:t>
      </w:r>
      <w:r>
        <w:rPr>
          <w:rFonts w:hint="eastAsia" w:ascii="宋体" w:hAnsi="宋体" w:eastAsia="宋体" w:cs="宋体"/>
          <w:color w:val="auto"/>
          <w:kern w:val="0"/>
          <w:sz w:val="24"/>
          <w:szCs w:val="24"/>
          <w:highlight w:val="none"/>
          <w:u w:val="single"/>
          <w:lang w:val="en-US" w:eastAsia="zh-CN" w:bidi="ar"/>
        </w:rPr>
        <w:t>的97%，留下结算定审金额</w:t>
      </w:r>
      <w:r>
        <w:rPr>
          <w:rFonts w:hint="eastAsia" w:ascii="宋体" w:hAnsi="宋体" w:eastAsia="宋体" w:cs="宋体"/>
          <w:color w:val="auto"/>
          <w:kern w:val="0"/>
          <w:sz w:val="24"/>
          <w:szCs w:val="24"/>
          <w:highlight w:val="none"/>
          <w:lang w:val="en-US" w:eastAsia="zh-CN" w:bidi="ar"/>
        </w:rPr>
        <w:t>扣除赞助权益回报中标金额后的金额</w:t>
      </w:r>
      <w:r>
        <w:rPr>
          <w:rFonts w:hint="eastAsia" w:ascii="宋体" w:hAnsi="宋体" w:eastAsia="宋体" w:cs="宋体"/>
          <w:color w:val="auto"/>
          <w:kern w:val="0"/>
          <w:sz w:val="24"/>
          <w:szCs w:val="24"/>
          <w:highlight w:val="none"/>
          <w:u w:val="single"/>
          <w:lang w:val="en-US" w:eastAsia="zh-CN" w:bidi="ar"/>
        </w:rPr>
        <w:t>的3%作为工程质量保证金并按如下约定方式支付</w:t>
      </w:r>
      <w:r>
        <w:rPr>
          <w:rFonts w:hint="eastAsia" w:ascii="宋体" w:hAnsi="宋体" w:eastAsia="宋体" w:cs="宋体"/>
          <w:color w:val="auto"/>
          <w:kern w:val="0"/>
          <w:sz w:val="24"/>
          <w:szCs w:val="24"/>
          <w:highlight w:val="none"/>
          <w:lang w:val="en-US" w:eastAsia="zh-CN" w:bidi="ar"/>
        </w:rPr>
        <w:t>：</w:t>
      </w:r>
    </w:p>
    <w:p w14:paraId="2AEB80AE">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6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缺陷责任期内，由承包人原因造成的缺陷，承包人应负责维修，并承担鉴定及维修费用；如承包人不维修也不承担费用，发包人可按原合同约定扣除工程质量保证金，并由承包人承担违约责任；承包人维修并承担相应费用后，不免除承担对工程损失的赔偿责任。</w:t>
      </w:r>
    </w:p>
    <w:p w14:paraId="63F0132E">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6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本工程若不涉及防水工程的，工程竣工验收合格后满2年，且承包人在缺陷责任期内未出现违约情形，发包人应在收到承包人的款项申请手续且扣除应扣款项后14天内将工程质量保证金（原合同结算定审金额扣除赞助权益回报中标金额后的金额的3%）无息支付给承包人。</w:t>
      </w:r>
    </w:p>
    <w:p w14:paraId="15734E7F">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6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工程若涉及防水工程的，工程竣工验收合格后满2年，承包人应按要求向发包人提交原合同结算定审金额扣除赞助权益回报中标金额后的金额的3%的质保期银行履约保函（保函期限等同于防水工程质保期），发包人应在收到质保期银行履约保函原件以及承包人的款项申请手续，扣除应扣款项且缺陷责任期届满后14天内将工程质量保证金（原合同结算定审金额扣除赞助权益回报中标金额后的金额的3%）无息支付给承包人。承包人承诺按照原合同约定的质量标准和目标，确保防水工程质量。在防水工程质量保修期内，如出现因防水工程质量问题导致建筑物渗水、漏水的，经维修后同一部位再次发生渗漏的，或渗漏水严重造成业主单位（或使用单位）损失的，均视为承包人对该承诺的违反，每出现1次，承包人应按原合同约定承担1次严重违约责任，并赔偿业主单位（或使用单位）的损失。在防水工程质保期（5年）届满后，承包人不存在上述违约情形或向发包人交纳上述相关违约金及赔偿损失后，可向发包人申请退还质保期银行履约保函。</w:t>
      </w:r>
    </w:p>
    <w:p w14:paraId="17D3FFD8">
      <w:pPr>
        <w:keepNext w:val="0"/>
        <w:keepLines w:val="0"/>
        <w:widowControl w:val="0"/>
        <w:suppressLineNumbers w:val="0"/>
        <w:autoSpaceDE w:val="0"/>
        <w:autoSpaceDN w:val="0"/>
        <w:adjustRightInd w:val="0"/>
        <w:snapToGrid w:val="0"/>
        <w:spacing w:before="0" w:beforeAutospacing="0" w:after="0" w:afterAutospacing="0" w:line="360" w:lineRule="auto"/>
        <w:ind w:left="0" w:right="11" w:firstLine="46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结清工程尾款不豁免承包人继续按照原合同约定应承担的保修责任。</w:t>
      </w:r>
    </w:p>
    <w:p w14:paraId="4AAB5BC2">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（2）发包人已支付的累计金额大于工程结算定审金额</w:t>
      </w:r>
      <w:r>
        <w:rPr>
          <w:rFonts w:hint="eastAsia" w:ascii="宋体" w:hAnsi="宋体" w:eastAsia="宋体" w:cs="宋体"/>
          <w:color w:val="auto"/>
          <w:kern w:val="0"/>
          <w:sz w:val="24"/>
          <w:szCs w:val="24"/>
          <w:highlight w:val="none"/>
          <w:lang w:val="en-US" w:eastAsia="zh-CN" w:bidi="ar"/>
        </w:rPr>
        <w:t>扣除赞助权益回报中标金额后的金额</w:t>
      </w:r>
      <w:r>
        <w:rPr>
          <w:rFonts w:hint="eastAsia" w:ascii="宋体" w:hAnsi="宋体" w:eastAsia="宋体" w:cs="宋体"/>
          <w:bCs/>
          <w:color w:val="auto"/>
          <w:kern w:val="0"/>
          <w:sz w:val="24"/>
          <w:szCs w:val="24"/>
          <w:highlight w:val="none"/>
          <w:lang w:val="en-US" w:eastAsia="zh-CN" w:bidi="ar"/>
        </w:rPr>
        <w:t>的97%的，承包人应在工程结算定审之日起15日内向发包人返还多收的款项；否则，发包人有权向承包人追索，承包人除应足额返还多收的款项外，还应每天按多收款项总金额的2‰向发包人支付违约金。工程质量保证金（结算定审金额</w:t>
      </w:r>
      <w:r>
        <w:rPr>
          <w:rFonts w:hint="eastAsia" w:ascii="宋体" w:hAnsi="宋体" w:eastAsia="宋体" w:cs="宋体"/>
          <w:color w:val="auto"/>
          <w:kern w:val="0"/>
          <w:sz w:val="24"/>
          <w:szCs w:val="24"/>
          <w:highlight w:val="none"/>
          <w:lang w:val="en-US" w:eastAsia="zh-CN" w:bidi="ar"/>
        </w:rPr>
        <w:t>扣除赞助权益回报中标金额后的金额</w:t>
      </w:r>
      <w:r>
        <w:rPr>
          <w:rFonts w:hint="eastAsia" w:ascii="宋体" w:hAnsi="宋体" w:eastAsia="宋体" w:cs="宋体"/>
          <w:bCs/>
          <w:color w:val="auto"/>
          <w:kern w:val="0"/>
          <w:sz w:val="24"/>
          <w:szCs w:val="24"/>
          <w:highlight w:val="none"/>
          <w:lang w:val="en-US" w:eastAsia="zh-CN" w:bidi="ar"/>
        </w:rPr>
        <w:t>的3%）按本条第（1）项的约定支付。</w:t>
      </w:r>
    </w:p>
    <w:p w14:paraId="6579E0F5">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3、工程结算中争议问题的处理</w:t>
      </w:r>
    </w:p>
    <w:p w14:paraId="039C8EC6">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对于工程结算中有争议的问题，依据合同的相关约定，本着“依法依规，实事求是和风险共担”的原则，按如下约定处理：</w:t>
      </w:r>
    </w:p>
    <w:p w14:paraId="768ED14B">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（1）承包人在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日前上报的工程结算资料经发包人审核后如发生争议，在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日前双方能达成一致且经上级主管部门审定的部分纳入正常结算审定；未能达成一致的部分如能在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日前取得一致的，将与承包人在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日至</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日之间上报的工程结算资料为基础并在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日前取得一致的部分一起，经上级主管部门审定后，由发包人作为本项目合同的善后处理工作组织审核审定。</w:t>
      </w:r>
    </w:p>
    <w:p w14:paraId="7AFC8F32">
      <w:pPr>
        <w:keepNext w:val="0"/>
        <w:keepLines w:val="0"/>
        <w:widowControl w:val="0"/>
        <w:suppressLineNumbers w:val="0"/>
        <w:adjustRightInd w:val="0"/>
        <w:snapToGrid w:val="0"/>
        <w:spacing w:before="0" w:beforeAutospacing="0" w:after="0" w:afterAutospacing="0" w:line="360" w:lineRule="auto"/>
        <w:ind w:left="0" w:right="11" w:firstLine="460" w:firstLineChars="192"/>
        <w:jc w:val="both"/>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en-US" w:eastAsia="zh-CN" w:bidi="ar"/>
        </w:rPr>
        <w:t>（2）双方未能在</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日前达成一致的本项目结算争议，发包人可依据已有资料单方面组织结算，承包人有异议的可按照原合同专用条款第40.1款的约定通过法律途径解决。</w:t>
      </w:r>
    </w:p>
    <w:p w14:paraId="5DD73201">
      <w:pPr>
        <w:keepNext w:val="0"/>
        <w:keepLines w:val="0"/>
        <w:widowControl w:val="0"/>
        <w:suppressLineNumbers w:val="0"/>
        <w:adjustRightInd w:val="0"/>
        <w:snapToGrid w:val="0"/>
        <w:spacing w:before="0" w:beforeAutospacing="0" w:after="0" w:afterAutospacing="0" w:line="360" w:lineRule="auto"/>
        <w:ind w:left="0" w:right="0" w:firstLine="463" w:firstLineChars="192"/>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4、</w:t>
      </w:r>
      <w:r>
        <w:rPr>
          <w:rFonts w:hint="eastAsia" w:ascii="宋体" w:hAnsi="宋体" w:eastAsia="宋体" w:cs="宋体"/>
          <w:color w:val="auto"/>
          <w:kern w:val="0"/>
          <w:sz w:val="24"/>
          <w:szCs w:val="24"/>
          <w:highlight w:val="none"/>
          <w:lang w:val="en-US" w:eastAsia="zh-CN" w:bidi="ar"/>
        </w:rPr>
        <w:t>本工作协议书作为原合同的组成部分，与原合同具有同等法律效力。本工作协议书的约定与原合同相冲突的，以本工作协议书的约定为准。</w:t>
      </w:r>
    </w:p>
    <w:p w14:paraId="74887709">
      <w:pPr>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5、</w:t>
      </w:r>
      <w:r>
        <w:rPr>
          <w:rFonts w:hint="eastAsia" w:ascii="宋体" w:hAnsi="宋体" w:eastAsia="宋体" w:cs="宋体"/>
          <w:color w:val="auto"/>
          <w:kern w:val="0"/>
          <w:sz w:val="24"/>
          <w:szCs w:val="24"/>
          <w:highlight w:val="none"/>
          <w:lang w:val="en-US" w:eastAsia="zh-CN" w:bidi="ar"/>
        </w:rPr>
        <w:t>本工作协议书于双方签字盖章后生效，至双方履行完本工作协议书中的义务与责任时终止。</w:t>
      </w:r>
    </w:p>
    <w:p w14:paraId="6CC9533A">
      <w:pPr>
        <w:keepNext w:val="0"/>
        <w:keepLines w:val="0"/>
        <w:widowControl w:val="0"/>
        <w:suppressLineNumbers w:val="0"/>
        <w:adjustRightInd w:val="0"/>
        <w:snapToGrid w:val="0"/>
        <w:spacing w:before="0" w:beforeAutospacing="0" w:after="0" w:afterAutospacing="0" w:line="360" w:lineRule="auto"/>
        <w:ind w:left="0" w:right="0" w:firstLine="463" w:firstLineChars="192"/>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附件：</w:t>
      </w:r>
      <w:r>
        <w:rPr>
          <w:rFonts w:hint="eastAsia" w:ascii="宋体" w:hAnsi="宋体" w:eastAsia="宋体" w:cs="宋体"/>
          <w:color w:val="auto"/>
          <w:kern w:val="0"/>
          <w:sz w:val="24"/>
          <w:szCs w:val="24"/>
          <w:highlight w:val="none"/>
          <w:u w:val="single"/>
          <w:lang w:val="en-US" w:eastAsia="zh-CN" w:bidi="ar"/>
        </w:rPr>
        <w:t xml:space="preserve"> 第十五届全运会广东奥林匹克体育中心升级改造项目、第十五届全运会广东省人民体育场改造项目体育工艺（设备类）采购及相关服务</w:t>
      </w:r>
      <w:r>
        <w:rPr>
          <w:rFonts w:hint="eastAsia" w:ascii="宋体" w:hAnsi="宋体" w:eastAsia="宋体" w:cs="宋体"/>
          <w:color w:val="auto"/>
          <w:kern w:val="0"/>
          <w:sz w:val="24"/>
          <w:szCs w:val="24"/>
          <w:highlight w:val="none"/>
          <w:lang w:val="en-US" w:eastAsia="zh-CN" w:bidi="ar"/>
        </w:rPr>
        <w:t>工程结算工作架构（另附）。</w:t>
      </w:r>
    </w:p>
    <w:p w14:paraId="4E29432D">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楷体_GB2312" w:hAnsi="宋体" w:eastAsia="楷体_GB2312" w:cs="楷体_GB2312"/>
          <w:color w:val="auto"/>
          <w:kern w:val="0"/>
          <w:sz w:val="24"/>
          <w:szCs w:val="24"/>
          <w:highlight w:val="none"/>
        </w:rPr>
      </w:pPr>
      <w:r>
        <w:rPr>
          <w:rFonts w:hint="eastAsia" w:ascii="楷体_GB2312" w:hAnsi="宋体" w:eastAsia="楷体_GB2312" w:cs="楷体_GB2312"/>
          <w:color w:val="auto"/>
          <w:kern w:val="0"/>
          <w:sz w:val="24"/>
          <w:szCs w:val="24"/>
          <w:highlight w:val="none"/>
          <w:lang w:val="en-US" w:eastAsia="zh-CN" w:bidi="ar"/>
        </w:rPr>
        <w:t>（本页无正文）</w:t>
      </w:r>
    </w:p>
    <w:p w14:paraId="55FBF456">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215F124">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b/>
          <w:color w:val="auto"/>
          <w:spacing w:val="-20"/>
          <w:kern w:val="0"/>
          <w:sz w:val="24"/>
          <w:szCs w:val="24"/>
          <w:highlight w:val="none"/>
        </w:rPr>
      </w:pPr>
      <w:r>
        <w:rPr>
          <w:rFonts w:hint="eastAsia" w:ascii="宋体" w:hAnsi="宋体" w:eastAsia="宋体" w:cs="宋体"/>
          <w:color w:val="auto"/>
          <w:spacing w:val="-20"/>
          <w:kern w:val="0"/>
          <w:sz w:val="24"/>
          <w:szCs w:val="24"/>
          <w:highlight w:val="none"/>
          <w:lang w:val="en-US" w:eastAsia="zh-CN" w:bidi="ar"/>
        </w:rPr>
        <w:t>发包人：</w:t>
      </w:r>
      <w:r>
        <w:rPr>
          <w:rFonts w:hint="eastAsia" w:ascii="宋体" w:hAnsi="宋体" w:eastAsia="宋体" w:cs="宋体"/>
          <w:b/>
          <w:color w:val="auto"/>
          <w:spacing w:val="-20"/>
          <w:kern w:val="0"/>
          <w:sz w:val="24"/>
          <w:szCs w:val="24"/>
          <w:highlight w:val="none"/>
          <w:lang w:val="en-US" w:eastAsia="zh-CN" w:bidi="ar"/>
        </w:rPr>
        <w:t>广州市重点公共建设项目管理中心</w:t>
      </w:r>
      <w:r>
        <w:rPr>
          <w:rFonts w:hint="eastAsia" w:ascii="宋体" w:hAnsi="宋体" w:eastAsia="宋体" w:cs="宋体"/>
          <w:color w:val="auto"/>
          <w:spacing w:val="-20"/>
          <w:kern w:val="0"/>
          <w:sz w:val="24"/>
          <w:szCs w:val="24"/>
          <w:highlight w:val="none"/>
          <w:lang w:val="en-US" w:eastAsia="zh-CN" w:bidi="ar"/>
        </w:rPr>
        <w:t xml:space="preserve">             承包人：</w:t>
      </w:r>
      <w:r>
        <w:rPr>
          <w:rFonts w:hint="eastAsia" w:ascii="宋体" w:hAnsi="宋体" w:eastAsia="宋体" w:cs="宋体"/>
          <w:b/>
          <w:color w:val="auto"/>
          <w:spacing w:val="-20"/>
          <w:kern w:val="0"/>
          <w:sz w:val="24"/>
          <w:szCs w:val="24"/>
          <w:highlight w:val="none"/>
          <w:lang w:val="en-US" w:eastAsia="zh-CN" w:bidi="ar"/>
        </w:rPr>
        <w:t>中标赞助企业</w:t>
      </w:r>
      <w:r>
        <w:rPr>
          <w:rFonts w:hint="eastAsia" w:ascii="宋体" w:hAnsi="宋体" w:eastAsia="宋体" w:cs="宋体"/>
          <w:b/>
          <w:color w:val="auto"/>
          <w:spacing w:val="-20"/>
          <w:kern w:val="0"/>
          <w:sz w:val="24"/>
          <w:szCs w:val="24"/>
          <w:highlight w:val="none"/>
          <w:u w:val="single"/>
          <w:lang w:val="en-US" w:eastAsia="zh-CN" w:bidi="ar"/>
        </w:rPr>
        <w:t xml:space="preserve"> </w:t>
      </w:r>
    </w:p>
    <w:p w14:paraId="1082ECDA">
      <w:pPr>
        <w:keepNext w:val="0"/>
        <w:keepLines w:val="0"/>
        <w:widowControl w:val="0"/>
        <w:suppressLineNumbers w:val="0"/>
        <w:adjustRightInd w:val="0"/>
        <w:snapToGrid w:val="0"/>
        <w:spacing w:before="0" w:beforeAutospacing="0" w:after="0" w:afterAutospacing="0" w:line="360" w:lineRule="auto"/>
        <w:ind w:left="0" w:right="11" w:firstLine="2400" w:firstLineChars="10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（盖章）                         （盖章）</w:t>
      </w:r>
    </w:p>
    <w:p w14:paraId="4DB1A32C">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1EA89A8">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法定代表人：                           法定代表人：</w:t>
      </w:r>
    </w:p>
    <w:p w14:paraId="1F42A700">
      <w:pPr>
        <w:keepNext w:val="0"/>
        <w:keepLines w:val="0"/>
        <w:widowControl w:val="0"/>
        <w:suppressLineNumbers w:val="0"/>
        <w:adjustRightInd w:val="0"/>
        <w:snapToGrid w:val="0"/>
        <w:spacing w:before="0" w:beforeAutospacing="0" w:after="0" w:afterAutospacing="0" w:line="360" w:lineRule="auto"/>
        <w:ind w:left="-2" w:leftChars="-1"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7860328">
      <w:pPr>
        <w:keepNext w:val="0"/>
        <w:keepLines w:val="0"/>
        <w:widowControl w:val="0"/>
        <w:suppressLineNumbers w:val="0"/>
        <w:adjustRightInd w:val="0"/>
        <w:snapToGrid w:val="0"/>
        <w:spacing w:before="0" w:beforeAutospacing="0" w:after="0" w:afterAutospacing="0" w:line="360" w:lineRule="auto"/>
        <w:ind w:left="-2" w:leftChars="-1"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委托代理人：                           委托代理人：</w:t>
      </w:r>
    </w:p>
    <w:p w14:paraId="7138EEC0">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20045748">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20  年   月   日                      20  年   月   日</w:t>
      </w:r>
    </w:p>
    <w:p w14:paraId="1748595D">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 xml:space="preserve"> </w:t>
      </w:r>
    </w:p>
    <w:p w14:paraId="67313198">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br w:type="page"/>
      </w:r>
      <w:r>
        <w:rPr>
          <w:rFonts w:hint="eastAsia" w:ascii="宋体" w:hAnsi="宋体" w:eastAsia="宋体" w:cs="宋体"/>
          <w:color w:val="auto"/>
          <w:kern w:val="0"/>
          <w:sz w:val="24"/>
          <w:szCs w:val="24"/>
          <w:highlight w:val="none"/>
          <w:lang w:val="en-US" w:eastAsia="zh-CN" w:bidi="ar"/>
        </w:rPr>
        <w:t>附件6：</w:t>
      </w:r>
    </w:p>
    <w:p w14:paraId="79A804A4">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val="0"/>
          <w:color w:val="auto"/>
          <w:kern w:val="0"/>
          <w:sz w:val="52"/>
          <w:szCs w:val="52"/>
          <w:highlight w:val="none"/>
        </w:rPr>
      </w:pPr>
      <w:r>
        <w:rPr>
          <w:rFonts w:hint="eastAsia" w:ascii="宋体" w:hAnsi="宋体" w:eastAsia="宋体" w:cs="宋体"/>
          <w:b/>
          <w:bCs w:val="0"/>
          <w:color w:val="auto"/>
          <w:kern w:val="0"/>
          <w:sz w:val="52"/>
          <w:szCs w:val="52"/>
          <w:highlight w:val="none"/>
          <w:lang w:val="en-US" w:eastAsia="zh-CN" w:bidi="ar"/>
        </w:rPr>
        <w:t>第十五届全运会广东奥林匹克体育中心升级改造项目、第十五届全运会广东省人民体育场改造项目体育工艺（设备类）采购及相关服务</w:t>
      </w:r>
    </w:p>
    <w:p w14:paraId="7A4850A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val="0"/>
          <w:color w:val="auto"/>
          <w:spacing w:val="-12"/>
          <w:kern w:val="0"/>
          <w:sz w:val="52"/>
          <w:szCs w:val="52"/>
          <w:highlight w:val="none"/>
        </w:rPr>
      </w:pPr>
      <w:r>
        <w:rPr>
          <w:rFonts w:hint="eastAsia" w:ascii="宋体" w:hAnsi="宋体" w:eastAsia="宋体" w:cs="宋体"/>
          <w:b/>
          <w:bCs w:val="0"/>
          <w:color w:val="auto"/>
          <w:kern w:val="0"/>
          <w:sz w:val="52"/>
          <w:szCs w:val="52"/>
          <w:highlight w:val="none"/>
          <w:lang w:val="en-US" w:eastAsia="zh-CN" w:bidi="ar"/>
        </w:rPr>
        <w:t>项目</w:t>
      </w:r>
      <w:r>
        <w:rPr>
          <w:rFonts w:hint="eastAsia" w:ascii="宋体" w:hAnsi="宋体" w:eastAsia="宋体" w:cs="宋体"/>
          <w:b/>
          <w:bCs w:val="0"/>
          <w:color w:val="auto"/>
          <w:spacing w:val="-12"/>
          <w:kern w:val="0"/>
          <w:sz w:val="52"/>
          <w:szCs w:val="52"/>
          <w:highlight w:val="none"/>
          <w:lang w:val="en-US" w:eastAsia="zh-CN" w:bidi="ar"/>
        </w:rPr>
        <w:t>使用维护管理责任主体转移三方协议（格式）</w:t>
      </w:r>
    </w:p>
    <w:p w14:paraId="54A96353">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Arial"/>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编号：</w:t>
      </w:r>
    </w:p>
    <w:p w14:paraId="086BA00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Arial"/>
          <w:b/>
          <w:bCs w:val="0"/>
          <w:color w:val="auto"/>
          <w:kern w:val="0"/>
          <w:sz w:val="32"/>
          <w:szCs w:val="32"/>
          <w:highlight w:val="none"/>
        </w:rPr>
      </w:pPr>
      <w:r>
        <w:rPr>
          <w:rFonts w:hint="eastAsia" w:ascii="宋体" w:hAnsi="宋体" w:eastAsia="宋体" w:cs="Arial"/>
          <w:b/>
          <w:bCs w:val="0"/>
          <w:color w:val="auto"/>
          <w:kern w:val="0"/>
          <w:sz w:val="32"/>
          <w:szCs w:val="32"/>
          <w:highlight w:val="none"/>
          <w:lang w:val="en-US" w:eastAsia="zh-CN" w:bidi="ar"/>
        </w:rPr>
        <w:t xml:space="preserve"> </w:t>
      </w:r>
    </w:p>
    <w:p w14:paraId="7BC1FB4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Arial"/>
          <w:b/>
          <w:bCs w:val="0"/>
          <w:color w:val="auto"/>
          <w:kern w:val="0"/>
          <w:sz w:val="32"/>
          <w:szCs w:val="32"/>
          <w:highlight w:val="none"/>
        </w:rPr>
      </w:pPr>
      <w:r>
        <w:rPr>
          <w:rFonts w:hint="eastAsia" w:ascii="宋体" w:hAnsi="宋体" w:eastAsia="宋体" w:cs="Arial"/>
          <w:b/>
          <w:bCs w:val="0"/>
          <w:color w:val="auto"/>
          <w:kern w:val="0"/>
          <w:sz w:val="32"/>
          <w:szCs w:val="32"/>
          <w:highlight w:val="none"/>
          <w:lang w:val="en-US" w:eastAsia="zh-CN" w:bidi="ar"/>
        </w:rPr>
        <w:t xml:space="preserve"> </w:t>
      </w:r>
    </w:p>
    <w:p w14:paraId="7E78765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Arial"/>
          <w:b/>
          <w:bCs w:val="0"/>
          <w:color w:val="auto"/>
          <w:kern w:val="0"/>
          <w:sz w:val="32"/>
          <w:szCs w:val="32"/>
          <w:highlight w:val="none"/>
        </w:rPr>
      </w:pPr>
      <w:r>
        <w:rPr>
          <w:rFonts w:hint="eastAsia" w:ascii="宋体" w:hAnsi="宋体" w:eastAsia="宋体" w:cs="Arial"/>
          <w:b/>
          <w:bCs w:val="0"/>
          <w:color w:val="auto"/>
          <w:kern w:val="0"/>
          <w:sz w:val="32"/>
          <w:szCs w:val="32"/>
          <w:highlight w:val="none"/>
          <w:lang w:val="en-US" w:eastAsia="zh-CN" w:bidi="ar"/>
        </w:rPr>
        <w:t xml:space="preserve"> </w:t>
      </w:r>
    </w:p>
    <w:p w14:paraId="251F798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Arial"/>
          <w:b/>
          <w:bCs w:val="0"/>
          <w:color w:val="auto"/>
          <w:kern w:val="0"/>
          <w:sz w:val="32"/>
          <w:szCs w:val="32"/>
          <w:highlight w:val="none"/>
        </w:rPr>
      </w:pPr>
      <w:r>
        <w:rPr>
          <w:rFonts w:hint="eastAsia" w:ascii="宋体" w:hAnsi="宋体" w:eastAsia="宋体" w:cs="Arial"/>
          <w:b/>
          <w:bCs w:val="0"/>
          <w:color w:val="auto"/>
          <w:kern w:val="0"/>
          <w:sz w:val="32"/>
          <w:szCs w:val="32"/>
          <w:highlight w:val="none"/>
          <w:lang w:val="en-US" w:eastAsia="zh-CN" w:bidi="ar"/>
        </w:rPr>
        <w:t xml:space="preserve"> </w:t>
      </w:r>
    </w:p>
    <w:p w14:paraId="3F5A80C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Arial"/>
          <w:b/>
          <w:bCs w:val="0"/>
          <w:color w:val="auto"/>
          <w:kern w:val="0"/>
          <w:sz w:val="32"/>
          <w:szCs w:val="32"/>
          <w:highlight w:val="none"/>
        </w:rPr>
      </w:pPr>
      <w:r>
        <w:rPr>
          <w:rFonts w:hint="eastAsia" w:ascii="宋体" w:hAnsi="宋体" w:eastAsia="宋体" w:cs="Arial"/>
          <w:b/>
          <w:bCs w:val="0"/>
          <w:color w:val="auto"/>
          <w:kern w:val="0"/>
          <w:sz w:val="32"/>
          <w:szCs w:val="32"/>
          <w:highlight w:val="none"/>
          <w:lang w:val="en-US" w:eastAsia="zh-CN" w:bidi="ar"/>
        </w:rPr>
        <w:t xml:space="preserve"> </w:t>
      </w:r>
    </w:p>
    <w:p w14:paraId="719486E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Arial"/>
          <w:b/>
          <w:bCs w:val="0"/>
          <w:color w:val="auto"/>
          <w:kern w:val="0"/>
          <w:sz w:val="32"/>
          <w:szCs w:val="32"/>
          <w:highlight w:val="none"/>
        </w:rPr>
      </w:pPr>
      <w:r>
        <w:rPr>
          <w:rFonts w:hint="eastAsia" w:ascii="宋体" w:hAnsi="宋体" w:eastAsia="宋体" w:cs="Arial"/>
          <w:b/>
          <w:bCs w:val="0"/>
          <w:color w:val="auto"/>
          <w:kern w:val="0"/>
          <w:sz w:val="32"/>
          <w:szCs w:val="32"/>
          <w:highlight w:val="none"/>
          <w:lang w:val="en-US" w:eastAsia="zh-CN" w:bidi="ar"/>
        </w:rPr>
        <w:t xml:space="preserve"> </w:t>
      </w:r>
    </w:p>
    <w:p w14:paraId="7CB6DF5D">
      <w:pPr>
        <w:keepNext w:val="0"/>
        <w:keepLines w:val="0"/>
        <w:widowControl w:val="0"/>
        <w:suppressLineNumbers w:val="0"/>
        <w:adjustRightInd w:val="0"/>
        <w:snapToGrid w:val="0"/>
        <w:spacing w:before="0" w:beforeAutospacing="0" w:after="0" w:afterAutospacing="0" w:line="360" w:lineRule="auto"/>
        <w:ind w:left="0" w:right="0" w:firstLine="180" w:firstLineChars="56"/>
        <w:jc w:val="both"/>
        <w:rPr>
          <w:rFonts w:hint="eastAsia" w:ascii="宋体" w:hAnsi="宋体" w:eastAsia="宋体" w:cs="Arial"/>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甲方（发包人）：广州市重点公共建设项目管理中心</w:t>
      </w:r>
    </w:p>
    <w:p w14:paraId="08802E72">
      <w:pPr>
        <w:keepNext w:val="0"/>
        <w:keepLines w:val="0"/>
        <w:widowControl w:val="0"/>
        <w:suppressLineNumbers w:val="0"/>
        <w:adjustRightInd w:val="0"/>
        <w:snapToGrid w:val="0"/>
        <w:spacing w:before="0" w:beforeAutospacing="0" w:after="0" w:afterAutospacing="0" w:line="360" w:lineRule="auto"/>
        <w:ind w:left="0" w:right="0" w:firstLine="180" w:firstLineChars="56"/>
        <w:jc w:val="both"/>
        <w:rPr>
          <w:rFonts w:hint="eastAsia" w:ascii="宋体" w:hAnsi="宋体" w:eastAsia="宋体" w:cs="Arial"/>
          <w:b/>
          <w:bCs w:val="0"/>
          <w:color w:val="auto"/>
          <w:kern w:val="0"/>
          <w:sz w:val="32"/>
          <w:szCs w:val="32"/>
          <w:highlight w:val="none"/>
        </w:rPr>
      </w:pPr>
      <w:r>
        <w:rPr>
          <w:rFonts w:hint="eastAsia" w:ascii="宋体" w:hAnsi="宋体" w:eastAsia="宋体" w:cs="Arial"/>
          <w:b/>
          <w:bCs w:val="0"/>
          <w:color w:val="auto"/>
          <w:kern w:val="0"/>
          <w:sz w:val="32"/>
          <w:szCs w:val="32"/>
          <w:highlight w:val="none"/>
          <w:lang w:val="en-US" w:eastAsia="zh-CN" w:bidi="ar"/>
        </w:rPr>
        <w:t xml:space="preserve"> </w:t>
      </w:r>
    </w:p>
    <w:p w14:paraId="0D700C8C">
      <w:pPr>
        <w:keepNext w:val="0"/>
        <w:keepLines w:val="0"/>
        <w:widowControl w:val="0"/>
        <w:suppressLineNumbers w:val="0"/>
        <w:adjustRightInd w:val="0"/>
        <w:snapToGrid w:val="0"/>
        <w:spacing w:before="0" w:beforeAutospacing="0" w:after="0" w:afterAutospacing="0" w:line="360" w:lineRule="auto"/>
        <w:ind w:left="0" w:right="0" w:firstLine="180" w:firstLineChars="56"/>
        <w:jc w:val="both"/>
        <w:rPr>
          <w:rFonts w:hint="eastAsia" w:ascii="宋体" w:hAnsi="宋体" w:eastAsia="宋体" w:cs="Arial"/>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乙方（承包人）：中标赞助企业</w:t>
      </w:r>
    </w:p>
    <w:p w14:paraId="2949E996">
      <w:pPr>
        <w:keepNext w:val="0"/>
        <w:keepLines w:val="0"/>
        <w:widowControl w:val="0"/>
        <w:suppressLineNumbers w:val="0"/>
        <w:adjustRightInd w:val="0"/>
        <w:snapToGrid w:val="0"/>
        <w:spacing w:before="0" w:beforeAutospacing="0" w:after="0" w:afterAutospacing="0" w:line="360" w:lineRule="auto"/>
        <w:ind w:left="0" w:right="0" w:firstLine="180" w:firstLineChars="56"/>
        <w:jc w:val="both"/>
        <w:rPr>
          <w:rFonts w:hint="eastAsia" w:ascii="宋体" w:hAnsi="宋体" w:eastAsia="宋体" w:cs="Arial"/>
          <w:b/>
          <w:bCs w:val="0"/>
          <w:color w:val="auto"/>
          <w:kern w:val="0"/>
          <w:sz w:val="32"/>
          <w:szCs w:val="32"/>
          <w:highlight w:val="none"/>
        </w:rPr>
      </w:pPr>
      <w:r>
        <w:rPr>
          <w:rFonts w:hint="eastAsia" w:ascii="宋体" w:hAnsi="宋体" w:eastAsia="宋体" w:cs="Arial"/>
          <w:b/>
          <w:bCs w:val="0"/>
          <w:color w:val="auto"/>
          <w:kern w:val="0"/>
          <w:sz w:val="32"/>
          <w:szCs w:val="32"/>
          <w:highlight w:val="none"/>
          <w:lang w:val="en-US" w:eastAsia="zh-CN" w:bidi="ar"/>
        </w:rPr>
        <w:t xml:space="preserve"> </w:t>
      </w:r>
    </w:p>
    <w:p w14:paraId="26036B36">
      <w:pPr>
        <w:keepNext w:val="0"/>
        <w:keepLines w:val="0"/>
        <w:widowControl w:val="0"/>
        <w:suppressLineNumbers w:val="0"/>
        <w:adjustRightInd w:val="0"/>
        <w:snapToGrid w:val="0"/>
        <w:spacing w:before="0" w:beforeAutospacing="0" w:after="0" w:afterAutospacing="0" w:line="360" w:lineRule="auto"/>
        <w:ind w:left="0" w:right="0" w:firstLine="180" w:firstLineChars="56"/>
        <w:jc w:val="both"/>
        <w:rPr>
          <w:rFonts w:hint="eastAsia" w:ascii="宋体" w:hAnsi="宋体" w:eastAsia="宋体" w:cs="Arial"/>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丙方（接收单位）：</w:t>
      </w:r>
    </w:p>
    <w:p w14:paraId="49FEDFC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lang w:val="en-US" w:eastAsia="zh-CN" w:bidi="ar"/>
        </w:rPr>
        <w:t xml:space="preserve"> </w:t>
      </w:r>
    </w:p>
    <w:p w14:paraId="78874F57">
      <w:pPr>
        <w:keepNext w:val="0"/>
        <w:keepLines w:val="0"/>
        <w:widowControl w:val="0"/>
        <w:suppressLineNumbers w:val="0"/>
        <w:adjustRightInd w:val="0"/>
        <w:snapToGrid w:val="0"/>
        <w:spacing w:before="0" w:beforeAutospacing="0" w:after="0" w:afterAutospacing="0" w:line="360" w:lineRule="auto"/>
        <w:ind w:left="0" w:right="0" w:firstLine="472" w:firstLineChars="196"/>
        <w:jc w:val="both"/>
        <w:rPr>
          <w:rFonts w:hint="eastAsia" w:ascii="宋体" w:hAnsi="宋体" w:eastAsia="宋体" w:cs="Arial"/>
          <w:color w:val="auto"/>
          <w:kern w:val="0"/>
          <w:sz w:val="24"/>
          <w:szCs w:val="24"/>
          <w:highlight w:val="none"/>
        </w:rPr>
      </w:pPr>
      <w:r>
        <w:rPr>
          <w:rFonts w:hint="eastAsia" w:ascii="宋体" w:hAnsi="宋体" w:eastAsia="宋体" w:cs="Arial"/>
          <w:b/>
          <w:bCs w:val="0"/>
          <w:color w:val="auto"/>
          <w:kern w:val="0"/>
          <w:sz w:val="24"/>
          <w:szCs w:val="24"/>
          <w:highlight w:val="none"/>
          <w:lang w:val="en-US" w:eastAsia="zh-CN" w:bidi="ar"/>
        </w:rPr>
        <w:br w:type="page"/>
      </w:r>
      <w:r>
        <w:rPr>
          <w:rFonts w:hint="eastAsia" w:ascii="宋体" w:hAnsi="宋体" w:eastAsia="宋体" w:cs="宋体"/>
          <w:color w:val="auto"/>
          <w:kern w:val="0"/>
          <w:sz w:val="24"/>
          <w:szCs w:val="24"/>
          <w:highlight w:val="none"/>
          <w:lang w:val="en-US" w:eastAsia="zh-CN" w:bidi="ar"/>
        </w:rPr>
        <w:t>鉴于甲、丙双方已经签订《第十五届全运会广东奥林匹克体育中心升级改造项目、第十五届全运会广东省人民体育场改造项目体育工艺（设备类）采购及相关服务项目移交协议书》，约定从20__年__月__日起，甲方正式将第十五届全运会广东奥林匹克体育中心升级改造项目、第十五届全运会广东省人民体育场改造项目体育工艺（设备类）采购及相关服务项目移交给丙方使用管理。根据《第十五届全运会广东奥林匹克体育中心升级改造项目、第十五届全运会广东省人民体育场改造项目体育工艺（设备类）采购及相关服务合同》（合同编号：</w:t>
      </w:r>
      <w:r>
        <w:rPr>
          <w:rFonts w:hint="eastAsia" w:ascii="宋体" w:hAnsi="宋体" w:eastAsia="宋体" w:cs="Arial"/>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，以下简称“原合同”）合同专用条款第</w:t>
      </w:r>
      <w:r>
        <w:rPr>
          <w:rFonts w:hint="eastAsia" w:ascii="宋体" w:hAnsi="宋体" w:eastAsia="宋体" w:cs="Arial"/>
          <w:color w:val="auto"/>
          <w:kern w:val="0"/>
          <w:sz w:val="24"/>
          <w:szCs w:val="24"/>
          <w:highlight w:val="none"/>
          <w:lang w:val="en-US" w:eastAsia="zh-CN" w:bidi="ar"/>
        </w:rPr>
        <w:t>35.12</w:t>
      </w:r>
      <w:r>
        <w:rPr>
          <w:rFonts w:hint="eastAsia" w:ascii="宋体" w:hAnsi="宋体" w:eastAsia="宋体" w:cs="宋体"/>
          <w:color w:val="auto"/>
          <w:kern w:val="0"/>
          <w:sz w:val="24"/>
          <w:szCs w:val="24"/>
          <w:highlight w:val="none"/>
          <w:lang w:val="en-US" w:eastAsia="zh-CN" w:bidi="ar"/>
        </w:rPr>
        <w:t>款“工程项目移交给项目产权管理单位后，由项目产权管理单位替代发包人在本合同中的地位，承继发包人的权利和义务”和原合同附件有关工程质量保证金申请审核支付的约定，经甲、乙、丙三方协商一致，共同签订工程质量保修维护责任转移的三方协议，就原合同及其附件《工程质量保修书》项下的工程质量保修事宜达成以下协议条款：</w:t>
      </w:r>
    </w:p>
    <w:p w14:paraId="76109662">
      <w:pPr>
        <w:keepNext w:val="0"/>
        <w:keepLines w:val="0"/>
        <w:widowControl w:val="0"/>
        <w:suppressLineNumbers w:val="0"/>
        <w:adjustRightInd w:val="0"/>
        <w:snapToGrid w:val="0"/>
        <w:spacing w:before="0" w:beforeAutospacing="0" w:after="0" w:afterAutospacing="0" w:line="360" w:lineRule="auto"/>
        <w:ind w:left="0" w:right="-31" w:rightChars="-15" w:firstLine="480" w:firstLineChars="200"/>
        <w:jc w:val="both"/>
        <w:rPr>
          <w:rFonts w:hint="eastAsia"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val="en-US" w:eastAsia="zh-CN" w:bidi="ar"/>
        </w:rPr>
        <w:t>、甲、乙、丙三方一致同意，自本协议签订之日起，甲方将其在原合同及其附件《工程质量保修书》项下有关工程质量保修事宜所涉及的权利和义务全部转让给丙方，丙方予以受让，即：自本协议签订之日起，由丙方牵头组织完成原合同及其附件《工程质量保修书》约定范围内的工程质量保修期服务，甲方负责监督协调，乙方在原合同及其附件《工程质量保修书》中约定的工程质量保修的权利和义务不变。</w:t>
      </w:r>
    </w:p>
    <w:p w14:paraId="30D07622">
      <w:pPr>
        <w:keepNext w:val="0"/>
        <w:keepLines w:val="0"/>
        <w:widowControl w:val="0"/>
        <w:suppressLineNumbers w:val="0"/>
        <w:adjustRightInd w:val="0"/>
        <w:snapToGrid w:val="0"/>
        <w:spacing w:before="0" w:beforeAutospacing="0" w:after="0" w:afterAutospacing="0" w:line="360" w:lineRule="auto"/>
        <w:ind w:left="0" w:right="11"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Arial"/>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、自本协议签订之日起，乙方按原合同及其附件《工程质量保修书》的约定向丙方履行工程质量保修义务，工程质量保修期自工程通过竣工验收之日（即20__年__月__日）起计算。</w:t>
      </w:r>
    </w:p>
    <w:p w14:paraId="61B6B3C5">
      <w:pPr>
        <w:keepNext w:val="0"/>
        <w:keepLines w:val="0"/>
        <w:widowControl w:val="0"/>
        <w:suppressLineNumbers w:val="0"/>
        <w:adjustRightInd w:val="0"/>
        <w:snapToGrid w:val="0"/>
        <w:spacing w:before="0" w:beforeAutospacing="0" w:after="0" w:afterAutospacing="0" w:line="360" w:lineRule="auto"/>
        <w:ind w:left="0" w:right="-31" w:rightChars="-15" w:firstLine="480" w:firstLineChars="200"/>
        <w:jc w:val="both"/>
        <w:rPr>
          <w:rFonts w:hint="eastAsia" w:ascii="宋体" w:hAnsi="宋体" w:eastAsia="宋体" w:cs="AdobeSongStd-Light"/>
          <w:color w:val="auto"/>
          <w:kern w:val="0"/>
          <w:sz w:val="24"/>
          <w:szCs w:val="24"/>
          <w:highlight w:val="none"/>
        </w:rPr>
      </w:pPr>
      <w:r>
        <w:rPr>
          <w:rFonts w:hint="eastAsia" w:ascii="宋体" w:hAnsi="宋体" w:eastAsia="宋体" w:cs="AdobeSongStd-Light"/>
          <w:color w:val="auto"/>
          <w:kern w:val="0"/>
          <w:sz w:val="24"/>
          <w:szCs w:val="24"/>
          <w:highlight w:val="none"/>
          <w:lang w:val="en-US" w:eastAsia="zh-CN" w:bidi="ar"/>
        </w:rPr>
        <w:t>3</w:t>
      </w:r>
      <w:r>
        <w:rPr>
          <w:rFonts w:hint="eastAsia" w:ascii="宋体" w:hAnsi="宋体" w:eastAsia="宋体" w:cs="宋体"/>
          <w:color w:val="auto"/>
          <w:kern w:val="0"/>
          <w:sz w:val="24"/>
          <w:szCs w:val="24"/>
          <w:highlight w:val="none"/>
          <w:lang w:val="en-US" w:eastAsia="zh-CN" w:bidi="ar"/>
        </w:rPr>
        <w:t>、甲、乙、丙三方一致同意，原合同约定的工程质量保证金仍按原合同的相关约定办理，具体办理程序为：由乙方按原合同相关约定向丙方提交申请支付资料，丙方按原合同相关约定组织审核后，将相关付款资料和乙方提交的发票送交广州市财政局（或有权管理部门）办理拨款手续。</w:t>
      </w:r>
    </w:p>
    <w:p w14:paraId="7D08086B">
      <w:pPr>
        <w:keepNext w:val="0"/>
        <w:keepLines w:val="0"/>
        <w:widowControl w:val="0"/>
        <w:suppressLineNumbers w:val="0"/>
        <w:adjustRightInd w:val="0"/>
        <w:snapToGrid w:val="0"/>
        <w:spacing w:before="0" w:beforeAutospacing="0" w:after="0" w:afterAutospacing="0" w:line="360" w:lineRule="auto"/>
        <w:ind w:left="0" w:right="-31" w:rightChars="-15" w:firstLine="480" w:firstLineChars="200"/>
        <w:jc w:val="both"/>
        <w:rPr>
          <w:rFonts w:hint="eastAsia" w:ascii="宋体" w:hAnsi="宋体" w:eastAsia="宋体" w:cs="Arial"/>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本协议与原合同及其附件《工程质量保修书》具有同等的法律效力。本协议没有约定的事项，仍按原合同及其附件《工程质量保修书》的约定执行；但当原合同及其附件《工程质量保修书》的约定与本协议不相一致时，以本协议为准。</w:t>
      </w:r>
    </w:p>
    <w:p w14:paraId="552D0913">
      <w:pPr>
        <w:keepNext w:val="0"/>
        <w:keepLines w:val="0"/>
        <w:widowControl w:val="0"/>
        <w:suppressLineNumbers w:val="0"/>
        <w:adjustRightInd w:val="0"/>
        <w:snapToGrid w:val="0"/>
        <w:spacing w:before="0" w:beforeAutospacing="0" w:after="0" w:afterAutospacing="0" w:line="360" w:lineRule="auto"/>
        <w:ind w:left="0" w:right="-31" w:rightChars="-15"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5、若有其他未尽事宜，由甲、乙、丙三方另行商议达成补充协议。</w:t>
      </w:r>
    </w:p>
    <w:p w14:paraId="70BDA79A">
      <w:pPr>
        <w:keepNext w:val="0"/>
        <w:keepLines w:val="0"/>
        <w:widowControl w:val="0"/>
        <w:suppressLineNumbers w:val="0"/>
        <w:adjustRightInd w:val="0"/>
        <w:snapToGrid w:val="0"/>
        <w:spacing w:before="0" w:beforeAutospacing="0" w:after="0" w:afterAutospacing="0" w:line="360" w:lineRule="auto"/>
        <w:ind w:left="0" w:right="-31" w:rightChars="-15"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6、甲、乙、丙三方如因本协议发生争议，可先行协商解决；若协商不成，三方均可向甲方住所地人民法院提起诉讼。</w:t>
      </w:r>
    </w:p>
    <w:p w14:paraId="01F62517">
      <w:pPr>
        <w:keepNext w:val="0"/>
        <w:keepLines w:val="0"/>
        <w:widowControl w:val="0"/>
        <w:suppressLineNumbers w:val="0"/>
        <w:adjustRightInd w:val="0"/>
        <w:snapToGrid w:val="0"/>
        <w:spacing w:before="0" w:beforeAutospacing="0" w:after="0" w:afterAutospacing="0" w:line="360" w:lineRule="auto"/>
        <w:ind w:left="0" w:right="-31" w:rightChars="-15" w:firstLine="480" w:firstLineChars="200"/>
        <w:jc w:val="both"/>
        <w:rPr>
          <w:rFonts w:hint="eastAsia"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val="en-US" w:eastAsia="zh-CN" w:bidi="ar"/>
        </w:rPr>
        <w:t>、本协议一式十份，甲方执六份，乙方、丙方各执二份，均具有同等效力。</w:t>
      </w:r>
    </w:p>
    <w:p w14:paraId="289E22CB">
      <w:pPr>
        <w:keepNext w:val="0"/>
        <w:keepLines w:val="0"/>
        <w:widowControl w:val="0"/>
        <w:suppressLineNumbers w:val="0"/>
        <w:adjustRightInd w:val="0"/>
        <w:snapToGrid w:val="0"/>
        <w:spacing w:before="0" w:beforeAutospacing="0" w:after="0" w:afterAutospacing="0" w:line="360" w:lineRule="auto"/>
        <w:ind w:left="0" w:right="-31" w:rightChars="-15" w:firstLine="480" w:firstLineChars="200"/>
        <w:jc w:val="both"/>
        <w:rPr>
          <w:rFonts w:hint="eastAsia"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lang w:val="en-US" w:eastAsia="zh-CN" w:bidi="ar"/>
        </w:rPr>
        <w:t xml:space="preserve"> </w:t>
      </w:r>
    </w:p>
    <w:p w14:paraId="0CFC0AF4">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楷体_GB2312" w:hAnsi="宋体" w:eastAsia="楷体_GB2312" w:cs="Arial"/>
          <w:color w:val="auto"/>
          <w:kern w:val="0"/>
          <w:sz w:val="24"/>
          <w:szCs w:val="24"/>
          <w:highlight w:val="none"/>
        </w:rPr>
      </w:pPr>
      <w:r>
        <w:rPr>
          <w:rFonts w:hint="eastAsia" w:ascii="楷体_GB2312" w:hAnsi="宋体" w:eastAsia="楷体_GB2312" w:cs="楷体_GB2312"/>
          <w:color w:val="auto"/>
          <w:kern w:val="0"/>
          <w:sz w:val="24"/>
          <w:szCs w:val="24"/>
          <w:highlight w:val="none"/>
          <w:lang w:val="en-US" w:eastAsia="zh-CN" w:bidi="ar"/>
        </w:rPr>
        <w:t>（本页无正文）</w:t>
      </w:r>
    </w:p>
    <w:p w14:paraId="7DE47867">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9DEE6D7">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甲方：</w:t>
      </w:r>
      <w:r>
        <w:rPr>
          <w:rFonts w:hint="eastAsia" w:ascii="宋体" w:hAnsi="宋体" w:eastAsia="宋体" w:cs="宋体"/>
          <w:color w:val="auto"/>
          <w:spacing w:val="-20"/>
          <w:kern w:val="0"/>
          <w:sz w:val="24"/>
          <w:szCs w:val="24"/>
          <w:highlight w:val="none"/>
          <w:lang w:val="en-US" w:eastAsia="zh-CN" w:bidi="ar"/>
        </w:rPr>
        <w:t>广州市重点公共建设项目管理中心</w:t>
      </w:r>
      <w:r>
        <w:rPr>
          <w:rFonts w:hint="eastAsia" w:ascii="宋体" w:hAnsi="宋体" w:eastAsia="宋体" w:cs="宋体"/>
          <w:color w:val="auto"/>
          <w:kern w:val="0"/>
          <w:sz w:val="24"/>
          <w:szCs w:val="24"/>
          <w:highlight w:val="none"/>
          <w:lang w:val="en-US" w:eastAsia="zh-CN" w:bidi="ar"/>
        </w:rPr>
        <w:t xml:space="preserve">      乙方：中标赞助企业</w:t>
      </w:r>
    </w:p>
    <w:p w14:paraId="4F588636">
      <w:pPr>
        <w:keepNext w:val="0"/>
        <w:keepLines w:val="0"/>
        <w:widowControl w:val="0"/>
        <w:suppressLineNumbers w:val="0"/>
        <w:adjustRightInd w:val="0"/>
        <w:snapToGrid w:val="0"/>
        <w:spacing w:before="0" w:beforeAutospacing="0" w:after="0" w:afterAutospacing="0" w:line="360" w:lineRule="auto"/>
        <w:ind w:left="0" w:right="11" w:firstLine="1800" w:firstLineChars="7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（盖章）                             （盖章）</w:t>
      </w:r>
    </w:p>
    <w:p w14:paraId="49E481AB">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DE97317">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签约代表：                           签约代表：</w:t>
      </w:r>
    </w:p>
    <w:p w14:paraId="2DE98709">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1DF0C2C">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D2D352D">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地址：广州大学城内环东星运路1号     地址：</w:t>
      </w:r>
    </w:p>
    <w:p w14:paraId="39685D48">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邮政编码：510006                     邮政编码：</w:t>
      </w:r>
    </w:p>
    <w:p w14:paraId="672C1982">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电话：                               电话：</w:t>
      </w:r>
    </w:p>
    <w:p w14:paraId="54920669">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传真：                               传真：</w:t>
      </w:r>
    </w:p>
    <w:p w14:paraId="15E199A7">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日期：   年   月   日                日期：   年   月   日</w:t>
      </w:r>
    </w:p>
    <w:p w14:paraId="5CDC3BE2">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0B72F39">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丙方：</w:t>
      </w:r>
    </w:p>
    <w:p w14:paraId="3AAFA68E">
      <w:pPr>
        <w:keepNext w:val="0"/>
        <w:keepLines w:val="0"/>
        <w:widowControl w:val="0"/>
        <w:suppressLineNumbers w:val="0"/>
        <w:adjustRightInd w:val="0"/>
        <w:snapToGrid w:val="0"/>
        <w:spacing w:before="0" w:beforeAutospacing="0" w:after="0" w:afterAutospacing="0" w:line="360" w:lineRule="auto"/>
        <w:ind w:left="0" w:right="11" w:firstLine="1560" w:firstLineChars="6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（盖章）</w:t>
      </w:r>
    </w:p>
    <w:p w14:paraId="323F9158">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01C9FAF">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签约代表：</w:t>
      </w:r>
    </w:p>
    <w:p w14:paraId="2FED2233">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27B9B63">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3A3FD96">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地址：</w:t>
      </w:r>
    </w:p>
    <w:p w14:paraId="3207E8AB">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邮政编码：</w:t>
      </w:r>
    </w:p>
    <w:p w14:paraId="34410F4F">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电话：</w:t>
      </w:r>
    </w:p>
    <w:p w14:paraId="23217073">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传真：</w:t>
      </w:r>
    </w:p>
    <w:p w14:paraId="3592CF70">
      <w:pPr>
        <w:keepNext w:val="0"/>
        <w:keepLines w:val="0"/>
        <w:widowControl w:val="0"/>
        <w:suppressLineNumbers w:val="0"/>
        <w:adjustRightInd w:val="0"/>
        <w:snapToGrid w:val="0"/>
        <w:spacing w:before="0" w:beforeAutospacing="0" w:after="0" w:afterAutospacing="0" w:line="340" w:lineRule="auto"/>
        <w:ind w:left="0" w:right="-31" w:rightChars="-15"/>
        <w:jc w:val="both"/>
        <w:rPr>
          <w:rFonts w:hint="eastAsia" w:ascii="宋体" w:hAnsi="宋体" w:eastAsia="宋体" w:cs="Arial"/>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日期：   年   月   日</w:t>
      </w:r>
    </w:p>
    <w:p w14:paraId="1A16013F">
      <w:pPr>
        <w:keepNext w:val="0"/>
        <w:keepLines w:val="0"/>
        <w:widowControl w:val="0"/>
        <w:suppressLineNumbers w:val="0"/>
        <w:adjustRightInd w:val="0"/>
        <w:snapToGrid w:val="0"/>
        <w:spacing w:before="0" w:beforeAutospacing="0" w:after="0" w:afterAutospacing="0" w:line="340" w:lineRule="auto"/>
        <w:ind w:left="0" w:right="-31" w:rightChars="-15"/>
        <w:jc w:val="both"/>
        <w:rPr>
          <w:rFonts w:hint="eastAsia" w:ascii="宋体" w:hAnsi="宋体" w:eastAsia="宋体" w:cs="Arial"/>
          <w:color w:val="auto"/>
          <w:kern w:val="0"/>
          <w:sz w:val="24"/>
          <w:szCs w:val="24"/>
          <w:highlight w:val="none"/>
        </w:rPr>
      </w:pPr>
      <w:r>
        <w:rPr>
          <w:rFonts w:hint="eastAsia" w:ascii="宋体" w:hAnsi="宋体" w:eastAsia="宋体" w:cs="Arial"/>
          <w:color w:val="auto"/>
          <w:kern w:val="0"/>
          <w:sz w:val="24"/>
          <w:szCs w:val="24"/>
          <w:highlight w:val="none"/>
          <w:lang w:val="en-US" w:eastAsia="zh-CN" w:bidi="ar"/>
        </w:rPr>
        <w:t xml:space="preserve"> </w:t>
      </w:r>
    </w:p>
    <w:p w14:paraId="378265CE">
      <w:pPr>
        <w:keepNext w:val="0"/>
        <w:keepLines w:val="0"/>
        <w:widowControl w:val="0"/>
        <w:suppressLineNumbers w:val="0"/>
        <w:adjustRightInd w:val="0"/>
        <w:snapToGrid w:val="0"/>
        <w:spacing w:before="0" w:beforeAutospacing="0" w:after="0" w:afterAutospacing="0" w:line="340" w:lineRule="auto"/>
        <w:ind w:left="0" w:right="-31" w:rightChars="-15" w:firstLine="480" w:firstLineChars="200"/>
        <w:jc w:val="center"/>
        <w:rPr>
          <w:rFonts w:hint="eastAsia" w:ascii="宋体" w:hAnsi="宋体" w:eastAsia="宋体" w:cs="Arial"/>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本协议签订于广东省广州市番禺区。</w:t>
      </w:r>
    </w:p>
    <w:p w14:paraId="41DA6FC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39C130F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附件7：</w:t>
      </w:r>
    </w:p>
    <w:p w14:paraId="32459F49">
      <w:pPr>
        <w:keepNext w:val="0"/>
        <w:keepLines w:val="0"/>
        <w:widowControl w:val="0"/>
        <w:suppressLineNumbers w:val="0"/>
        <w:adjustRightInd w:val="0"/>
        <w:snapToGrid w:val="0"/>
        <w:spacing w:before="0" w:beforeAutospacing="0" w:after="0" w:afterAutospacing="0" w:line="360" w:lineRule="auto"/>
        <w:ind w:left="0" w:right="0"/>
        <w:jc w:val="center"/>
        <w:outlineLvl w:val="1"/>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履约担保（格式）及承诺书</w:t>
      </w:r>
    </w:p>
    <w:p w14:paraId="05CFE51F">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编号：</w:t>
      </w:r>
    </w:p>
    <w:p w14:paraId="195D5A9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广州市重点公共建设项目管理中心：</w:t>
      </w:r>
    </w:p>
    <w:p w14:paraId="541C34A4">
      <w:pPr>
        <w:pStyle w:val="3"/>
        <w:keepNext w:val="0"/>
        <w:keepLines w:val="0"/>
        <w:widowControl/>
        <w:suppressLineNumbers w:val="0"/>
        <w:adjustRightInd w:val="0"/>
        <w:snapToGrid w:val="0"/>
        <w:spacing w:before="0" w:beforeAutospacing="0" w:after="0" w:afterAutospacing="0" w:line="300"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鉴于中标赞助企业</w:t>
      </w:r>
      <w:r>
        <w:rPr>
          <w:rFonts w:hint="eastAsia" w:ascii="宋体" w:hAnsi="宋体" w:eastAsia="宋体" w:cs="宋体"/>
          <w:color w:val="auto"/>
          <w:spacing w:val="4"/>
          <w:kern w:val="0"/>
          <w:sz w:val="21"/>
          <w:szCs w:val="21"/>
          <w:highlight w:val="none"/>
          <w:lang w:val="en-US" w:eastAsia="zh-CN" w:bidi="ar"/>
        </w:rPr>
        <w:t>（以下称承包人）已与贵中心订立合同编号为</w:t>
      </w:r>
      <w:r>
        <w:rPr>
          <w:rFonts w:hint="eastAsia" w:ascii="宋体" w:hAnsi="宋体" w:eastAsia="宋体" w:cs="宋体"/>
          <w:color w:val="auto"/>
          <w:spacing w:val="4"/>
          <w:kern w:val="2"/>
          <w:sz w:val="21"/>
          <w:szCs w:val="21"/>
          <w:highlight w:val="none"/>
          <w:lang w:val="en-US" w:eastAsia="zh-CN" w:bidi="ar"/>
        </w:rPr>
        <w:t xml:space="preserve">      </w:t>
      </w:r>
      <w:r>
        <w:rPr>
          <w:rFonts w:hint="eastAsia" w:ascii="宋体" w:hAnsi="宋体" w:eastAsia="宋体" w:cs="宋体"/>
          <w:color w:val="auto"/>
          <w:spacing w:val="4"/>
          <w:kern w:val="0"/>
          <w:sz w:val="21"/>
          <w:szCs w:val="21"/>
          <w:highlight w:val="none"/>
          <w:lang w:val="en-US" w:eastAsia="zh-CN" w:bidi="ar"/>
        </w:rPr>
        <w:t>的《</w:t>
      </w:r>
      <w:r>
        <w:rPr>
          <w:rFonts w:hint="eastAsia" w:ascii="宋体" w:hAnsi="宋体" w:eastAsia="宋体" w:cs="宋体"/>
          <w:color w:val="auto"/>
          <w:spacing w:val="4"/>
          <w:kern w:val="2"/>
          <w:sz w:val="21"/>
          <w:szCs w:val="21"/>
          <w:highlight w:val="none"/>
          <w:lang w:val="en-US" w:eastAsia="zh-CN" w:bidi="ar"/>
        </w:rPr>
        <w:t>第十五届全运会广东奥林匹克体育中心升级改造项目、第十五届全运会广东省人民体育场改造项目体育工艺（设备类）采购及相关服务合同》</w:t>
      </w:r>
      <w:r>
        <w:rPr>
          <w:rFonts w:hint="eastAsia" w:ascii="宋体" w:hAnsi="宋体" w:eastAsia="宋体" w:cs="宋体"/>
          <w:color w:val="auto"/>
          <w:spacing w:val="4"/>
          <w:kern w:val="0"/>
          <w:sz w:val="21"/>
          <w:szCs w:val="21"/>
          <w:highlight w:val="none"/>
          <w:lang w:val="en-US" w:eastAsia="zh-CN" w:bidi="ar"/>
        </w:rPr>
        <w:t>（以下简称合同）。</w:t>
      </w:r>
      <w:r>
        <w:rPr>
          <w:rFonts w:hint="eastAsia" w:ascii="宋体" w:hAnsi="宋体" w:eastAsia="宋体" w:cs="宋体"/>
          <w:color w:val="auto"/>
          <w:spacing w:val="4"/>
          <w:kern w:val="0"/>
          <w:sz w:val="21"/>
          <w:szCs w:val="21"/>
          <w:highlight w:val="none"/>
          <w:shd w:val="clear" w:fill="FFFF00"/>
          <w:lang w:val="en-US" w:eastAsia="zh-CN" w:bidi="ar"/>
        </w:rPr>
        <w:t>我</w:t>
      </w:r>
      <w:r>
        <w:rPr>
          <w:rFonts w:hint="eastAsia" w:ascii="宋体" w:hAnsi="宋体" w:eastAsia="宋体" w:cs="宋体"/>
          <w:color w:val="auto"/>
          <w:kern w:val="0"/>
          <w:sz w:val="21"/>
          <w:szCs w:val="21"/>
          <w:highlight w:val="none"/>
          <w:shd w:val="clear" w:fill="FFFF00"/>
          <w:lang w:val="en-US" w:eastAsia="zh-CN" w:bidi="ar"/>
        </w:rPr>
        <w:t>方</w:t>
      </w:r>
      <w:r>
        <w:rPr>
          <w:rFonts w:hint="eastAsia" w:ascii="宋体" w:hAnsi="宋体" w:eastAsia="宋体" w:cs="宋体"/>
          <w:color w:val="auto"/>
          <w:spacing w:val="4"/>
          <w:kern w:val="0"/>
          <w:sz w:val="21"/>
          <w:szCs w:val="21"/>
          <w:highlight w:val="none"/>
          <w:shd w:val="clear" w:fill="FFFF00"/>
          <w:lang w:val="en-US" w:eastAsia="zh-CN" w:bidi="ar"/>
        </w:rPr>
        <w:t>同意为承包人担保，以担保金额人民币     （¥      ）向贵中心提供不可撤销的连带责任保证</w:t>
      </w:r>
      <w:r>
        <w:rPr>
          <w:rFonts w:hint="eastAsia" w:ascii="宋体" w:hAnsi="宋体" w:eastAsia="宋体" w:cs="宋体"/>
          <w:color w:val="auto"/>
          <w:spacing w:val="4"/>
          <w:kern w:val="0"/>
          <w:sz w:val="21"/>
          <w:szCs w:val="21"/>
          <w:highlight w:val="none"/>
          <w:lang w:val="en-US" w:eastAsia="zh-CN" w:bidi="ar"/>
        </w:rPr>
        <w:t>，担保的范围为：</w:t>
      </w:r>
      <w:r>
        <w:rPr>
          <w:rFonts w:hint="eastAsia" w:ascii="宋体" w:hAnsi="宋体" w:eastAsia="宋体" w:cs="宋体"/>
          <w:color w:val="auto"/>
          <w:kern w:val="0"/>
          <w:sz w:val="21"/>
          <w:szCs w:val="21"/>
          <w:highlight w:val="none"/>
          <w:lang w:val="en-US" w:eastAsia="zh-CN" w:bidi="ar"/>
        </w:rPr>
        <w:t>担保的范围为承包人按合同约定应向贵中心履行的全部义务，包括但不限于合同约定的义务，应向贵中心支付的利息，在人力资源、材料、机械设备投入，施工质量，施工工期，施工人员工资支付，工程分包，工程结算，施工（总）承包管理和现场整体组织，专业协调及配合等方面的违约金，损害赔偿金，实现债权的费用。</w:t>
      </w:r>
    </w:p>
    <w:p w14:paraId="4B2B4EE1">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我方承诺如下：</w:t>
      </w:r>
    </w:p>
    <w:p w14:paraId="27E8CB6D">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1、承包人在履行合同中，由于资金、技术、质量或非不可抗力及违约等原因需向贵中心支付违约金或赔偿金时，在贵中心</w:t>
      </w:r>
      <w:r>
        <w:rPr>
          <w:rFonts w:hint="eastAsia" w:ascii="宋体" w:hAnsi="宋体" w:eastAsia="宋体" w:cs="宋体"/>
          <w:color w:val="auto"/>
          <w:kern w:val="2"/>
          <w:sz w:val="21"/>
          <w:szCs w:val="21"/>
          <w:highlight w:val="none"/>
          <w:lang w:val="en-US" w:eastAsia="zh-CN" w:bidi="ar"/>
        </w:rPr>
        <w:t>以书面索赔通知纸质原件形式提出要求得到上述金额内的任何付款时（需提供本担保正本原件供我行核对），我方在7个工作日内予以支付累计不超过上述担保金额的款项</w:t>
      </w:r>
      <w:r>
        <w:rPr>
          <w:rFonts w:hint="eastAsia" w:ascii="宋体" w:hAnsi="宋体" w:eastAsia="宋体" w:cs="宋体"/>
          <w:color w:val="auto"/>
          <w:kern w:val="0"/>
          <w:sz w:val="21"/>
          <w:szCs w:val="21"/>
          <w:highlight w:val="none"/>
          <w:lang w:val="en-US" w:eastAsia="zh-CN" w:bidi="ar"/>
        </w:rPr>
        <w:t>，不挑剔、不争辩，也不要求贵中心出具证明或说明背景、理由。</w:t>
      </w:r>
    </w:p>
    <w:p w14:paraId="5285D6CD">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2、我方放弃贵中心应先向承包人要求赔偿上述金额然后再向我行提出要求的权利。</w:t>
      </w:r>
    </w:p>
    <w:p w14:paraId="519858E5">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我方进一步同意，在贵中心和承包人之间的合同条件、合同项下的工程或合同发生变化、补充或修改，在不加重我方担保责任的情况下，我方承担本担保的责任也不改变。有关上述变化、补充和修改也无须通知我行。</w:t>
      </w:r>
    </w:p>
    <w:p w14:paraId="312C23B9">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4、本担保</w:t>
      </w:r>
      <w:r>
        <w:rPr>
          <w:rFonts w:hint="eastAsia" w:ascii="宋体" w:hAnsi="宋体" w:eastAsia="宋体" w:cs="宋体"/>
          <w:color w:val="auto"/>
          <w:kern w:val="2"/>
          <w:sz w:val="21"/>
          <w:szCs w:val="21"/>
          <w:highlight w:val="none"/>
          <w:lang w:val="en-US" w:eastAsia="zh-CN" w:bidi="ar"/>
        </w:rPr>
        <w:t>有效期间为</w:t>
      </w:r>
      <w:r>
        <w:rPr>
          <w:rFonts w:hint="eastAsia" w:ascii="宋体" w:hAnsi="宋体" w:eastAsia="宋体" w:cs="宋体"/>
          <w:color w:val="auto"/>
          <w:kern w:val="0"/>
          <w:sz w:val="21"/>
          <w:szCs w:val="21"/>
          <w:highlight w:val="none"/>
          <w:lang w:val="en-US" w:eastAsia="zh-CN" w:bidi="ar"/>
        </w:rPr>
        <w:t>：自本担保签署之日起至承包人提供本项目分部（子分部）工程质量验收记录（或专业验收记录）及专业工程竣工图止，但最迟不超过</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年</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月</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日。</w:t>
      </w:r>
    </w:p>
    <w:p w14:paraId="31527188">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本担保适用中华人民共和国法律管辖，任何与本担保有关的争议均需提交工程项目所在地人民法院提起诉讼。</w:t>
      </w:r>
    </w:p>
    <w:p w14:paraId="6BF02909">
      <w:pPr>
        <w:pStyle w:val="3"/>
        <w:keepNext w:val="0"/>
        <w:keepLines w:val="0"/>
        <w:widowControl/>
        <w:suppressLineNumbers w:val="0"/>
        <w:autoSpaceDE w:val="0"/>
        <w:autoSpaceDN w:val="0"/>
        <w:adjustRightInd w:val="0"/>
        <w:snapToGrid w:val="0"/>
        <w:spacing w:before="0" w:beforeAutospacing="0" w:after="0" w:afterAutospacing="0" w:line="30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spacing w:val="4"/>
          <w:kern w:val="0"/>
          <w:sz w:val="21"/>
          <w:szCs w:val="21"/>
          <w:highlight w:val="none"/>
          <w:lang w:val="en-US" w:eastAsia="zh-CN" w:bidi="ar"/>
        </w:rPr>
        <w:t>本担保自我</w:t>
      </w:r>
      <w:r>
        <w:rPr>
          <w:rFonts w:hint="eastAsia" w:ascii="宋体" w:hAnsi="宋体" w:eastAsia="宋体" w:cs="宋体"/>
          <w:color w:val="auto"/>
          <w:kern w:val="0"/>
          <w:sz w:val="21"/>
          <w:szCs w:val="21"/>
          <w:highlight w:val="none"/>
          <w:lang w:val="en-US" w:eastAsia="zh-CN" w:bidi="ar"/>
        </w:rPr>
        <w:t>方</w:t>
      </w:r>
      <w:r>
        <w:rPr>
          <w:rFonts w:hint="eastAsia" w:ascii="宋体" w:hAnsi="宋体" w:eastAsia="宋体" w:cs="宋体"/>
          <w:color w:val="auto"/>
          <w:spacing w:val="4"/>
          <w:kern w:val="0"/>
          <w:sz w:val="21"/>
          <w:szCs w:val="21"/>
          <w:highlight w:val="none"/>
          <w:lang w:val="en-US" w:eastAsia="zh-CN" w:bidi="ar"/>
        </w:rPr>
        <w:t>负责人（或委托代理人）签字并加盖公章之日起生效。</w:t>
      </w:r>
    </w:p>
    <w:p w14:paraId="6EFAA07D">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保证人：（盖章）</w:t>
      </w:r>
    </w:p>
    <w:p w14:paraId="22D68216">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负责人（或委托代理人）：</w:t>
      </w:r>
    </w:p>
    <w:p w14:paraId="261C1EF3">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地址：</w:t>
      </w:r>
    </w:p>
    <w:p w14:paraId="73B708EE">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邮政编码：</w:t>
      </w:r>
    </w:p>
    <w:p w14:paraId="4BA479F5">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联系电话：</w:t>
      </w:r>
    </w:p>
    <w:p w14:paraId="72DD490C">
      <w:pPr>
        <w:keepNext w:val="0"/>
        <w:keepLines w:val="0"/>
        <w:widowControl w:val="0"/>
        <w:suppressLineNumbers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日期：     年   月   日</w:t>
      </w:r>
    </w:p>
    <w:p w14:paraId="344D09D5">
      <w:pPr>
        <w:keepNext w:val="0"/>
        <w:keepLines w:val="0"/>
        <w:widowControl w:val="0"/>
        <w:suppressLineNumbers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b/>
          <w:bCs w:val="0"/>
          <w:color w:val="auto"/>
          <w:kern w:val="0"/>
          <w:sz w:val="44"/>
          <w:szCs w:val="44"/>
          <w:highlight w:val="none"/>
        </w:rPr>
      </w:pPr>
      <w:r>
        <w:rPr>
          <w:rFonts w:hint="eastAsia" w:ascii="宋体" w:hAnsi="宋体" w:eastAsia="宋体" w:cs="宋体"/>
          <w:color w:val="auto"/>
          <w:kern w:val="0"/>
          <w:sz w:val="21"/>
          <w:szCs w:val="21"/>
          <w:highlight w:val="none"/>
          <w:u w:val="single"/>
          <w:lang w:val="en-US" w:eastAsia="zh-CN" w:bidi="ar"/>
        </w:rPr>
        <w:br w:type="page"/>
      </w:r>
    </w:p>
    <w:p w14:paraId="25641DCC">
      <w:pPr>
        <w:keepNext w:val="0"/>
        <w:keepLines w:val="0"/>
        <w:widowControl w:val="0"/>
        <w:suppressLineNumbers w:val="0"/>
        <w:adjustRightInd w:val="0"/>
        <w:snapToGrid w:val="0"/>
        <w:spacing w:before="0" w:beforeAutospacing="0" w:after="0" w:afterAutospacing="0" w:line="360" w:lineRule="auto"/>
        <w:ind w:left="0" w:right="0"/>
        <w:jc w:val="center"/>
        <w:outlineLvl w:val="1"/>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承 诺 书</w:t>
      </w:r>
    </w:p>
    <w:p w14:paraId="3D079847">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11BFB90">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广州市重点公共建设项目管理中心：</w:t>
      </w:r>
    </w:p>
    <w:p w14:paraId="6A80D5A2">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我司已于</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日向贵中心提交了</w:t>
      </w:r>
      <w:r>
        <w:rPr>
          <w:rFonts w:hint="eastAsia" w:ascii="宋体" w:hAnsi="宋体" w:eastAsia="宋体" w:cs="宋体"/>
          <w:b/>
          <w:bCs w:val="0"/>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合同</w:t>
      </w:r>
      <w:r>
        <w:rPr>
          <w:rFonts w:hint="eastAsia" w:ascii="宋体" w:hAnsi="宋体" w:eastAsia="宋体" w:cs="宋体"/>
          <w:color w:val="auto"/>
          <w:kern w:val="0"/>
          <w:sz w:val="24"/>
          <w:szCs w:val="24"/>
          <w:highlight w:val="none"/>
          <w:lang w:val="en-US" w:eastAsia="zh-CN" w:bidi="ar"/>
        </w:rPr>
        <w:t>的履约担保，保证期间最迟不超过</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日。</w:t>
      </w:r>
    </w:p>
    <w:p w14:paraId="0BF2AA24">
      <w:pPr>
        <w:pStyle w:val="3"/>
        <w:keepNext w:val="0"/>
        <w:keepLines w:val="0"/>
        <w:widowControl/>
        <w:suppressLineNumbers w:val="0"/>
        <w:autoSpaceDE w:val="0"/>
        <w:autoSpaceDN w:val="0"/>
        <w:adjustRightInd w:val="0"/>
        <w:snapToGrid w:val="0"/>
        <w:spacing w:before="0" w:beforeAutospacing="0" w:after="0" w:afterAutospacing="1" w:line="360" w:lineRule="auto"/>
        <w:ind w:left="0" w:right="0" w:firstLine="48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在履约担保最长有效期届满时，若承包人未提供本项目分部（子分部）工程质量验收记录（或专业验收记录）及专业工程竣工图的，我司将在履约担保最长有效期届满三天前按原担保格式提交新的履约担保，否则，贵中心有权暂停支付余下的合同价款，直至我司提交新的履约担保或本项目分部（子分部）工程质量验收记录（或专业验收记录）及专业工程竣工图。</w:t>
      </w:r>
    </w:p>
    <w:p w14:paraId="4E6AD852">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特此承诺。</w:t>
      </w:r>
    </w:p>
    <w:p w14:paraId="0D8DAF50">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8BC8640">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承诺人：中标赞助企业</w:t>
      </w:r>
    </w:p>
    <w:p w14:paraId="3830BBC9">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336907E6">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法定代表人：</w:t>
      </w:r>
    </w:p>
    <w:p w14:paraId="695ACCEE">
      <w:pPr>
        <w:keepNext w:val="0"/>
        <w:keepLines w:val="0"/>
        <w:widowControl w:val="0"/>
        <w:suppressLineNumbers w:val="0"/>
        <w:adjustRightInd w:val="0"/>
        <w:snapToGrid w:val="0"/>
        <w:spacing w:before="0" w:beforeAutospacing="0" w:after="0" w:afterAutospacing="0" w:line="360" w:lineRule="auto"/>
        <w:ind w:left="0" w:right="0" w:firstLine="5160" w:firstLineChars="2150"/>
        <w:jc w:val="both"/>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lang w:val="en-US" w:eastAsia="zh-CN" w:bidi="ar"/>
        </w:rPr>
        <w:t xml:space="preserve"> </w:t>
      </w:r>
    </w:p>
    <w:p w14:paraId="2A75A0C8">
      <w:pPr>
        <w:keepNext w:val="0"/>
        <w:keepLines w:val="0"/>
        <w:widowControl w:val="0"/>
        <w:suppressLineNumbers w:val="0"/>
        <w:adjustRightInd w:val="0"/>
        <w:snapToGrid w:val="0"/>
        <w:spacing w:before="0" w:beforeAutospacing="0" w:after="0" w:afterAutospacing="0" w:line="360" w:lineRule="auto"/>
        <w:ind w:left="0" w:right="0" w:firstLine="5160" w:firstLineChars="21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日期：     年   月   日</w:t>
      </w:r>
    </w:p>
    <w:p w14:paraId="7EEBDCE5">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AF2965D">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1F9062B">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2172B14">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3DCD8C3E">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3283683F">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EEF4E20">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13E22C8B">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BC2AE07">
      <w:pPr>
        <w:keepNext w:val="0"/>
        <w:keepLines w:val="0"/>
        <w:widowControl w:val="0"/>
        <w:suppressLineNumbers w:val="0"/>
        <w:adjustRightInd w:val="0"/>
        <w:snapToGrid w:val="0"/>
        <w:spacing w:before="0" w:beforeAutospacing="0" w:after="0" w:afterAutospacing="0" w:line="288"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br w:type="page"/>
      </w:r>
      <w:r>
        <w:rPr>
          <w:rFonts w:hint="eastAsia" w:ascii="宋体" w:hAnsi="宋体" w:eastAsia="宋体" w:cs="宋体"/>
          <w:color w:val="auto"/>
          <w:kern w:val="0"/>
          <w:sz w:val="24"/>
          <w:szCs w:val="24"/>
          <w:highlight w:val="none"/>
          <w:lang w:val="en-US" w:eastAsia="zh-CN" w:bidi="ar"/>
        </w:rPr>
        <w:t>附件8：</w:t>
      </w:r>
    </w:p>
    <w:p w14:paraId="03FB854C">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48"/>
          <w:szCs w:val="48"/>
          <w:highlight w:val="none"/>
        </w:rPr>
      </w:pPr>
      <w:r>
        <w:rPr>
          <w:rFonts w:hint="eastAsia" w:ascii="宋体" w:hAnsi="宋体" w:eastAsia="宋体" w:cs="宋体"/>
          <w:color w:val="auto"/>
          <w:kern w:val="0"/>
          <w:sz w:val="48"/>
          <w:szCs w:val="48"/>
          <w:highlight w:val="none"/>
          <w:lang w:val="en-US" w:eastAsia="zh-CN" w:bidi="ar"/>
        </w:rPr>
        <w:t xml:space="preserve"> </w:t>
      </w:r>
    </w:p>
    <w:p w14:paraId="66F36C58">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48"/>
          <w:szCs w:val="48"/>
          <w:highlight w:val="none"/>
        </w:rPr>
      </w:pPr>
      <w:r>
        <w:rPr>
          <w:rFonts w:hint="eastAsia" w:ascii="宋体" w:hAnsi="宋体" w:eastAsia="宋体" w:cs="宋体"/>
          <w:color w:val="auto"/>
          <w:kern w:val="0"/>
          <w:sz w:val="48"/>
          <w:szCs w:val="48"/>
          <w:highlight w:val="none"/>
          <w:lang w:val="en-US" w:eastAsia="zh-CN" w:bidi="ar"/>
        </w:rPr>
        <w:t xml:space="preserve"> </w:t>
      </w:r>
    </w:p>
    <w:p w14:paraId="2BC1A224">
      <w:pPr>
        <w:keepNext w:val="0"/>
        <w:keepLines w:val="0"/>
        <w:widowControl/>
        <w:suppressLineNumbers w:val="0"/>
        <w:spacing w:before="0" w:beforeAutospacing="0" w:after="0" w:afterAutospacing="0" w:line="720" w:lineRule="auto"/>
        <w:ind w:left="0" w:right="0"/>
        <w:jc w:val="center"/>
        <w:rPr>
          <w:rFonts w:hint="eastAsia" w:ascii="宋体" w:hAnsi="宋体" w:eastAsia="宋体" w:cs="宋体"/>
          <w:b/>
          <w:bCs w:val="0"/>
          <w:color w:val="auto"/>
          <w:kern w:val="0"/>
          <w:sz w:val="48"/>
          <w:szCs w:val="48"/>
          <w:highlight w:val="none"/>
        </w:rPr>
      </w:pPr>
      <w:r>
        <w:rPr>
          <w:rFonts w:hint="eastAsia" w:ascii="宋体" w:hAnsi="宋体" w:eastAsia="宋体" w:cs="宋体"/>
          <w:b/>
          <w:bCs w:val="0"/>
          <w:color w:val="auto"/>
          <w:kern w:val="0"/>
          <w:sz w:val="48"/>
          <w:szCs w:val="48"/>
          <w:highlight w:val="none"/>
          <w:lang w:val="en-US" w:eastAsia="zh-CN" w:bidi="ar"/>
        </w:rPr>
        <w:t>广州市重点公共建设项目管理中心</w:t>
      </w:r>
    </w:p>
    <w:p w14:paraId="1AC6E5A7">
      <w:pPr>
        <w:keepNext w:val="0"/>
        <w:keepLines w:val="0"/>
        <w:widowControl/>
        <w:suppressLineNumbers w:val="0"/>
        <w:spacing w:before="0" w:beforeAutospacing="0" w:after="0" w:afterAutospacing="0" w:line="720" w:lineRule="auto"/>
        <w:ind w:left="0" w:right="0"/>
        <w:jc w:val="center"/>
        <w:outlineLvl w:val="1"/>
        <w:rPr>
          <w:rFonts w:hint="default" w:ascii="华文新魏" w:hAnsi="华文新魏" w:eastAsia="华文新魏" w:cs="华文新魏"/>
          <w:b/>
          <w:bCs w:val="0"/>
          <w:color w:val="auto"/>
          <w:kern w:val="0"/>
          <w:sz w:val="52"/>
          <w:szCs w:val="52"/>
          <w:highlight w:val="none"/>
        </w:rPr>
      </w:pPr>
      <w:r>
        <w:rPr>
          <w:rFonts w:hint="eastAsia" w:ascii="宋体" w:hAnsi="宋体" w:eastAsia="宋体" w:cs="宋体"/>
          <w:b/>
          <w:bCs w:val="0"/>
          <w:color w:val="auto"/>
          <w:kern w:val="0"/>
          <w:sz w:val="52"/>
          <w:szCs w:val="52"/>
          <w:highlight w:val="none"/>
          <w:lang w:val="en-US" w:eastAsia="zh-CN" w:bidi="ar"/>
        </w:rPr>
        <w:t>项目建设资金监督管理协议（格式）</w:t>
      </w:r>
    </w:p>
    <w:p w14:paraId="290636D0">
      <w:pPr>
        <w:keepNext w:val="0"/>
        <w:keepLines w:val="0"/>
        <w:widowControl/>
        <w:suppressLineNumbers w:val="0"/>
        <w:spacing w:before="0" w:beforeAutospacing="0" w:after="0" w:afterAutospacing="0"/>
        <w:ind w:left="0" w:right="0"/>
        <w:jc w:val="center"/>
        <w:rPr>
          <w:rFonts w:hint="default" w:ascii="华文新魏" w:hAnsi="华文新魏" w:eastAsia="华文新魏" w:cs="华文新魏"/>
          <w:color w:val="auto"/>
          <w:kern w:val="0"/>
          <w:sz w:val="44"/>
          <w:szCs w:val="44"/>
          <w:highlight w:val="none"/>
        </w:rPr>
      </w:pPr>
      <w:r>
        <w:rPr>
          <w:rFonts w:hint="default" w:ascii="华文新魏" w:hAnsi="华文新魏" w:eastAsia="华文新魏" w:cs="华文新魏"/>
          <w:color w:val="auto"/>
          <w:kern w:val="0"/>
          <w:sz w:val="44"/>
          <w:szCs w:val="44"/>
          <w:highlight w:val="none"/>
          <w:lang w:val="en-US" w:eastAsia="zh-CN" w:bidi="ar"/>
        </w:rPr>
        <w:t xml:space="preserve"> </w:t>
      </w:r>
    </w:p>
    <w:p w14:paraId="71E2819A">
      <w:pPr>
        <w:keepNext w:val="0"/>
        <w:keepLines w:val="0"/>
        <w:widowControl/>
        <w:suppressLineNumbers w:val="0"/>
        <w:spacing w:before="0" w:beforeAutospacing="0" w:after="0" w:afterAutospacing="0"/>
        <w:ind w:left="0" w:right="0"/>
        <w:jc w:val="center"/>
        <w:rPr>
          <w:rFonts w:hint="default" w:ascii="华文新魏" w:hAnsi="华文新魏" w:eastAsia="华文新魏" w:cs="华文新魏"/>
          <w:color w:val="auto"/>
          <w:kern w:val="0"/>
          <w:sz w:val="44"/>
          <w:szCs w:val="44"/>
          <w:highlight w:val="none"/>
        </w:rPr>
      </w:pPr>
      <w:r>
        <w:rPr>
          <w:rFonts w:hint="default" w:ascii="华文新魏" w:hAnsi="华文新魏" w:eastAsia="华文新魏" w:cs="华文新魏"/>
          <w:color w:val="auto"/>
          <w:kern w:val="0"/>
          <w:sz w:val="44"/>
          <w:szCs w:val="44"/>
          <w:highlight w:val="none"/>
          <w:lang w:val="en-US" w:eastAsia="zh-CN" w:bidi="ar"/>
        </w:rPr>
        <w:t xml:space="preserve"> </w:t>
      </w:r>
    </w:p>
    <w:p w14:paraId="44EE81D4">
      <w:pPr>
        <w:keepNext w:val="0"/>
        <w:keepLines w:val="0"/>
        <w:widowControl/>
        <w:suppressLineNumbers w:val="0"/>
        <w:spacing w:before="0" w:beforeAutospacing="0" w:after="0" w:afterAutospacing="0"/>
        <w:ind w:left="0" w:right="0"/>
        <w:jc w:val="center"/>
        <w:rPr>
          <w:rFonts w:hint="default" w:ascii="华文新魏" w:hAnsi="华文新魏" w:eastAsia="华文新魏" w:cs="华文新魏"/>
          <w:color w:val="auto"/>
          <w:kern w:val="0"/>
          <w:sz w:val="44"/>
          <w:szCs w:val="44"/>
          <w:highlight w:val="none"/>
        </w:rPr>
      </w:pPr>
      <w:r>
        <w:rPr>
          <w:rFonts w:hint="default" w:ascii="华文新魏" w:hAnsi="华文新魏" w:eastAsia="华文新魏" w:cs="华文新魏"/>
          <w:color w:val="auto"/>
          <w:kern w:val="0"/>
          <w:sz w:val="44"/>
          <w:szCs w:val="44"/>
          <w:highlight w:val="none"/>
          <w:lang w:val="en-US" w:eastAsia="zh-CN" w:bidi="ar"/>
        </w:rPr>
        <w:t xml:space="preserve"> </w:t>
      </w:r>
    </w:p>
    <w:p w14:paraId="1A328AE4">
      <w:pPr>
        <w:keepNext w:val="0"/>
        <w:keepLines w:val="0"/>
        <w:widowControl/>
        <w:suppressLineNumbers w:val="0"/>
        <w:spacing w:before="0" w:beforeAutospacing="0" w:after="0" w:afterAutospacing="0"/>
        <w:ind w:left="0" w:right="0"/>
        <w:jc w:val="center"/>
        <w:rPr>
          <w:rFonts w:hint="default" w:ascii="华文新魏" w:hAnsi="华文新魏" w:eastAsia="华文新魏" w:cs="华文新魏"/>
          <w:color w:val="auto"/>
          <w:kern w:val="0"/>
          <w:sz w:val="44"/>
          <w:szCs w:val="44"/>
          <w:highlight w:val="none"/>
        </w:rPr>
      </w:pPr>
      <w:r>
        <w:rPr>
          <w:rFonts w:hint="default" w:ascii="华文新魏" w:hAnsi="华文新魏" w:eastAsia="华文新魏" w:cs="华文新魏"/>
          <w:color w:val="auto"/>
          <w:kern w:val="0"/>
          <w:sz w:val="44"/>
          <w:szCs w:val="44"/>
          <w:highlight w:val="none"/>
          <w:lang w:val="en-US" w:eastAsia="zh-CN" w:bidi="ar"/>
        </w:rPr>
        <w:t xml:space="preserve"> </w:t>
      </w:r>
    </w:p>
    <w:p w14:paraId="5DE75B86">
      <w:pPr>
        <w:keepNext w:val="0"/>
        <w:keepLines w:val="0"/>
        <w:widowControl/>
        <w:suppressLineNumbers w:val="0"/>
        <w:spacing w:before="0" w:beforeAutospacing="0" w:after="0" w:afterAutospacing="0"/>
        <w:ind w:left="0" w:right="0"/>
        <w:jc w:val="center"/>
        <w:rPr>
          <w:rFonts w:hint="default" w:ascii="华文新魏" w:hAnsi="华文新魏" w:eastAsia="华文新魏" w:cs="华文新魏"/>
          <w:color w:val="auto"/>
          <w:kern w:val="0"/>
          <w:sz w:val="44"/>
          <w:szCs w:val="44"/>
          <w:highlight w:val="none"/>
        </w:rPr>
      </w:pPr>
      <w:r>
        <w:rPr>
          <w:rFonts w:hint="default" w:ascii="华文新魏" w:hAnsi="华文新魏" w:eastAsia="华文新魏" w:cs="华文新魏"/>
          <w:color w:val="auto"/>
          <w:kern w:val="0"/>
          <w:sz w:val="44"/>
          <w:szCs w:val="44"/>
          <w:highlight w:val="none"/>
          <w:lang w:val="en-US" w:eastAsia="zh-CN" w:bidi="ar"/>
        </w:rPr>
        <w:t xml:space="preserve"> </w:t>
      </w:r>
    </w:p>
    <w:p w14:paraId="4556B0D2">
      <w:pPr>
        <w:keepNext w:val="0"/>
        <w:keepLines w:val="0"/>
        <w:widowControl/>
        <w:suppressLineNumbers w:val="0"/>
        <w:spacing w:before="0" w:beforeAutospacing="0" w:after="0" w:afterAutospacing="0"/>
        <w:ind w:left="0" w:right="0"/>
        <w:jc w:val="center"/>
        <w:rPr>
          <w:rFonts w:hint="default" w:ascii="华文新魏" w:hAnsi="华文新魏" w:eastAsia="华文新魏" w:cs="华文新魏"/>
          <w:color w:val="auto"/>
          <w:kern w:val="0"/>
          <w:sz w:val="44"/>
          <w:szCs w:val="44"/>
          <w:highlight w:val="none"/>
        </w:rPr>
      </w:pPr>
      <w:r>
        <w:rPr>
          <w:rFonts w:hint="default" w:ascii="华文新魏" w:hAnsi="华文新魏" w:eastAsia="华文新魏" w:cs="华文新魏"/>
          <w:color w:val="auto"/>
          <w:kern w:val="0"/>
          <w:sz w:val="44"/>
          <w:szCs w:val="44"/>
          <w:highlight w:val="none"/>
          <w:lang w:val="en-US" w:eastAsia="zh-CN" w:bidi="ar"/>
        </w:rPr>
        <w:t xml:space="preserve"> </w:t>
      </w:r>
    </w:p>
    <w:p w14:paraId="619A567D">
      <w:pPr>
        <w:keepNext w:val="0"/>
        <w:keepLines w:val="0"/>
        <w:widowControl/>
        <w:suppressLineNumbers w:val="0"/>
        <w:spacing w:before="0" w:beforeAutospacing="0" w:after="0" w:afterAutospacing="0"/>
        <w:ind w:left="0" w:right="0"/>
        <w:jc w:val="center"/>
        <w:rPr>
          <w:rFonts w:hint="default" w:ascii="华文新魏" w:hAnsi="华文新魏" w:eastAsia="华文新魏" w:cs="华文新魏"/>
          <w:color w:val="auto"/>
          <w:kern w:val="0"/>
          <w:sz w:val="44"/>
          <w:szCs w:val="44"/>
          <w:highlight w:val="none"/>
        </w:rPr>
      </w:pPr>
      <w:r>
        <w:rPr>
          <w:rFonts w:hint="default" w:ascii="华文新魏" w:hAnsi="华文新魏" w:eastAsia="华文新魏" w:cs="华文新魏"/>
          <w:color w:val="auto"/>
          <w:kern w:val="0"/>
          <w:sz w:val="44"/>
          <w:szCs w:val="44"/>
          <w:highlight w:val="none"/>
          <w:lang w:val="en-US" w:eastAsia="zh-CN" w:bidi="ar"/>
        </w:rPr>
        <w:t xml:space="preserve"> </w:t>
      </w:r>
    </w:p>
    <w:p w14:paraId="6E58D69E">
      <w:pPr>
        <w:keepNext w:val="0"/>
        <w:keepLines w:val="0"/>
        <w:widowControl/>
        <w:suppressLineNumbers w:val="0"/>
        <w:spacing w:before="0" w:beforeAutospacing="0" w:after="0" w:afterAutospacing="0"/>
        <w:ind w:left="0" w:right="0"/>
        <w:jc w:val="center"/>
        <w:rPr>
          <w:rFonts w:hint="default" w:ascii="华文新魏" w:hAnsi="华文新魏" w:eastAsia="华文新魏" w:cs="华文新魏"/>
          <w:color w:val="auto"/>
          <w:kern w:val="0"/>
          <w:sz w:val="44"/>
          <w:szCs w:val="44"/>
          <w:highlight w:val="none"/>
        </w:rPr>
      </w:pPr>
      <w:r>
        <w:rPr>
          <w:rFonts w:hint="default" w:ascii="华文新魏" w:hAnsi="华文新魏" w:eastAsia="华文新魏" w:cs="华文新魏"/>
          <w:color w:val="auto"/>
          <w:kern w:val="0"/>
          <w:sz w:val="44"/>
          <w:szCs w:val="44"/>
          <w:highlight w:val="none"/>
          <w:lang w:val="en-US" w:eastAsia="zh-CN" w:bidi="ar"/>
        </w:rPr>
        <w:t xml:space="preserve"> </w:t>
      </w:r>
    </w:p>
    <w:p w14:paraId="6E8F190D">
      <w:pPr>
        <w:keepNext w:val="0"/>
        <w:keepLines w:val="0"/>
        <w:widowControl/>
        <w:suppressLineNumbers w:val="0"/>
        <w:spacing w:before="0" w:beforeAutospacing="0" w:after="0" w:afterAutospacing="0"/>
        <w:ind w:left="0" w:right="0"/>
        <w:jc w:val="center"/>
        <w:rPr>
          <w:rFonts w:hint="default" w:ascii="华文新魏" w:hAnsi="华文新魏" w:eastAsia="华文新魏" w:cs="华文新魏"/>
          <w:color w:val="auto"/>
          <w:kern w:val="0"/>
          <w:sz w:val="44"/>
          <w:szCs w:val="44"/>
          <w:highlight w:val="none"/>
        </w:rPr>
      </w:pPr>
      <w:r>
        <w:rPr>
          <w:rFonts w:hint="default" w:ascii="华文新魏" w:hAnsi="华文新魏" w:eastAsia="华文新魏" w:cs="华文新魏"/>
          <w:color w:val="auto"/>
          <w:kern w:val="0"/>
          <w:sz w:val="44"/>
          <w:szCs w:val="44"/>
          <w:highlight w:val="none"/>
          <w:lang w:val="en-US" w:eastAsia="zh-CN" w:bidi="ar"/>
        </w:rPr>
        <w:t xml:space="preserve"> </w:t>
      </w:r>
    </w:p>
    <w:p w14:paraId="5D5F779C">
      <w:pPr>
        <w:keepNext w:val="0"/>
        <w:keepLines w:val="0"/>
        <w:widowControl/>
        <w:suppressLineNumbers w:val="0"/>
        <w:spacing w:before="0" w:beforeAutospacing="0" w:after="0" w:afterAutospacing="0"/>
        <w:ind w:left="0" w:right="0"/>
        <w:jc w:val="center"/>
        <w:rPr>
          <w:rFonts w:hint="default" w:ascii="华文新魏" w:hAnsi="华文新魏" w:eastAsia="华文新魏" w:cs="华文新魏"/>
          <w:color w:val="auto"/>
          <w:kern w:val="0"/>
          <w:sz w:val="44"/>
          <w:szCs w:val="44"/>
          <w:highlight w:val="none"/>
        </w:rPr>
      </w:pPr>
      <w:r>
        <w:rPr>
          <w:rFonts w:hint="default" w:ascii="华文新魏" w:hAnsi="华文新魏" w:eastAsia="华文新魏" w:cs="华文新魏"/>
          <w:color w:val="auto"/>
          <w:kern w:val="0"/>
          <w:sz w:val="44"/>
          <w:szCs w:val="44"/>
          <w:highlight w:val="none"/>
          <w:lang w:val="en-US" w:eastAsia="zh-CN" w:bidi="ar"/>
        </w:rPr>
        <w:t xml:space="preserve"> </w:t>
      </w:r>
    </w:p>
    <w:p w14:paraId="6005E2C6">
      <w:pPr>
        <w:keepNext w:val="0"/>
        <w:keepLines w:val="0"/>
        <w:widowControl/>
        <w:suppressLineNumbers w:val="0"/>
        <w:spacing w:before="0" w:beforeAutospacing="0" w:after="0" w:afterAutospacing="0"/>
        <w:ind w:left="0" w:right="0"/>
        <w:jc w:val="center"/>
        <w:rPr>
          <w:rFonts w:hint="default" w:ascii="华文新魏" w:hAnsi="华文新魏" w:eastAsia="华文新魏" w:cs="华文新魏"/>
          <w:color w:val="auto"/>
          <w:kern w:val="0"/>
          <w:sz w:val="44"/>
          <w:szCs w:val="44"/>
          <w:highlight w:val="none"/>
        </w:rPr>
      </w:pPr>
      <w:r>
        <w:rPr>
          <w:rFonts w:hint="default" w:ascii="华文新魏" w:hAnsi="华文新魏" w:eastAsia="华文新魏" w:cs="华文新魏"/>
          <w:color w:val="auto"/>
          <w:kern w:val="0"/>
          <w:sz w:val="44"/>
          <w:szCs w:val="44"/>
          <w:highlight w:val="none"/>
          <w:lang w:val="en-US" w:eastAsia="zh-CN" w:bidi="ar"/>
        </w:rPr>
        <w:t xml:space="preserve"> </w:t>
      </w:r>
    </w:p>
    <w:p w14:paraId="481A532E">
      <w:pPr>
        <w:keepNext w:val="0"/>
        <w:keepLines w:val="0"/>
        <w:widowControl/>
        <w:suppressLineNumbers w:val="0"/>
        <w:spacing w:before="0" w:beforeAutospacing="0" w:after="0" w:afterAutospacing="0"/>
        <w:ind w:left="0" w:right="0"/>
        <w:jc w:val="center"/>
        <w:rPr>
          <w:rFonts w:hint="default" w:ascii="华文新魏" w:hAnsi="华文新魏" w:eastAsia="华文新魏" w:cs="华文新魏"/>
          <w:color w:val="auto"/>
          <w:kern w:val="0"/>
          <w:sz w:val="44"/>
          <w:szCs w:val="44"/>
          <w:highlight w:val="none"/>
        </w:rPr>
      </w:pPr>
      <w:r>
        <w:rPr>
          <w:rFonts w:hint="default" w:ascii="华文新魏" w:hAnsi="华文新魏" w:eastAsia="华文新魏" w:cs="华文新魏"/>
          <w:color w:val="auto"/>
          <w:kern w:val="0"/>
          <w:sz w:val="44"/>
          <w:szCs w:val="44"/>
          <w:highlight w:val="none"/>
          <w:lang w:val="en-US" w:eastAsia="zh-CN" w:bidi="ar"/>
        </w:rPr>
        <w:t xml:space="preserve"> </w:t>
      </w:r>
    </w:p>
    <w:p w14:paraId="488F16D0">
      <w:pPr>
        <w:keepNext w:val="0"/>
        <w:keepLines w:val="0"/>
        <w:widowControl/>
        <w:suppressLineNumbers w:val="0"/>
        <w:spacing w:before="0" w:beforeAutospacing="0" w:after="0" w:afterAutospacing="0"/>
        <w:ind w:left="1399" w:leftChars="666" w:right="0"/>
        <w:jc w:val="left"/>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甲 方：广州市重点公共建设项目管理中心</w:t>
      </w:r>
      <w:r>
        <w:rPr>
          <w:rFonts w:hint="eastAsia" w:ascii="宋体" w:hAnsi="宋体" w:eastAsia="宋体" w:cs="宋体"/>
          <w:b/>
          <w:bCs w:val="0"/>
          <w:color w:val="auto"/>
          <w:kern w:val="0"/>
          <w:sz w:val="32"/>
          <w:szCs w:val="32"/>
          <w:highlight w:val="none"/>
          <w:lang w:val="en-US" w:eastAsia="zh-CN" w:bidi="ar"/>
        </w:rPr>
        <w:br w:type="textWrapping"/>
      </w:r>
      <w:r>
        <w:rPr>
          <w:rFonts w:hint="eastAsia" w:ascii="宋体" w:hAnsi="宋体" w:eastAsia="宋体" w:cs="宋体"/>
          <w:b/>
          <w:bCs w:val="0"/>
          <w:color w:val="auto"/>
          <w:kern w:val="0"/>
          <w:sz w:val="32"/>
          <w:szCs w:val="32"/>
          <w:highlight w:val="none"/>
          <w:lang w:val="en-US" w:eastAsia="zh-CN" w:bidi="ar"/>
        </w:rPr>
        <w:t>乙 方：中标赞助企业</w:t>
      </w:r>
    </w:p>
    <w:p w14:paraId="49BB8B50">
      <w:pPr>
        <w:keepNext w:val="0"/>
        <w:keepLines w:val="0"/>
        <w:widowControl/>
        <w:suppressLineNumbers w:val="0"/>
        <w:spacing w:before="0" w:beforeAutospacing="0" w:after="0" w:afterAutospacing="0"/>
        <w:ind w:left="1399" w:leftChars="666" w:right="0"/>
        <w:jc w:val="left"/>
        <w:rPr>
          <w:rFonts w:hint="eastAsia" w:ascii="宋体" w:hAnsi="宋体" w:eastAsia="宋体" w:cs="宋体"/>
          <w:color w:val="auto"/>
          <w:kern w:val="0"/>
          <w:sz w:val="44"/>
          <w:szCs w:val="44"/>
          <w:highlight w:val="none"/>
        </w:rPr>
      </w:pPr>
      <w:r>
        <w:rPr>
          <w:rFonts w:hint="eastAsia" w:ascii="宋体" w:hAnsi="宋体" w:eastAsia="宋体" w:cs="宋体"/>
          <w:b/>
          <w:bCs w:val="0"/>
          <w:color w:val="auto"/>
          <w:kern w:val="0"/>
          <w:sz w:val="32"/>
          <w:szCs w:val="32"/>
          <w:highlight w:val="none"/>
          <w:lang w:val="en-US" w:eastAsia="zh-CN" w:bidi="ar"/>
        </w:rPr>
        <w:t>丙 方（监管银行）：</w:t>
      </w:r>
    </w:p>
    <w:p w14:paraId="0CF2346E">
      <w:pPr>
        <w:keepNext w:val="0"/>
        <w:keepLines w:val="0"/>
        <w:widowControl/>
        <w:suppressLineNumbers w:val="0"/>
        <w:spacing w:before="0" w:beforeAutospacing="0" w:after="0" w:afterAutospacing="0"/>
        <w:ind w:left="0" w:right="0" w:firstLine="2200" w:firstLineChars="500"/>
        <w:jc w:val="both"/>
        <w:rPr>
          <w:rFonts w:hint="default" w:ascii="宋体" w:hAnsi="宋体" w:eastAsia="华文新魏" w:cs="华文新魏"/>
          <w:color w:val="auto"/>
          <w:kern w:val="0"/>
          <w:sz w:val="44"/>
          <w:szCs w:val="44"/>
          <w:highlight w:val="none"/>
        </w:rPr>
      </w:pPr>
      <w:r>
        <w:rPr>
          <w:rFonts w:hint="default" w:ascii="宋体" w:hAnsi="宋体" w:eastAsia="华文新魏" w:cs="华文新魏"/>
          <w:color w:val="auto"/>
          <w:kern w:val="0"/>
          <w:sz w:val="44"/>
          <w:szCs w:val="44"/>
          <w:highlight w:val="none"/>
          <w:lang w:val="en-US" w:eastAsia="zh-CN" w:bidi="ar"/>
        </w:rPr>
        <w:t xml:space="preserve"> </w:t>
      </w:r>
    </w:p>
    <w:p w14:paraId="2353039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default" w:ascii="Times New Roman" w:hAnsi="Times New Roman" w:cs="Times New Roman" w:eastAsiaTheme="minorEastAsia"/>
          <w:color w:val="auto"/>
          <w:kern w:val="0"/>
          <w:sz w:val="28"/>
          <w:szCs w:val="28"/>
          <w:highlight w:val="none"/>
          <w:lang w:val="en-US" w:eastAsia="zh-CN" w:bidi="ar"/>
        </w:rPr>
        <w:br w:type="page"/>
      </w:r>
      <w:r>
        <w:rPr>
          <w:rFonts w:hint="eastAsia" w:ascii="宋体" w:hAnsi="宋体" w:eastAsia="宋体" w:cs="宋体"/>
          <w:color w:val="auto"/>
          <w:kern w:val="0"/>
          <w:sz w:val="24"/>
          <w:szCs w:val="24"/>
          <w:highlight w:val="none"/>
          <w:lang w:val="en-US" w:eastAsia="zh-CN" w:bidi="ar"/>
        </w:rPr>
        <w:t>甲      方：广州市重点公共建设项目管理中心</w:t>
      </w:r>
    </w:p>
    <w:p w14:paraId="2951397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法定代表人：</w:t>
      </w:r>
    </w:p>
    <w:p w14:paraId="13F37D4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委托代理人：</w:t>
      </w:r>
    </w:p>
    <w:p w14:paraId="4CEAC81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地      址：</w:t>
      </w:r>
    </w:p>
    <w:p w14:paraId="769E38C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电      话：</w:t>
      </w:r>
    </w:p>
    <w:p w14:paraId="3D6D4AF9">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23B72F7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乙      方：</w:t>
      </w:r>
      <w:r>
        <w:rPr>
          <w:rFonts w:hint="eastAsia" w:ascii="宋体" w:hAnsi="宋体" w:eastAsia="宋体" w:cs="宋体"/>
          <w:color w:val="auto"/>
          <w:spacing w:val="-20"/>
          <w:kern w:val="0"/>
          <w:sz w:val="24"/>
          <w:szCs w:val="24"/>
          <w:highlight w:val="none"/>
          <w:lang w:val="en-US" w:eastAsia="zh-CN" w:bidi="ar"/>
        </w:rPr>
        <w:t>中标赞助企业</w:t>
      </w:r>
    </w:p>
    <w:p w14:paraId="4CC44F4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法定代表人：</w:t>
      </w:r>
    </w:p>
    <w:p w14:paraId="4B837183">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委托代理人：</w:t>
      </w:r>
    </w:p>
    <w:p w14:paraId="320561FC">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地      址：</w:t>
      </w:r>
    </w:p>
    <w:p w14:paraId="0D74A028">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电      话：</w:t>
      </w:r>
    </w:p>
    <w:p w14:paraId="1EB42B52">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2893FB7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丙      方（监管银行）：</w:t>
      </w:r>
    </w:p>
    <w:p w14:paraId="0C8633A5">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法定代表人：</w:t>
      </w:r>
    </w:p>
    <w:p w14:paraId="706BA394">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委托代理人：</w:t>
      </w:r>
    </w:p>
    <w:p w14:paraId="4C4544A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地      址：</w:t>
      </w:r>
    </w:p>
    <w:p w14:paraId="20FDBE46">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电      话：</w:t>
      </w:r>
    </w:p>
    <w:p w14:paraId="4F816AA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1B244B2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第一章  总    则</w:t>
      </w:r>
    </w:p>
    <w:p w14:paraId="426FE252">
      <w:pPr>
        <w:keepNext w:val="0"/>
        <w:keepLines w:val="0"/>
        <w:widowControl w:val="0"/>
        <w:suppressLineNumbers w:val="0"/>
        <w:adjustRightInd w:val="0"/>
        <w:snapToGrid w:val="0"/>
        <w:spacing w:before="0" w:beforeAutospacing="0" w:after="0" w:afterAutospacing="0" w:line="360" w:lineRule="auto"/>
        <w:ind w:left="0" w:right="0" w:firstLine="57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乙方因参与广州市重点公共建设项目管理中心的工程项目建设需要，与甲方签订了第十五届全运会广东奥林匹克体育中心升级改造项目、第十五届全运会广东省人民体育场改造项目体育工艺（设备类）采购及相关服务合同（以下简称合同），并在丙方开立银行结算账户。</w:t>
      </w:r>
    </w:p>
    <w:p w14:paraId="0A496396">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协议订立的宗旨为保障合同项目下工程建设资金安全、专款专用、高效使用，确保合同的顺利履行。为明确甲、乙、丙三方的权利、义务，根据中华人民共和国相关法律、法规和合同的规定，经甲、乙、丙三方在平等、自愿基础上协商一致，特定立本协议。</w:t>
      </w:r>
    </w:p>
    <w:p w14:paraId="2278380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第二章  权利与义务</w:t>
      </w:r>
    </w:p>
    <w:p w14:paraId="37A91B1D">
      <w:pPr>
        <w:keepNext w:val="0"/>
        <w:keepLines w:val="0"/>
        <w:widowControl w:val="0"/>
        <w:numPr>
          <w:ilvl w:val="0"/>
          <w:numId w:val="4"/>
        </w:numPr>
        <w:suppressLineNumbers w:val="0"/>
        <w:adjustRightInd w:val="0"/>
        <w:snapToGrid w:val="0"/>
        <w:spacing w:before="0" w:beforeAutospacing="0" w:after="0" w:afterAutospacing="0" w:line="360" w:lineRule="auto"/>
        <w:ind w:left="1695" w:right="0" w:hanging="112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甲方的权利与义务</w:t>
      </w:r>
    </w:p>
    <w:p w14:paraId="7C60981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1、甲方对于合同项目下应拨付给乙方的资金，将划拨乙方在丙方所开立的账户内，账号为             （以下简称指定账号）；</w:t>
      </w:r>
    </w:p>
    <w:p w14:paraId="3CA067BB">
      <w:pPr>
        <w:keepNext w:val="0"/>
        <w:keepLines w:val="0"/>
        <w:widowControl w:val="0"/>
        <w:suppressLineNumbers w:val="0"/>
        <w:adjustRightInd w:val="0"/>
        <w:snapToGrid w:val="0"/>
        <w:spacing w:before="0" w:beforeAutospacing="0" w:after="0" w:afterAutospacing="0" w:line="360" w:lineRule="auto"/>
        <w:ind w:left="0" w:right="0" w:firstLine="484" w:firstLineChars="202"/>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2、甲方有权按本协议约定查阅该指定账号内合同项目下工程建设资金的每时段的收支情况；</w:t>
      </w:r>
    </w:p>
    <w:p w14:paraId="65455256">
      <w:pPr>
        <w:keepNext w:val="0"/>
        <w:keepLines w:val="0"/>
        <w:widowControl w:val="0"/>
        <w:suppressLineNumbers w:val="0"/>
        <w:adjustRightInd w:val="0"/>
        <w:snapToGrid w:val="0"/>
        <w:spacing w:before="0" w:beforeAutospacing="0" w:after="0" w:afterAutospacing="0" w:line="360" w:lineRule="auto"/>
        <w:ind w:left="0" w:right="0" w:firstLine="57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3、甲方有权依本协议要求丙方所提供的该指定账号内的数据等信息；</w:t>
      </w:r>
    </w:p>
    <w:p w14:paraId="1D23D638">
      <w:pPr>
        <w:keepNext w:val="0"/>
        <w:keepLines w:val="0"/>
        <w:widowControl w:val="0"/>
        <w:suppressLineNumbers w:val="0"/>
        <w:adjustRightInd w:val="0"/>
        <w:snapToGrid w:val="0"/>
        <w:spacing w:before="0" w:beforeAutospacing="0" w:after="0" w:afterAutospacing="0" w:line="360" w:lineRule="auto"/>
        <w:ind w:left="0" w:right="0" w:firstLine="57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4、甲方对于乙、丙双方各自正常的业务操作不予干涉；并有义务对乙方指定账户信息和丙方业务操作内容保密。</w:t>
      </w:r>
    </w:p>
    <w:p w14:paraId="572DCE89">
      <w:pPr>
        <w:keepNext w:val="0"/>
        <w:keepLines w:val="0"/>
        <w:widowControl w:val="0"/>
        <w:numPr>
          <w:ilvl w:val="0"/>
          <w:numId w:val="4"/>
        </w:numPr>
        <w:suppressLineNumbers w:val="0"/>
        <w:adjustRightInd w:val="0"/>
        <w:snapToGrid w:val="0"/>
        <w:spacing w:before="0" w:beforeAutospacing="0" w:after="0" w:afterAutospacing="0" w:line="360" w:lineRule="auto"/>
        <w:ind w:left="1695" w:right="0" w:hanging="112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乙方的权利与义务</w:t>
      </w:r>
    </w:p>
    <w:p w14:paraId="47CE01BA">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1、乙方在丙方开立银行结算账户，享受丙方所提供的优质银行服务；</w:t>
      </w:r>
    </w:p>
    <w:p w14:paraId="7E252A7C">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2、乙方有权要求甲、丙双方对其指定账户信息除监控需要外严格保密；</w:t>
      </w:r>
    </w:p>
    <w:p w14:paraId="101E6F2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3、乙方授权丙方对指定账户代表甲方行使监控权，乙方应依据甲方每次核批工程、监理、设计及各类款项编制详细用款计划表报送甲方和丙方；</w:t>
      </w:r>
    </w:p>
    <w:p w14:paraId="18C2F879">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4、乙方有义务对于甲方所划拨的合同项下资金严格按合同规定用途使用，并在指定账户进行支付结算，在工程合同结算完成前，不得转入乙方其他银行账户。</w:t>
      </w:r>
    </w:p>
    <w:p w14:paraId="6F75F9A6">
      <w:pPr>
        <w:keepNext w:val="0"/>
        <w:keepLines w:val="0"/>
        <w:widowControl w:val="0"/>
        <w:numPr>
          <w:ilvl w:val="0"/>
          <w:numId w:val="4"/>
        </w:numPr>
        <w:suppressLineNumbers w:val="0"/>
        <w:adjustRightInd w:val="0"/>
        <w:snapToGrid w:val="0"/>
        <w:spacing w:before="0" w:beforeAutospacing="0" w:after="0" w:afterAutospacing="0" w:line="360" w:lineRule="auto"/>
        <w:ind w:left="1695" w:right="0" w:hanging="112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丙方的权利与义务</w:t>
      </w:r>
    </w:p>
    <w:p w14:paraId="5E393579">
      <w:pPr>
        <w:keepNext w:val="0"/>
        <w:keepLines w:val="0"/>
        <w:widowControl w:val="0"/>
        <w:suppressLineNumbers w:val="0"/>
        <w:adjustRightInd w:val="0"/>
        <w:snapToGrid w:val="0"/>
        <w:spacing w:before="0" w:beforeAutospacing="0" w:after="0" w:afterAutospacing="0" w:line="360" w:lineRule="auto"/>
        <w:ind w:left="0" w:right="0" w:firstLine="57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1、丙方有权依本协议规定对指定账户代表甲方实施监控；</w:t>
      </w:r>
    </w:p>
    <w:p w14:paraId="68F5806C">
      <w:pPr>
        <w:keepNext w:val="0"/>
        <w:keepLines w:val="0"/>
        <w:widowControl w:val="0"/>
        <w:suppressLineNumbers w:val="0"/>
        <w:adjustRightInd w:val="0"/>
        <w:snapToGrid w:val="0"/>
        <w:spacing w:before="0" w:beforeAutospacing="0" w:after="0" w:afterAutospacing="0" w:line="360" w:lineRule="auto"/>
        <w:ind w:left="0" w:right="0" w:firstLine="57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2、丙方有权针对具体业务根据丙方业务规定进行审核，并保持与甲、乙双方的密切沟通；</w:t>
      </w:r>
    </w:p>
    <w:p w14:paraId="05668D13">
      <w:pPr>
        <w:keepNext w:val="0"/>
        <w:keepLines w:val="0"/>
        <w:widowControl w:val="0"/>
        <w:suppressLineNumbers w:val="0"/>
        <w:adjustRightInd w:val="0"/>
        <w:snapToGrid w:val="0"/>
        <w:spacing w:before="0" w:beforeAutospacing="0" w:after="0" w:afterAutospacing="0" w:line="360" w:lineRule="auto"/>
        <w:ind w:left="0" w:right="0" w:firstLine="57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3、丙方有义务为甲、乙双方提供高质量的银行服务，具体服务内容由甲丙、乙丙双方商定；丙方不能以各种理由压单，造成甲方和乙方不必要的损失。若发生此类现象，乙方即可向甲方投诉。丙方应限期改进服务，逾期仍不能满足服务要求的，市重点项目管理中心有权将该商业银行从资金监管服务的商业银行名单中清除。</w:t>
      </w:r>
    </w:p>
    <w:p w14:paraId="226284D3">
      <w:pPr>
        <w:keepNext w:val="0"/>
        <w:keepLines w:val="0"/>
        <w:widowControl w:val="0"/>
        <w:suppressLineNumbers w:val="0"/>
        <w:adjustRightInd w:val="0"/>
        <w:snapToGrid w:val="0"/>
        <w:spacing w:before="0" w:beforeAutospacing="0" w:after="0" w:afterAutospacing="0" w:line="360" w:lineRule="auto"/>
        <w:ind w:left="0" w:right="0" w:firstLine="57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4、丙方有义务对指定账户信息除甲方监控需要外对外保密；</w:t>
      </w:r>
    </w:p>
    <w:p w14:paraId="6272E568">
      <w:pPr>
        <w:keepNext w:val="0"/>
        <w:keepLines w:val="0"/>
        <w:widowControl w:val="0"/>
        <w:suppressLineNumbers w:val="0"/>
        <w:adjustRightInd w:val="0"/>
        <w:snapToGrid w:val="0"/>
        <w:spacing w:before="0" w:beforeAutospacing="0" w:after="0" w:afterAutospacing="0" w:line="360" w:lineRule="auto"/>
        <w:ind w:left="0" w:right="0" w:firstLine="57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5、丙方应建立乙方序时资金支付备查台账，并由专人负责与经由甲方审核的用款计划核对；按季度将相关收支情况及明细表提交给甲方备查，提交时间为每季度终了后 5 个工作日内；对异常支付（如与合同项目明显无关的支出等）应即时通知甲方；</w:t>
      </w:r>
    </w:p>
    <w:p w14:paraId="4FE10AF7">
      <w:pPr>
        <w:keepNext w:val="0"/>
        <w:keepLines w:val="0"/>
        <w:widowControl w:val="0"/>
        <w:suppressLineNumbers w:val="0"/>
        <w:adjustRightInd w:val="0"/>
        <w:snapToGrid w:val="0"/>
        <w:spacing w:before="0" w:beforeAutospacing="0" w:after="0" w:afterAutospacing="0" w:line="360" w:lineRule="auto"/>
        <w:ind w:left="0" w:right="0" w:firstLine="57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6、丙方有义务对乙方合同项目下工程建设资金的使用是否专款专用进行审核。</w:t>
      </w:r>
    </w:p>
    <w:p w14:paraId="7C4EB4FD">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第三章  争议的解决</w:t>
      </w:r>
    </w:p>
    <w:p w14:paraId="6B3B2A5B">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第四条   甲、乙、丙三方在履行本协议过程中所发生的争议，三方首先应友好协商解决；确因协商不成的，任何一方有权向甲方住所地人民法院提起诉讼。</w:t>
      </w:r>
    </w:p>
    <w:p w14:paraId="0334EC6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F80489A">
      <w:pPr>
        <w:keepNext w:val="0"/>
        <w:keepLines w:val="0"/>
        <w:widowControl w:val="0"/>
        <w:suppressLineNumbers w:val="0"/>
        <w:adjustRightInd w:val="0"/>
        <w:snapToGrid w:val="0"/>
        <w:spacing w:before="0" w:beforeAutospacing="0" w:after="0" w:afterAutospacing="0" w:line="360" w:lineRule="auto"/>
        <w:ind w:left="126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第四章  协议的生效、变更和解除</w:t>
      </w:r>
    </w:p>
    <w:p w14:paraId="1BD626A3">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第五条   本协议在有效期内的履行应以不违反中华人民共和国法律和国家有关主管部门的政策、法规为基本前提；本协议与《广州市重点公共建设项目管理中心建设资金拨付监督管理办法》的规定不一致时，应以《广州市重点公共建设项目管理中心建设资金拨付监督管理办法》中规定为准。</w:t>
      </w:r>
    </w:p>
    <w:p w14:paraId="6B24A025">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第六条   本协议在履行过程中需对协议进行修订、或需解除本协议时，甲、乙、丙任何一方不得单方面执行，均须甲、乙、丙三方协商一致，并达成书面协议。书面协议达成之前，不影响本协议条款效力。</w:t>
      </w:r>
    </w:p>
    <w:p w14:paraId="3FCC54B3">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第七条   本协议自甲、乙、丙三方法定代表人（或授权代理人）签章并加盖公章后生效，有效期至该合同结算完成，办理清算后自行废止。</w:t>
      </w:r>
    </w:p>
    <w:p w14:paraId="08632499">
      <w:pPr>
        <w:keepNext w:val="0"/>
        <w:keepLines w:val="0"/>
        <w:widowControl w:val="0"/>
        <w:suppressLineNumbers w:val="0"/>
        <w:adjustRightInd w:val="0"/>
        <w:snapToGrid w:val="0"/>
        <w:spacing w:before="0" w:beforeAutospacing="0" w:after="0" w:afterAutospacing="0" w:line="360" w:lineRule="auto"/>
        <w:ind w:left="0" w:right="0" w:firstLine="600" w:firstLineChars="2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第八条   本协议正本一式叁份，三方各执壹份，遵照履行。</w:t>
      </w:r>
    </w:p>
    <w:p w14:paraId="3626BDE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044E62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4012D8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7490F73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3089DA5">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甲方：广州市重点公共建设项目管理中心（公章）</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委托代理人：                 （签字）</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乙方：中标赞助企业（公章）</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委托代理人：                  （签字）</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丙方（监管银行）：</w:t>
      </w:r>
      <w:r>
        <w:rPr>
          <w:rFonts w:hint="eastAsia" w:ascii="宋体" w:hAnsi="宋体" w:eastAsia="宋体" w:cs="宋体"/>
          <w:color w:val="auto"/>
          <w:kern w:val="0"/>
          <w:sz w:val="24"/>
          <w:szCs w:val="24"/>
          <w:highlight w:val="none"/>
          <w:lang w:val="en-US" w:eastAsia="zh-CN" w:bidi="ar"/>
        </w:rPr>
        <w:br w:type="textWrapping"/>
      </w:r>
      <w:r>
        <w:rPr>
          <w:rFonts w:hint="eastAsia" w:ascii="宋体" w:hAnsi="宋体" w:eastAsia="宋体" w:cs="宋体"/>
          <w:color w:val="auto"/>
          <w:kern w:val="0"/>
          <w:sz w:val="24"/>
          <w:szCs w:val="24"/>
          <w:highlight w:val="none"/>
          <w:lang w:val="en-US" w:eastAsia="zh-CN" w:bidi="ar"/>
        </w:rPr>
        <w:t>委托代理人：                  （签字）</w:t>
      </w:r>
    </w:p>
    <w:p w14:paraId="540CF94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签约时间和地点：    年   月   日于广东省广州市</w:t>
      </w:r>
    </w:p>
    <w:p w14:paraId="1456C12B">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0"/>
          <w:sz w:val="44"/>
          <w:szCs w:val="44"/>
          <w:highlight w:val="none"/>
        </w:rPr>
      </w:pPr>
      <w:r>
        <w:rPr>
          <w:rFonts w:hint="default" w:ascii="Times New Roman" w:hAnsi="Times New Roman" w:cs="Times New Roman" w:eastAsiaTheme="minorEastAsia"/>
          <w:b/>
          <w:bCs w:val="0"/>
          <w:color w:val="auto"/>
          <w:kern w:val="0"/>
          <w:sz w:val="24"/>
          <w:szCs w:val="24"/>
          <w:highlight w:val="none"/>
          <w:lang w:val="en-US" w:eastAsia="zh-CN" w:bidi="ar"/>
        </w:rPr>
        <w:br w:type="page"/>
      </w:r>
    </w:p>
    <w:p w14:paraId="75FEBDC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授    权    书</w:t>
      </w:r>
    </w:p>
    <w:p w14:paraId="12C67F4B">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30"/>
          <w:szCs w:val="30"/>
          <w:highlight w:val="none"/>
        </w:rPr>
      </w:pPr>
      <w:r>
        <w:rPr>
          <w:rFonts w:hint="eastAsia" w:ascii="宋体" w:hAnsi="宋体" w:eastAsia="宋体" w:cs="宋体"/>
          <w:color w:val="auto"/>
          <w:kern w:val="0"/>
          <w:sz w:val="30"/>
          <w:szCs w:val="30"/>
          <w:highlight w:val="none"/>
          <w:lang w:val="en-US" w:eastAsia="zh-CN" w:bidi="ar"/>
        </w:rPr>
        <w:t xml:space="preserve"> </w:t>
      </w:r>
    </w:p>
    <w:p w14:paraId="01F9DEA2">
      <w:pPr>
        <w:keepNext w:val="0"/>
        <w:keepLines w:val="0"/>
        <w:widowControl w:val="0"/>
        <w:suppressLineNumbers w:val="0"/>
        <w:spacing w:before="0" w:beforeAutospacing="0" w:after="0" w:afterAutospacing="0"/>
        <w:ind w:left="0" w:right="0" w:firstLine="140" w:firstLineChars="50"/>
        <w:jc w:val="both"/>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8"/>
          <w:szCs w:val="28"/>
          <w:highlight w:val="none"/>
          <w:u w:val="single"/>
          <w:lang w:val="en-US" w:eastAsia="zh-CN" w:bidi="ar"/>
        </w:rPr>
        <w:t xml:space="preserve">              </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b/>
          <w:color w:val="auto"/>
          <w:kern w:val="0"/>
          <w:sz w:val="24"/>
          <w:szCs w:val="24"/>
          <w:highlight w:val="none"/>
          <w:lang w:val="en-US" w:eastAsia="zh-CN" w:bidi="ar"/>
        </w:rPr>
        <w:t>银行</w:t>
      </w:r>
    </w:p>
    <w:p w14:paraId="554F877A">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F2B3E7D">
      <w:pPr>
        <w:keepNext w:val="0"/>
        <w:keepLines w:val="0"/>
        <w:widowControl w:val="0"/>
        <w:suppressLineNumbers w:val="0"/>
        <w:spacing w:before="0" w:beforeAutospacing="0" w:after="0" w:afterAutospacing="0" w:line="360" w:lineRule="auto"/>
        <w:ind w:left="141" w:leftChars="67" w:right="0"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我公司承造广州市重点公共建设项目管理中心（以下简称市重点项目管理中心）的</w:t>
      </w:r>
      <w:r>
        <w:rPr>
          <w:rFonts w:hint="eastAsia" w:ascii="宋体" w:hAnsi="宋体" w:eastAsia="宋体" w:cs="宋体"/>
          <w:color w:val="auto"/>
          <w:kern w:val="0"/>
          <w:sz w:val="24"/>
          <w:szCs w:val="24"/>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color w:val="auto"/>
          <w:kern w:val="0"/>
          <w:sz w:val="24"/>
          <w:szCs w:val="24"/>
          <w:highlight w:val="none"/>
          <w:lang w:val="en-US" w:eastAsia="zh-CN" w:bidi="ar"/>
        </w:rPr>
        <w:t>工程项目，根据市重点项目管理中心的有关项目建设资金的相关管理规定，需在贵行开立该项目的专用帐户。为更好地履行合同，推进该项目的工程进度能按期保质完成，实现建设资金专款专用的目的，现授权贵行可将我司账户往来结算记录及对账单等资料仅供市重点项目管理中心查阅。</w:t>
      </w:r>
    </w:p>
    <w:p w14:paraId="2AB2B7D0">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特此授权。</w:t>
      </w:r>
    </w:p>
    <w:p w14:paraId="60436BC8">
      <w:pPr>
        <w:keepNext w:val="0"/>
        <w:keepLines w:val="0"/>
        <w:widowControl w:val="0"/>
        <w:suppressLineNumbers w:val="0"/>
        <w:spacing w:before="0" w:beforeAutospacing="0" w:after="0" w:afterAutospacing="0"/>
        <w:ind w:left="0" w:right="0" w:firstLine="43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09B4A29">
      <w:pPr>
        <w:keepNext w:val="0"/>
        <w:keepLines w:val="0"/>
        <w:widowControl w:val="0"/>
        <w:suppressLineNumbers w:val="0"/>
        <w:spacing w:before="0" w:beforeAutospacing="0" w:after="0" w:afterAutospacing="0"/>
        <w:ind w:left="0" w:right="0" w:firstLine="43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152C652C">
      <w:pPr>
        <w:keepNext w:val="0"/>
        <w:keepLines w:val="0"/>
        <w:widowControl w:val="0"/>
        <w:suppressLineNumbers w:val="0"/>
        <w:spacing w:before="0" w:beforeAutospacing="0" w:after="0" w:afterAutospacing="0"/>
        <w:ind w:left="0" w:right="0" w:firstLine="43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10903290">
      <w:pPr>
        <w:keepNext w:val="0"/>
        <w:keepLines w:val="0"/>
        <w:widowControl w:val="0"/>
        <w:suppressLineNumbers w:val="0"/>
        <w:spacing w:before="0" w:beforeAutospacing="0" w:after="0" w:afterAutospacing="0"/>
        <w:ind w:left="0" w:right="0" w:firstLine="3492" w:firstLineChars="145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法人代表签名：</w:t>
      </w:r>
    </w:p>
    <w:p w14:paraId="47BCE117">
      <w:pPr>
        <w:keepNext w:val="0"/>
        <w:keepLines w:val="0"/>
        <w:widowControl w:val="0"/>
        <w:suppressLineNumbers w:val="0"/>
        <w:spacing w:before="0" w:beforeAutospacing="0" w:after="0" w:afterAutospacing="0"/>
        <w:ind w:left="0" w:right="0" w:firstLine="43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35089CF9">
      <w:pPr>
        <w:keepNext w:val="0"/>
        <w:keepLines w:val="0"/>
        <w:widowControl w:val="0"/>
        <w:suppressLineNumbers w:val="0"/>
        <w:spacing w:before="0" w:beforeAutospacing="0" w:after="0" w:afterAutospacing="0"/>
        <w:ind w:left="0" w:right="0" w:firstLine="3600" w:firstLineChars="15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企业公章：</w:t>
      </w:r>
    </w:p>
    <w:p w14:paraId="17C57B20">
      <w:pPr>
        <w:keepNext w:val="0"/>
        <w:keepLines w:val="0"/>
        <w:widowControl w:val="0"/>
        <w:suppressLineNumbers w:val="0"/>
        <w:spacing w:before="0" w:beforeAutospacing="0" w:after="0" w:afterAutospacing="0"/>
        <w:ind w:left="0" w:right="0" w:firstLine="43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489E385">
      <w:pPr>
        <w:keepNext w:val="0"/>
        <w:keepLines w:val="0"/>
        <w:widowControl w:val="0"/>
        <w:suppressLineNumbers w:val="0"/>
        <w:spacing w:before="0" w:beforeAutospacing="0" w:after="0" w:afterAutospacing="0"/>
        <w:ind w:left="0" w:right="0" w:firstLine="43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日期：</w:t>
      </w:r>
    </w:p>
    <w:p w14:paraId="5B9E784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6A5A7376">
      <w:pPr>
        <w:pStyle w:val="3"/>
        <w:keepNext w:val="0"/>
        <w:keepLines w:val="0"/>
        <w:widowControl w:val="0"/>
        <w:suppressLineNumbers w:val="0"/>
        <w:adjustRightInd w:val="0"/>
        <w:snapToGrid w:val="0"/>
        <w:spacing w:before="0" w:beforeAutospacing="1" w:after="0" w:afterAutospacing="0" w:line="360" w:lineRule="auto"/>
        <w:ind w:left="0" w:right="0" w:firstLine="0"/>
        <w:jc w:val="both"/>
        <w:rPr>
          <w:rFonts w:hint="eastAsia" w:ascii="宋体" w:hAnsi="宋体" w:eastAsia="宋体" w:cs="宋体"/>
          <w:color w:val="auto"/>
          <w:kern w:val="0"/>
          <w:sz w:val="24"/>
          <w:szCs w:val="24"/>
          <w:highlight w:val="none"/>
        </w:rPr>
      </w:pPr>
      <w:r>
        <w:rPr>
          <w:rFonts w:hint="default" w:ascii="Times New Roman" w:hAnsi="Times New Roman" w:cs="Times New Roman"/>
          <w:color w:val="auto"/>
          <w:kern w:val="0"/>
          <w:sz w:val="21"/>
          <w:szCs w:val="21"/>
          <w:highlight w:val="none"/>
          <w:u w:val="single"/>
          <w:lang w:val="en-US" w:eastAsia="zh-CN" w:bidi="ar"/>
        </w:rPr>
        <w:br w:type="page"/>
      </w:r>
      <w:r>
        <w:rPr>
          <w:rFonts w:hint="eastAsia" w:ascii="宋体" w:hAnsi="宋体" w:eastAsia="宋体" w:cs="宋体"/>
          <w:color w:val="auto"/>
          <w:kern w:val="0"/>
          <w:sz w:val="24"/>
          <w:szCs w:val="24"/>
          <w:highlight w:val="none"/>
          <w:lang w:val="en-US" w:eastAsia="zh-CN" w:bidi="ar"/>
        </w:rPr>
        <w:t>附件11：</w:t>
      </w:r>
    </w:p>
    <w:p w14:paraId="192C72DD">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bidi="ar"/>
        </w:rPr>
        <w:t>广州市重点公共建设项目管理中心</w:t>
      </w:r>
    </w:p>
    <w:p w14:paraId="3748F619">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bidi="ar"/>
        </w:rPr>
        <w:t>施工单位安全生产管理目标责任书</w:t>
      </w:r>
    </w:p>
    <w:p w14:paraId="1BA66950">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为保证广州市重点公共建设项目管理中心（以下简称“市重点项目管理中心”）向广州市人民政府承诺的安全责任目标的实现，按照市重点项目管理中心与市政府签订的《广州市安全生产责任书》关于建立安全生产目标责任考核机制，必须与施工单位签订安全生产责任书的要求，特签订本责任书。</w:t>
      </w:r>
    </w:p>
    <w:p w14:paraId="4057AD30">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本责任书由施工单位法定代表人向市重点项目管理中心主任签订。</w:t>
      </w:r>
    </w:p>
    <w:p w14:paraId="4BB5189A">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一、责任目标</w:t>
      </w:r>
    </w:p>
    <w:p w14:paraId="04826E70">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目标一：事故隐患排查治理覆盖率100%，一般事故隐患整改率100%，重大事故隐患挂牌督办率100%、整改率100%；安全生产非法违法行为举报投诉查办率达到100%。杜绝发生一般事故等级及以上的伤亡事故且工伤责任事故死亡人数为零。</w:t>
      </w:r>
    </w:p>
    <w:p w14:paraId="4F983861">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目标二：确保</w:t>
      </w:r>
    </w:p>
    <w:p w14:paraId="09E55DA9">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0"/>
          <w:sz w:val="24"/>
          <w:szCs w:val="24"/>
          <w:highlight w:val="none"/>
          <w:lang w:val="en-US" w:eastAsia="zh-CN" w:bidi="ar"/>
        </w:rPr>
        <w:t>☑</w:t>
      </w:r>
      <w:r>
        <w:rPr>
          <w:rFonts w:hint="default" w:ascii="宋体" w:hAnsi="宋体" w:eastAsia="宋体" w:cs="宋体"/>
          <w:color w:val="auto"/>
          <w:kern w:val="2"/>
          <w:sz w:val="21"/>
          <w:szCs w:val="21"/>
          <w:highlight w:val="none"/>
          <w:u w:val="single"/>
          <w:lang w:eastAsia="zh-CN" w:bidi="ar"/>
        </w:rPr>
        <w:t>无条件配合施工总承包单位确保本工程整体达到安全文明目标</w:t>
      </w:r>
      <w:r>
        <w:rPr>
          <w:rFonts w:hint="eastAsia" w:ascii="宋体" w:hAnsi="宋体" w:eastAsia="宋体" w:cs="宋体"/>
          <w:color w:val="auto"/>
          <w:kern w:val="2"/>
          <w:sz w:val="21"/>
          <w:szCs w:val="21"/>
          <w:highlight w:val="none"/>
          <w:u w:val="single"/>
          <w:lang w:val="en-US" w:eastAsia="zh-CN" w:bidi="ar"/>
        </w:rPr>
        <w:t>。</w:t>
      </w:r>
    </w:p>
    <w:p w14:paraId="71431019">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目标三：确保及时支付工人工资，不出现劳资纠纷或群体维稳事件。</w:t>
      </w:r>
    </w:p>
    <w:p w14:paraId="02D571C0">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二、责任单位和责任人</w:t>
      </w:r>
    </w:p>
    <w:p w14:paraId="2287208F">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施工单位法定代表人依法对本单位安全生产工作全面负责，项目经理对工程项目的安全施工负责。</w:t>
      </w:r>
    </w:p>
    <w:p w14:paraId="09D0E418">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三、责任事项</w:t>
      </w:r>
    </w:p>
    <w:p w14:paraId="1C677589">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（一）施工单位是安全生产的主体责任单位之一，要切实履行全国人大及其常委会、国务院、住建部、广东省、广州市等颁布的法律、法规、部门规章、地方性法规规定之安全生产义务。</w:t>
      </w:r>
    </w:p>
    <w:p w14:paraId="2F817E4D">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施工单位要认真履行《第十五届全运会广东奥林匹克体育中心升级改造项目、第十五届全运会广东省人民体育场改造项目体育工艺（设备类）采购及相关服务合同》，认真做到安全事故处理“四不放过”（事故原因未查清不放过；事故责任人未受到处理不放过；事故责任人和广大群众没有受到教育不放过；事故没有制订切实可行的整改措施不放过）；认真做到重大危险源、重大隐患要有预测、有预警、有预案；认真做到要生产就必须安全，不安全就不能生产。</w:t>
      </w:r>
    </w:p>
    <w:p w14:paraId="3D9F5877">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四、落实责任的组织架构和措施</w:t>
      </w:r>
    </w:p>
    <w:p w14:paraId="6DD67764">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（一）施工单位要设立在法定代表人指导下，以项目经理为主的安全生产管理组织架构，保证安全生产责任制度的落实。</w:t>
      </w:r>
    </w:p>
    <w:p w14:paraId="1E6E3244">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（二）施工单位要按合同约定确保项目经理和专职安全管理人员到岗履职，并由单位法定代表人与其签署安全责任授权书。</w:t>
      </w:r>
    </w:p>
    <w:p w14:paraId="2E319159">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（三）施工单位要确保项目经理按照《住房城乡建设部关于印发&lt;建筑施工项目经理质量安全责任十项规定（试行）&gt;的通知》（建质〔2014〕123号）的要求落实安全责任。</w:t>
      </w:r>
    </w:p>
    <w:p w14:paraId="2D6D88D3">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施工单位要按《关于印发&lt;广东省建设厅建筑工程安全防护、文明施工措施费用管理办法&gt;的通知》（粤建管字〔2007〕39号）、《关于印发广州市建筑工程安全生产措施费管理办法的通知》（穗建筑［2003］106号）的要求切实将措施费足额用于安全防护和安全措施，不得挪作他用。</w:t>
      </w:r>
    </w:p>
    <w:p w14:paraId="7054869C">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（五）施工单位必须按《关于印发广东省建设领域工人工资支付分账管理暂行办法的通知》（粤人社规[2015]3号）执行，切实将工人工资支付专用账户的资金用于发放工人工资，不得挪作他用。</w:t>
      </w:r>
    </w:p>
    <w:p w14:paraId="5ECB2CC9">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五、责任追究</w:t>
      </w:r>
    </w:p>
    <w:p w14:paraId="555D78B3">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（一）如工程未能实现承诺的“责任目标”时，当属严重失责行为，按照以下违约处理：</w:t>
      </w:r>
    </w:p>
    <w:p w14:paraId="5131330E">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1、“目标一”未能实现时，除按国家、省、市有关规定处罚外，另根据每宗事故等级不同，按合同对单位处以相应违约金。</w:t>
      </w:r>
    </w:p>
    <w:p w14:paraId="2F651C02">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0"/>
          <w:sz w:val="24"/>
          <w:szCs w:val="24"/>
          <w:highlight w:val="none"/>
          <w:lang w:val="en-US" w:eastAsia="zh-CN" w:bidi="ar"/>
        </w:rPr>
        <w:t>☑</w:t>
      </w:r>
      <w:r>
        <w:rPr>
          <w:rFonts w:hint="eastAsia" w:ascii="宋体" w:hAnsi="宋体" w:eastAsia="宋体" w:cs="宋体"/>
          <w:color w:val="auto"/>
          <w:kern w:val="2"/>
          <w:sz w:val="21"/>
          <w:szCs w:val="21"/>
          <w:highlight w:val="none"/>
          <w:lang w:val="en-US" w:eastAsia="zh-CN" w:bidi="ar"/>
        </w:rPr>
        <w:t>2、“目标二”未能实现时，参照合同约定的“严重违约”条款对单位处以违约金。</w:t>
      </w:r>
    </w:p>
    <w:p w14:paraId="51811B4C">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（二）在责任期内，市重点项目管理中心检查发现有违本书“三、责任事项”中约定的法律法规、合同、制度的规定时，属失责行为，按照相应条款进行处罚。</w:t>
      </w:r>
    </w:p>
    <w:p w14:paraId="5BF65A66">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六、其他事项</w:t>
      </w:r>
    </w:p>
    <w:p w14:paraId="7E8C231E">
      <w:pPr>
        <w:keepNext w:val="0"/>
        <w:keepLines w:val="0"/>
        <w:widowControl w:val="0"/>
        <w:numPr>
          <w:ilvl w:val="0"/>
          <w:numId w:val="5"/>
        </w:numPr>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市重点项目管理中心将全力支持与促成“责任目标”的实现，与此同时，将严格督促施工单位承担安全责任，发现失责时，按本责任书的条文予以处罚。</w:t>
      </w:r>
    </w:p>
    <w:p w14:paraId="36D0B79F">
      <w:pPr>
        <w:keepNext w:val="0"/>
        <w:keepLines w:val="0"/>
        <w:widowControl w:val="0"/>
        <w:numPr>
          <w:ilvl w:val="0"/>
          <w:numId w:val="5"/>
        </w:numPr>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本责任书之责任期限由签订之日起至该项目取得《建设工程施工安全评价书》日期为止。</w:t>
      </w:r>
    </w:p>
    <w:p w14:paraId="7876D6A6">
      <w:pPr>
        <w:keepNext w:val="0"/>
        <w:keepLines w:val="0"/>
        <w:widowControl w:val="0"/>
        <w:numPr>
          <w:ilvl w:val="0"/>
          <w:numId w:val="5"/>
        </w:numPr>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本责任书作为合同附件一式两份，签订方各执一份。如签订人离任，安全责任则由继任人承担。</w:t>
      </w:r>
    </w:p>
    <w:p w14:paraId="6C5E6AF7">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A786A25">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spacing w:val="-20"/>
          <w:kern w:val="2"/>
          <w:sz w:val="21"/>
          <w:szCs w:val="21"/>
          <w:highlight w:val="none"/>
        </w:rPr>
      </w:pPr>
      <w:r>
        <w:rPr>
          <w:rFonts w:hint="eastAsia" w:ascii="宋体" w:hAnsi="宋体" w:eastAsia="宋体" w:cs="宋体"/>
          <w:b/>
          <w:bCs w:val="0"/>
          <w:color w:val="auto"/>
          <w:spacing w:val="-20"/>
          <w:kern w:val="2"/>
          <w:sz w:val="21"/>
          <w:szCs w:val="21"/>
          <w:highlight w:val="none"/>
          <w:lang w:val="en-US" w:eastAsia="zh-CN" w:bidi="ar"/>
        </w:rPr>
        <w:t>广州市重点公共建设项目管理中心（章）</w:t>
      </w:r>
      <w:r>
        <w:rPr>
          <w:rFonts w:hint="eastAsia" w:ascii="宋体" w:hAnsi="宋体" w:eastAsia="宋体" w:cs="宋体"/>
          <w:color w:val="auto"/>
          <w:spacing w:val="-20"/>
          <w:kern w:val="2"/>
          <w:sz w:val="21"/>
          <w:szCs w:val="21"/>
          <w:highlight w:val="none"/>
          <w:lang w:val="en-US" w:eastAsia="zh-CN" w:bidi="ar"/>
        </w:rPr>
        <w:t xml:space="preserve">                     </w:t>
      </w:r>
      <w:r>
        <w:rPr>
          <w:rFonts w:hint="eastAsia" w:ascii="宋体" w:hAnsi="宋体" w:eastAsia="宋体" w:cs="宋体"/>
          <w:b/>
          <w:color w:val="auto"/>
          <w:spacing w:val="-20"/>
          <w:kern w:val="2"/>
          <w:sz w:val="21"/>
          <w:szCs w:val="21"/>
          <w:highlight w:val="none"/>
          <w:lang w:val="en-US" w:eastAsia="zh-CN" w:bidi="ar"/>
        </w:rPr>
        <w:t xml:space="preserve">  中标赞助企业</w:t>
      </w:r>
      <w:r>
        <w:rPr>
          <w:rFonts w:hint="eastAsia" w:ascii="宋体" w:hAnsi="宋体" w:eastAsia="宋体" w:cs="宋体"/>
          <w:b/>
          <w:color w:val="auto"/>
          <w:spacing w:val="-20"/>
          <w:kern w:val="0"/>
          <w:sz w:val="21"/>
          <w:szCs w:val="21"/>
          <w:highlight w:val="none"/>
          <w:lang w:val="en-US" w:eastAsia="zh-CN" w:bidi="ar"/>
        </w:rPr>
        <w:t>（章）</w:t>
      </w:r>
    </w:p>
    <w:p w14:paraId="7448D4C0">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13D0C4C">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spacing w:val="-20"/>
          <w:kern w:val="2"/>
          <w:sz w:val="21"/>
          <w:szCs w:val="21"/>
          <w:highlight w:val="none"/>
        </w:rPr>
      </w:pPr>
      <w:r>
        <w:rPr>
          <w:rFonts w:hint="eastAsia" w:ascii="宋体" w:hAnsi="宋体" w:eastAsia="宋体" w:cs="宋体"/>
          <w:color w:val="auto"/>
          <w:spacing w:val="-20"/>
          <w:kern w:val="2"/>
          <w:sz w:val="21"/>
          <w:szCs w:val="21"/>
          <w:highlight w:val="none"/>
          <w:lang w:val="en-US" w:eastAsia="zh-CN" w:bidi="ar"/>
        </w:rPr>
        <w:t xml:space="preserve">主任（安全责任人）签名：              </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spacing w:val="-20"/>
          <w:kern w:val="2"/>
          <w:sz w:val="21"/>
          <w:szCs w:val="21"/>
          <w:highlight w:val="none"/>
          <w:lang w:val="en-US" w:eastAsia="zh-CN" w:bidi="ar"/>
        </w:rPr>
        <w:t>法定代表人（安全责任人）签名：</w:t>
      </w:r>
    </w:p>
    <w:p w14:paraId="4770A761">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spacing w:val="-20"/>
          <w:kern w:val="2"/>
          <w:sz w:val="21"/>
          <w:szCs w:val="21"/>
          <w:highlight w:val="none"/>
          <w:lang w:val="en-US" w:eastAsia="zh-CN" w:bidi="ar"/>
        </w:rPr>
        <w:t xml:space="preserve">                             </w:t>
      </w:r>
    </w:p>
    <w:p w14:paraId="1DBB2389">
      <w:pPr>
        <w:keepNext w:val="0"/>
        <w:keepLines w:val="0"/>
        <w:widowControl w:val="0"/>
        <w:suppressLineNumbers w:val="0"/>
        <w:spacing w:before="0" w:beforeAutospacing="0" w:after="0" w:afterAutospacing="0" w:line="520" w:lineRule="exact"/>
        <w:ind w:left="0" w:right="0"/>
        <w:jc w:val="both"/>
        <w:rPr>
          <w:rFonts w:hint="default" w:ascii="Times New Roman" w:hAnsi="Times New Roman" w:cs="Times New Roman"/>
          <w:color w:val="auto"/>
          <w:kern w:val="2"/>
          <w:sz w:val="28"/>
          <w:szCs w:val="28"/>
          <w:highlight w:val="none"/>
        </w:rPr>
      </w:pPr>
      <w:r>
        <w:rPr>
          <w:rFonts w:hint="eastAsia" w:ascii="宋体" w:hAnsi="宋体" w:eastAsia="宋体" w:cs="宋体"/>
          <w:color w:val="auto"/>
          <w:kern w:val="2"/>
          <w:sz w:val="21"/>
          <w:szCs w:val="21"/>
          <w:highlight w:val="none"/>
          <w:lang w:val="en-US" w:eastAsia="zh-CN" w:bidi="ar"/>
        </w:rPr>
        <w:t>日期：    年  月  日                        日期：    年  月  日</w:t>
      </w:r>
    </w:p>
    <w:p w14:paraId="159F5315">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宋体"/>
          <w:color w:val="auto"/>
          <w:kern w:val="0"/>
          <w:sz w:val="24"/>
          <w:szCs w:val="24"/>
          <w:highlight w:val="none"/>
        </w:rPr>
      </w:pPr>
      <w:r>
        <w:rPr>
          <w:rFonts w:hint="default" w:ascii="Times New Roman" w:hAnsi="Times New Roman" w:cs="Times New Roman" w:eastAsiaTheme="minorEastAsia"/>
          <w:color w:val="auto"/>
          <w:kern w:val="2"/>
          <w:sz w:val="28"/>
          <w:szCs w:val="28"/>
          <w:highlight w:val="none"/>
          <w:lang w:val="en-US" w:eastAsia="zh-CN" w:bidi="ar"/>
        </w:rPr>
        <w:br w:type="page"/>
      </w:r>
      <w:r>
        <w:rPr>
          <w:rFonts w:hint="eastAsia" w:ascii="宋体" w:hAnsi="宋体" w:eastAsia="宋体" w:cs="宋体"/>
          <w:color w:val="auto"/>
          <w:kern w:val="0"/>
          <w:sz w:val="24"/>
          <w:szCs w:val="24"/>
          <w:highlight w:val="none"/>
          <w:lang w:val="en-US" w:eastAsia="zh-CN" w:bidi="ar"/>
        </w:rPr>
        <w:t>附件12：</w:t>
      </w:r>
    </w:p>
    <w:p w14:paraId="3BA7AD56">
      <w:pPr>
        <w:keepNext w:val="0"/>
        <w:keepLines w:val="0"/>
        <w:widowControl w:val="0"/>
        <w:suppressLineNumbers w:val="0"/>
        <w:adjustRightInd w:val="0"/>
        <w:snapToGrid w:val="0"/>
        <w:spacing w:before="0" w:beforeAutospacing="0" w:after="0" w:afterAutospacing="0" w:line="360" w:lineRule="auto"/>
        <w:ind w:left="0" w:right="0"/>
        <w:jc w:val="center"/>
        <w:outlineLvl w:val="1"/>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lang w:val="en-US" w:eastAsia="zh-CN" w:bidi="ar"/>
        </w:rPr>
        <w:t>承包人法定代表人、本工程项目经理（项目负责人）的身份证、职务、职称及通信联系方式</w:t>
      </w:r>
    </w:p>
    <w:tbl>
      <w:tblPr>
        <w:tblStyle w:val="4"/>
        <w:tblW w:w="82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814"/>
        <w:gridCol w:w="1443"/>
        <w:gridCol w:w="1444"/>
        <w:gridCol w:w="1444"/>
        <w:gridCol w:w="2108"/>
      </w:tblGrid>
      <w:tr w14:paraId="3A213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11" w:hRule="atLeast"/>
          <w:jc w:val="center"/>
        </w:trPr>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DA924">
            <w:pPr>
              <w:pStyle w:val="3"/>
              <w:keepNext w:val="0"/>
              <w:keepLines w:val="0"/>
              <w:widowControl w:val="0"/>
              <w:suppressLineNumbers w:val="0"/>
              <w:adjustRightInd w:val="0"/>
              <w:snapToGrid w:val="0"/>
              <w:spacing w:before="0" w:beforeAutospacing="1" w:after="0" w:afterAutospacing="0"/>
              <w:ind w:left="0" w:right="0" w:firstLine="0"/>
              <w:jc w:val="both"/>
              <w:rPr>
                <w:rFonts w:hint="eastAsia" w:ascii="宋体" w:hAnsi="宋体" w:eastAsia="宋体" w:cs="宋体"/>
                <w:bCs/>
                <w:color w:val="auto"/>
                <w:kern w:val="0"/>
                <w:sz w:val="24"/>
                <w:szCs w:val="24"/>
                <w:highlight w:val="none"/>
              </w:rPr>
            </w:pP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F401A">
            <w:pPr>
              <w:pStyle w:val="3"/>
              <w:keepNext w:val="0"/>
              <w:keepLines w:val="0"/>
              <w:widowControl w:val="0"/>
              <w:suppressLineNumbers w:val="0"/>
              <w:adjustRightInd w:val="0"/>
              <w:snapToGrid w:val="0"/>
              <w:spacing w:before="0" w:beforeAutospacing="1" w:after="0" w:afterAutospacing="0"/>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姓名</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2E8F0">
            <w:pPr>
              <w:pStyle w:val="3"/>
              <w:keepNext w:val="0"/>
              <w:keepLines w:val="0"/>
              <w:widowControl w:val="0"/>
              <w:suppressLineNumbers w:val="0"/>
              <w:adjustRightInd w:val="0"/>
              <w:snapToGrid w:val="0"/>
              <w:spacing w:before="0" w:beforeAutospacing="1" w:after="0" w:afterAutospacing="0"/>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职务</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B4559">
            <w:pPr>
              <w:pStyle w:val="3"/>
              <w:keepNext w:val="0"/>
              <w:keepLines w:val="0"/>
              <w:widowControl w:val="0"/>
              <w:suppressLineNumbers w:val="0"/>
              <w:adjustRightInd w:val="0"/>
              <w:snapToGrid w:val="0"/>
              <w:spacing w:before="0" w:beforeAutospacing="1" w:after="0" w:afterAutospacing="0"/>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职称</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8450">
            <w:pPr>
              <w:pStyle w:val="3"/>
              <w:keepNext w:val="0"/>
              <w:keepLines w:val="0"/>
              <w:widowControl w:val="0"/>
              <w:suppressLineNumbers w:val="0"/>
              <w:adjustRightInd w:val="0"/>
              <w:snapToGrid w:val="0"/>
              <w:spacing w:before="0" w:beforeAutospacing="1" w:after="0" w:afterAutospacing="0"/>
              <w:ind w:left="0" w:right="0" w:firstLine="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通信联系方式</w:t>
            </w:r>
          </w:p>
        </w:tc>
      </w:tr>
      <w:tr w14:paraId="6F08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jc w:val="center"/>
        </w:trPr>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E03FB">
            <w:pPr>
              <w:pStyle w:val="3"/>
              <w:keepNext w:val="0"/>
              <w:keepLines w:val="0"/>
              <w:widowControl w:val="0"/>
              <w:suppressLineNumbers w:val="0"/>
              <w:adjustRightInd w:val="0"/>
              <w:snapToGrid w:val="0"/>
              <w:spacing w:before="0" w:beforeAutospacing="1" w:after="0" w:afterAutospacing="0"/>
              <w:ind w:left="0" w:right="0" w:firstLine="0"/>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法定代表人</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76BA">
            <w:pPr>
              <w:pStyle w:val="3"/>
              <w:keepNext w:val="0"/>
              <w:keepLines w:val="0"/>
              <w:widowControl w:val="0"/>
              <w:suppressLineNumbers w:val="0"/>
              <w:adjustRightInd w:val="0"/>
              <w:snapToGrid w:val="0"/>
              <w:spacing w:before="0" w:beforeAutospacing="1" w:after="0" w:afterAutospacing="0"/>
              <w:ind w:left="0" w:right="0" w:firstLine="0"/>
              <w:jc w:val="center"/>
              <w:rPr>
                <w:rFonts w:hint="eastAsia" w:ascii="宋体" w:hAnsi="宋体" w:eastAsia="宋体" w:cs="宋体"/>
                <w:color w:val="auto"/>
                <w:kern w:val="0"/>
                <w:sz w:val="24"/>
                <w:szCs w:val="24"/>
                <w:highlight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51865">
            <w:pPr>
              <w:pStyle w:val="3"/>
              <w:keepNext w:val="0"/>
              <w:keepLines w:val="0"/>
              <w:widowControl w:val="0"/>
              <w:suppressLineNumbers w:val="0"/>
              <w:adjustRightInd w:val="0"/>
              <w:snapToGrid w:val="0"/>
              <w:spacing w:before="0" w:beforeAutospacing="1" w:after="0" w:afterAutospacing="0"/>
              <w:ind w:left="0" w:right="0" w:firstLine="0"/>
              <w:jc w:val="center"/>
              <w:rPr>
                <w:rFonts w:hint="eastAsia" w:ascii="宋体" w:hAnsi="宋体" w:eastAsia="宋体" w:cs="宋体"/>
                <w:color w:val="auto"/>
                <w:kern w:val="0"/>
                <w:sz w:val="24"/>
                <w:szCs w:val="24"/>
                <w:highlight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828E8">
            <w:pPr>
              <w:pStyle w:val="3"/>
              <w:keepNext w:val="0"/>
              <w:keepLines w:val="0"/>
              <w:widowControl w:val="0"/>
              <w:suppressLineNumbers w:val="0"/>
              <w:adjustRightInd w:val="0"/>
              <w:snapToGrid w:val="0"/>
              <w:spacing w:before="0" w:beforeAutospacing="1" w:after="0" w:afterAutospacing="0"/>
              <w:ind w:left="0" w:right="0" w:firstLine="0"/>
              <w:jc w:val="center"/>
              <w:rPr>
                <w:rFonts w:hint="eastAsia" w:ascii="宋体" w:hAnsi="宋体" w:eastAsia="宋体" w:cs="宋体"/>
                <w:color w:val="auto"/>
                <w:kern w:val="0"/>
                <w:sz w:val="24"/>
                <w:szCs w:val="24"/>
                <w:highlight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4B5A2">
            <w:pPr>
              <w:pStyle w:val="3"/>
              <w:keepNext w:val="0"/>
              <w:keepLines w:val="0"/>
              <w:widowControl w:val="0"/>
              <w:suppressLineNumbers w:val="0"/>
              <w:adjustRightInd w:val="0"/>
              <w:snapToGrid w:val="0"/>
              <w:spacing w:before="0" w:beforeAutospacing="1" w:after="0" w:afterAutospacing="0"/>
              <w:ind w:left="0" w:right="0" w:firstLine="0"/>
              <w:jc w:val="center"/>
              <w:rPr>
                <w:rFonts w:hint="eastAsia" w:ascii="宋体" w:hAnsi="宋体" w:eastAsia="宋体" w:cs="宋体"/>
                <w:color w:val="auto"/>
                <w:kern w:val="0"/>
                <w:sz w:val="24"/>
                <w:szCs w:val="24"/>
                <w:highlight w:val="none"/>
              </w:rPr>
            </w:pPr>
          </w:p>
        </w:tc>
      </w:tr>
      <w:tr w14:paraId="39C82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jc w:val="center"/>
        </w:trPr>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5501">
            <w:pPr>
              <w:pStyle w:val="3"/>
              <w:keepNext w:val="0"/>
              <w:keepLines w:val="0"/>
              <w:widowControl w:val="0"/>
              <w:suppressLineNumbers w:val="0"/>
              <w:adjustRightInd w:val="0"/>
              <w:snapToGrid w:val="0"/>
              <w:spacing w:before="0" w:beforeAutospacing="1" w:after="0" w:afterAutospacing="0"/>
              <w:ind w:left="0" w:right="0" w:firstLine="0"/>
              <w:jc w:val="both"/>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项目经理（项目负责人）</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5149F">
            <w:pPr>
              <w:pStyle w:val="3"/>
              <w:keepNext w:val="0"/>
              <w:keepLines w:val="0"/>
              <w:widowControl w:val="0"/>
              <w:suppressLineNumbers w:val="0"/>
              <w:adjustRightInd w:val="0"/>
              <w:snapToGrid w:val="0"/>
              <w:spacing w:before="0" w:beforeAutospacing="1" w:after="0" w:afterAutospacing="0"/>
              <w:ind w:left="0" w:right="0" w:firstLine="0"/>
              <w:jc w:val="center"/>
              <w:rPr>
                <w:rFonts w:hint="eastAsia" w:ascii="宋体" w:hAnsi="宋体" w:eastAsia="宋体" w:cs="宋体"/>
                <w:color w:val="auto"/>
                <w:kern w:val="0"/>
                <w:sz w:val="24"/>
                <w:szCs w:val="24"/>
                <w:highlight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7BDB">
            <w:pPr>
              <w:pStyle w:val="3"/>
              <w:keepNext w:val="0"/>
              <w:keepLines w:val="0"/>
              <w:widowControl w:val="0"/>
              <w:suppressLineNumbers w:val="0"/>
              <w:adjustRightInd w:val="0"/>
              <w:snapToGrid w:val="0"/>
              <w:spacing w:before="0" w:beforeAutospacing="1" w:after="0" w:afterAutospacing="0"/>
              <w:ind w:left="0" w:right="0" w:firstLine="0"/>
              <w:jc w:val="center"/>
              <w:rPr>
                <w:rFonts w:hint="eastAsia" w:ascii="宋体" w:hAnsi="宋体" w:eastAsia="宋体" w:cs="宋体"/>
                <w:color w:val="auto"/>
                <w:kern w:val="0"/>
                <w:sz w:val="24"/>
                <w:szCs w:val="24"/>
                <w:highlight w:val="none"/>
              </w:rPr>
            </w:pP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A1599">
            <w:pPr>
              <w:pStyle w:val="3"/>
              <w:keepNext w:val="0"/>
              <w:keepLines w:val="0"/>
              <w:widowControl w:val="0"/>
              <w:suppressLineNumbers w:val="0"/>
              <w:adjustRightInd w:val="0"/>
              <w:snapToGrid w:val="0"/>
              <w:spacing w:before="0" w:beforeAutospacing="1" w:after="0" w:afterAutospacing="0"/>
              <w:ind w:left="0" w:right="0" w:firstLine="0"/>
              <w:jc w:val="center"/>
              <w:rPr>
                <w:rFonts w:hint="eastAsia" w:ascii="宋体" w:hAnsi="宋体" w:eastAsia="宋体" w:cs="宋体"/>
                <w:color w:val="auto"/>
                <w:kern w:val="0"/>
                <w:sz w:val="24"/>
                <w:szCs w:val="24"/>
                <w:highlight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2597">
            <w:pPr>
              <w:pStyle w:val="3"/>
              <w:keepNext w:val="0"/>
              <w:keepLines w:val="0"/>
              <w:widowControl w:val="0"/>
              <w:suppressLineNumbers w:val="0"/>
              <w:adjustRightInd w:val="0"/>
              <w:snapToGrid w:val="0"/>
              <w:spacing w:before="0" w:beforeAutospacing="1" w:after="0" w:afterAutospacing="0"/>
              <w:ind w:left="0" w:right="0" w:firstLine="0"/>
              <w:jc w:val="center"/>
              <w:rPr>
                <w:rFonts w:hint="eastAsia" w:ascii="宋体" w:hAnsi="宋体" w:eastAsia="宋体" w:cs="宋体"/>
                <w:color w:val="auto"/>
                <w:kern w:val="0"/>
                <w:sz w:val="24"/>
                <w:szCs w:val="24"/>
                <w:highlight w:val="none"/>
              </w:rPr>
            </w:pPr>
          </w:p>
        </w:tc>
      </w:tr>
    </w:tbl>
    <w:p w14:paraId="70A86F74">
      <w:pPr>
        <w:pStyle w:val="3"/>
        <w:keepNext w:val="0"/>
        <w:keepLines w:val="0"/>
        <w:widowControl w:val="0"/>
        <w:suppressLineNumbers w:val="0"/>
        <w:adjustRightInd w:val="0"/>
        <w:snapToGrid w:val="0"/>
        <w:spacing w:before="0" w:beforeAutospacing="1" w:after="0" w:afterAutospacing="0" w:line="360" w:lineRule="auto"/>
        <w:ind w:left="0" w:right="0" w:firstLine="0"/>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附：</w:t>
      </w:r>
    </w:p>
    <w:p w14:paraId="335C4F0D">
      <w:pPr>
        <w:pStyle w:val="3"/>
        <w:keepNext w:val="0"/>
        <w:keepLines w:val="0"/>
        <w:widowControl w:val="0"/>
        <w:suppressLineNumbers w:val="0"/>
        <w:adjustRightInd w:val="0"/>
        <w:snapToGrid w:val="0"/>
        <w:spacing w:before="0" w:beforeAutospacing="1" w:after="0" w:afterAutospacing="0" w:line="360" w:lineRule="auto"/>
        <w:ind w:left="0" w:right="0" w:firstLine="0"/>
        <w:jc w:val="both"/>
        <w:rPr>
          <w:rFonts w:hint="eastAsia" w:ascii="宋体" w:hAnsi="宋体" w:eastAsia="宋体" w:cs="宋体"/>
          <w:b/>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法定代表人身份证（复件）</w:t>
      </w:r>
    </w:p>
    <w:p w14:paraId="3BEFDE4B">
      <w:pPr>
        <w:pStyle w:val="3"/>
        <w:keepNext w:val="0"/>
        <w:keepLines w:val="0"/>
        <w:widowControl w:val="0"/>
        <w:suppressLineNumbers w:val="0"/>
        <w:adjustRightInd w:val="0"/>
        <w:snapToGrid w:val="0"/>
        <w:spacing w:before="0" w:beforeAutospacing="1" w:after="0" w:afterAutospacing="0" w:line="360" w:lineRule="auto"/>
        <w:ind w:left="0" w:right="0" w:firstLine="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 xml:space="preserve"> </w:t>
      </w:r>
    </w:p>
    <w:p w14:paraId="6A45C14A">
      <w:pPr>
        <w:pStyle w:val="3"/>
        <w:keepNext w:val="0"/>
        <w:keepLines w:val="0"/>
        <w:widowControl w:val="0"/>
        <w:suppressLineNumbers w:val="0"/>
        <w:adjustRightInd w:val="0"/>
        <w:snapToGrid w:val="0"/>
        <w:spacing w:before="0" w:beforeAutospacing="1" w:after="0" w:afterAutospacing="0" w:line="360" w:lineRule="auto"/>
        <w:ind w:left="0" w:right="0" w:firstLine="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73BF7DC6">
      <w:pPr>
        <w:pStyle w:val="3"/>
        <w:keepNext w:val="0"/>
        <w:keepLines w:val="0"/>
        <w:widowControl w:val="0"/>
        <w:suppressLineNumbers w:val="0"/>
        <w:adjustRightInd w:val="0"/>
        <w:snapToGrid w:val="0"/>
        <w:spacing w:before="0" w:beforeAutospacing="1" w:after="0" w:afterAutospacing="0" w:line="360" w:lineRule="auto"/>
        <w:ind w:left="0" w:right="0" w:firstLine="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项目经理（项目负责人）身份证（复件）</w:t>
      </w:r>
    </w:p>
    <w:p w14:paraId="56B01099">
      <w:pPr>
        <w:pStyle w:val="3"/>
        <w:keepNext w:val="0"/>
        <w:keepLines w:val="0"/>
        <w:widowControl w:val="0"/>
        <w:suppressLineNumbers w:val="0"/>
        <w:adjustRightInd w:val="0"/>
        <w:snapToGrid w:val="0"/>
        <w:spacing w:before="0" w:beforeAutospacing="1" w:after="0" w:afterAutospacing="0" w:line="360" w:lineRule="auto"/>
        <w:ind w:left="0" w:right="0" w:firstLine="0"/>
        <w:jc w:val="left"/>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7F281630">
      <w:pPr>
        <w:pStyle w:val="3"/>
        <w:keepNext w:val="0"/>
        <w:keepLines w:val="0"/>
        <w:widowControl w:val="0"/>
        <w:suppressLineNumbers w:val="0"/>
        <w:adjustRightInd w:val="0"/>
        <w:snapToGrid w:val="0"/>
        <w:spacing w:before="0" w:beforeAutospacing="1" w:after="0" w:afterAutospacing="0" w:line="360" w:lineRule="auto"/>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343411AB">
      <w:pPr>
        <w:pStyle w:val="3"/>
        <w:keepNext w:val="0"/>
        <w:keepLines w:val="0"/>
        <w:widowControl w:val="0"/>
        <w:suppressLineNumbers w:val="0"/>
        <w:adjustRightInd w:val="0"/>
        <w:snapToGrid w:val="0"/>
        <w:spacing w:before="0" w:beforeAutospacing="1" w:after="0" w:afterAutospacing="0" w:line="360" w:lineRule="auto"/>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7FA11DA5">
      <w:pPr>
        <w:pStyle w:val="3"/>
        <w:keepNext w:val="0"/>
        <w:keepLines w:val="0"/>
        <w:widowControl w:val="0"/>
        <w:suppressLineNumbers w:val="0"/>
        <w:adjustRightInd w:val="0"/>
        <w:snapToGrid w:val="0"/>
        <w:spacing w:before="0" w:beforeAutospacing="1" w:after="0" w:afterAutospacing="0" w:line="360" w:lineRule="auto"/>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48AEEBE0">
      <w:pPr>
        <w:pStyle w:val="3"/>
        <w:keepNext w:val="0"/>
        <w:keepLines w:val="0"/>
        <w:widowControl w:val="0"/>
        <w:suppressLineNumbers w:val="0"/>
        <w:adjustRightInd w:val="0"/>
        <w:snapToGrid w:val="0"/>
        <w:spacing w:before="0" w:beforeAutospacing="1" w:after="0" w:afterAutospacing="0" w:line="360" w:lineRule="auto"/>
        <w:ind w:left="0" w:right="0" w:firstLine="0"/>
        <w:jc w:val="center"/>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2054CE50">
      <w:pPr>
        <w:keepNext w:val="0"/>
        <w:keepLines w:val="0"/>
        <w:widowControl w:val="0"/>
        <w:suppressLineNumbers w:val="0"/>
        <w:adjustRightInd w:val="0"/>
        <w:snapToGrid w:val="0"/>
        <w:spacing w:before="0" w:beforeAutospacing="0" w:after="0" w:afterAutospacing="0" w:line="360" w:lineRule="auto"/>
        <w:ind w:left="0" w:right="0"/>
        <w:jc w:val="both"/>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br w:type="page"/>
      </w:r>
      <w:r>
        <w:rPr>
          <w:rFonts w:hint="eastAsia" w:ascii="宋体" w:hAnsi="宋体" w:eastAsia="宋体" w:cs="宋体"/>
          <w:color w:val="auto"/>
          <w:kern w:val="0"/>
          <w:sz w:val="24"/>
          <w:szCs w:val="24"/>
          <w:highlight w:val="none"/>
          <w:lang w:val="en-US" w:eastAsia="zh-CN" w:bidi="ar"/>
        </w:rPr>
        <w:t>附件13：工程质量终身责任承诺书（含法定代表人授权书）</w:t>
      </w:r>
    </w:p>
    <w:p w14:paraId="748F4E2C">
      <w:pPr>
        <w:keepNext w:val="0"/>
        <w:keepLines w:val="0"/>
        <w:widowControl w:val="0"/>
        <w:suppressLineNumbers w:val="0"/>
        <w:adjustRightInd w:val="0"/>
        <w:snapToGrid w:val="0"/>
        <w:spacing w:before="0" w:beforeAutospacing="0" w:after="0" w:afterAutospacing="0" w:line="360" w:lineRule="auto"/>
        <w:ind w:left="0" w:right="0"/>
        <w:jc w:val="both"/>
        <w:outlineLvl w:val="1"/>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16F96234">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32"/>
          <w:szCs w:val="32"/>
          <w:highlight w:val="none"/>
          <w:lang w:val="en-US" w:eastAsia="zh-CN" w:bidi="ar"/>
        </w:rPr>
        <w:t>法定代表人授权书</w:t>
      </w:r>
    </w:p>
    <w:p w14:paraId="26C2C538">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2506B71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兹授权我单位</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担任</w:t>
      </w:r>
      <w:r>
        <w:rPr>
          <w:rFonts w:hint="eastAsia" w:ascii="宋体" w:hAnsi="宋体" w:eastAsia="宋体" w:cs="宋体"/>
          <w:color w:val="auto"/>
          <w:kern w:val="0"/>
          <w:sz w:val="24"/>
          <w:szCs w:val="24"/>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color w:val="auto"/>
          <w:kern w:val="2"/>
          <w:sz w:val="24"/>
          <w:szCs w:val="24"/>
          <w:highlight w:val="none"/>
          <w:lang w:val="en-US" w:eastAsia="zh-CN" w:bidi="ar"/>
        </w:rPr>
        <w:t>工程项目的</w:t>
      </w:r>
      <w:r>
        <w:rPr>
          <w:rFonts w:hint="eastAsia" w:ascii="宋体" w:hAnsi="宋体" w:eastAsia="宋体" w:cs="宋体"/>
          <w:strike/>
          <w:dstrike w:val="0"/>
          <w:color w:val="auto"/>
          <w:kern w:val="2"/>
          <w:sz w:val="24"/>
          <w:szCs w:val="24"/>
          <w:highlight w:val="none"/>
          <w:lang w:val="en-US" w:eastAsia="zh-CN" w:bidi="ar"/>
        </w:rPr>
        <w:t>施工</w:t>
      </w:r>
      <w:r>
        <w:rPr>
          <w:rFonts w:hint="eastAsia" w:ascii="宋体" w:hAnsi="宋体" w:eastAsia="宋体" w:cs="宋体"/>
          <w:color w:val="auto"/>
          <w:kern w:val="2"/>
          <w:sz w:val="24"/>
          <w:szCs w:val="24"/>
          <w:highlight w:val="none"/>
          <w:lang w:val="en-US" w:eastAsia="zh-CN" w:bidi="ar"/>
        </w:rPr>
        <w:t>项目负责人，对该工程项目的</w:t>
      </w:r>
      <w:r>
        <w:rPr>
          <w:rFonts w:hint="eastAsia" w:ascii="宋体" w:hAnsi="宋体" w:eastAsia="宋体" w:cs="宋体"/>
          <w:strike/>
          <w:dstrike w:val="0"/>
          <w:color w:val="auto"/>
          <w:kern w:val="2"/>
          <w:sz w:val="24"/>
          <w:szCs w:val="24"/>
          <w:highlight w:val="none"/>
          <w:lang w:val="en-US" w:eastAsia="zh-CN" w:bidi="ar"/>
        </w:rPr>
        <w:t>施工</w:t>
      </w:r>
      <w:r>
        <w:rPr>
          <w:rFonts w:hint="eastAsia" w:ascii="宋体" w:hAnsi="宋体" w:eastAsia="宋体" w:cs="宋体"/>
          <w:color w:val="auto"/>
          <w:kern w:val="2"/>
          <w:sz w:val="24"/>
          <w:szCs w:val="24"/>
          <w:highlight w:val="none"/>
          <w:lang w:val="en-US" w:eastAsia="zh-CN" w:bidi="ar"/>
        </w:rPr>
        <w:t>工作实施组织管理，依据国家有关法律法规及标准规范履行职责，并依法对</w:t>
      </w:r>
      <w:r>
        <w:rPr>
          <w:rFonts w:hint="eastAsia" w:ascii="宋体" w:hAnsi="宋体" w:eastAsia="宋体" w:cs="宋体"/>
          <w:strike/>
          <w:dstrike w:val="0"/>
          <w:color w:val="auto"/>
          <w:kern w:val="2"/>
          <w:sz w:val="24"/>
          <w:szCs w:val="24"/>
          <w:highlight w:val="none"/>
          <w:lang w:val="en-US" w:eastAsia="zh-CN" w:bidi="ar"/>
        </w:rPr>
        <w:t>设计使用年限内的</w:t>
      </w:r>
      <w:r>
        <w:rPr>
          <w:rFonts w:hint="eastAsia" w:ascii="宋体" w:hAnsi="宋体" w:eastAsia="宋体" w:cs="宋体"/>
          <w:color w:val="auto"/>
          <w:kern w:val="2"/>
          <w:sz w:val="24"/>
          <w:szCs w:val="24"/>
          <w:highlight w:val="none"/>
          <w:lang w:val="en-US" w:eastAsia="zh-CN" w:bidi="ar"/>
        </w:rPr>
        <w:t>工程质量承担相应终身责任。</w:t>
      </w:r>
    </w:p>
    <w:p w14:paraId="753B5E8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本授权书自授权之日起生效。</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89"/>
        <w:gridCol w:w="2250"/>
        <w:gridCol w:w="1734"/>
        <w:gridCol w:w="2549"/>
      </w:tblGrid>
      <w:tr w14:paraId="5663A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57756B6">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b/>
                <w:color w:val="auto"/>
                <w:kern w:val="2"/>
                <w:sz w:val="24"/>
                <w:szCs w:val="24"/>
                <w:highlight w:val="none"/>
                <w:lang w:val="en-US" w:eastAsia="zh-CN" w:bidi="ar"/>
              </w:rPr>
              <w:t>被授权人基本情况</w:t>
            </w:r>
          </w:p>
        </w:tc>
      </w:tr>
      <w:tr w14:paraId="1803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89" w:type="dxa"/>
            <w:tcBorders>
              <w:top w:val="single" w:color="auto" w:sz="4" w:space="0"/>
              <w:left w:val="single" w:color="auto" w:sz="4" w:space="0"/>
              <w:bottom w:val="single" w:color="auto" w:sz="4" w:space="0"/>
              <w:right w:val="single" w:color="auto" w:sz="4" w:space="0"/>
            </w:tcBorders>
            <w:shd w:val="clear" w:color="auto" w:fill="auto"/>
            <w:vAlign w:val="top"/>
          </w:tcPr>
          <w:p w14:paraId="5B9299A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姓  名</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top"/>
          </w:tcPr>
          <w:p w14:paraId="6DB59BB3">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p>
        </w:tc>
        <w:tc>
          <w:tcPr>
            <w:tcW w:w="1734" w:type="dxa"/>
            <w:tcBorders>
              <w:top w:val="single" w:color="auto" w:sz="4" w:space="0"/>
              <w:left w:val="single" w:color="auto" w:sz="4" w:space="0"/>
              <w:bottom w:val="single" w:color="auto" w:sz="4" w:space="0"/>
              <w:right w:val="single" w:color="auto" w:sz="4" w:space="0"/>
            </w:tcBorders>
            <w:shd w:val="clear" w:color="auto" w:fill="auto"/>
            <w:vAlign w:val="top"/>
          </w:tcPr>
          <w:p w14:paraId="2986E960">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身份证号</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top"/>
          </w:tcPr>
          <w:p w14:paraId="7BA6632D">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p>
        </w:tc>
      </w:tr>
      <w:tr w14:paraId="4088A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9" w:type="dxa"/>
            <w:tcBorders>
              <w:top w:val="single" w:color="auto" w:sz="4" w:space="0"/>
              <w:left w:val="single" w:color="auto" w:sz="4" w:space="0"/>
              <w:bottom w:val="single" w:color="auto" w:sz="4" w:space="0"/>
              <w:right w:val="single" w:color="auto" w:sz="4" w:space="0"/>
            </w:tcBorders>
            <w:shd w:val="clear" w:color="auto" w:fill="auto"/>
            <w:vAlign w:val="top"/>
          </w:tcPr>
          <w:p w14:paraId="48209BFA">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trike/>
                <w:dstrike w:val="0"/>
                <w:color w:val="auto"/>
                <w:kern w:val="2"/>
                <w:sz w:val="24"/>
                <w:szCs w:val="24"/>
                <w:highlight w:val="none"/>
              </w:rPr>
            </w:pPr>
            <w:r>
              <w:rPr>
                <w:rFonts w:hint="eastAsia" w:ascii="宋体" w:hAnsi="宋体" w:eastAsia="宋体" w:cs="宋体"/>
                <w:strike/>
                <w:dstrike w:val="0"/>
                <w:color w:val="auto"/>
                <w:kern w:val="2"/>
                <w:sz w:val="24"/>
                <w:szCs w:val="24"/>
                <w:highlight w:val="none"/>
                <w:lang w:val="en-US" w:eastAsia="zh-CN" w:bidi="ar"/>
              </w:rPr>
              <w:t>注册执业资格</w:t>
            </w:r>
          </w:p>
        </w:tc>
        <w:tc>
          <w:tcPr>
            <w:tcW w:w="2250" w:type="dxa"/>
            <w:tcBorders>
              <w:top w:val="single" w:color="auto" w:sz="4" w:space="0"/>
              <w:left w:val="single" w:color="auto" w:sz="4" w:space="0"/>
              <w:bottom w:val="single" w:color="auto" w:sz="4" w:space="0"/>
              <w:right w:val="single" w:color="auto" w:sz="4" w:space="0"/>
            </w:tcBorders>
            <w:shd w:val="clear" w:color="auto" w:fill="auto"/>
            <w:vAlign w:val="top"/>
          </w:tcPr>
          <w:p w14:paraId="28A07002">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trike/>
                <w:dstrike w:val="0"/>
                <w:color w:val="auto"/>
                <w:kern w:val="2"/>
                <w:sz w:val="24"/>
                <w:szCs w:val="24"/>
                <w:highlight w:val="none"/>
              </w:rPr>
            </w:pPr>
          </w:p>
        </w:tc>
        <w:tc>
          <w:tcPr>
            <w:tcW w:w="1734" w:type="dxa"/>
            <w:tcBorders>
              <w:top w:val="single" w:color="auto" w:sz="4" w:space="0"/>
              <w:left w:val="single" w:color="auto" w:sz="4" w:space="0"/>
              <w:bottom w:val="single" w:color="auto" w:sz="4" w:space="0"/>
              <w:right w:val="single" w:color="auto" w:sz="4" w:space="0"/>
            </w:tcBorders>
            <w:shd w:val="clear" w:color="auto" w:fill="auto"/>
            <w:vAlign w:val="top"/>
          </w:tcPr>
          <w:p w14:paraId="62FA23A1">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strike/>
                <w:dstrike w:val="0"/>
                <w:color w:val="auto"/>
                <w:kern w:val="2"/>
                <w:sz w:val="24"/>
                <w:szCs w:val="24"/>
                <w:highlight w:val="none"/>
              </w:rPr>
            </w:pPr>
            <w:r>
              <w:rPr>
                <w:rFonts w:hint="eastAsia" w:ascii="宋体" w:hAnsi="宋体" w:eastAsia="宋体" w:cs="宋体"/>
                <w:strike/>
                <w:dstrike w:val="0"/>
                <w:color w:val="auto"/>
                <w:kern w:val="2"/>
                <w:sz w:val="24"/>
                <w:szCs w:val="24"/>
                <w:highlight w:val="none"/>
                <w:lang w:val="en-US" w:eastAsia="zh-CN" w:bidi="ar"/>
              </w:rPr>
              <w:t>注册执业证号</w:t>
            </w:r>
          </w:p>
        </w:tc>
        <w:tc>
          <w:tcPr>
            <w:tcW w:w="2549" w:type="dxa"/>
            <w:tcBorders>
              <w:top w:val="single" w:color="auto" w:sz="4" w:space="0"/>
              <w:left w:val="single" w:color="auto" w:sz="4" w:space="0"/>
              <w:bottom w:val="single" w:color="auto" w:sz="4" w:space="0"/>
              <w:right w:val="single" w:color="auto" w:sz="4" w:space="0"/>
            </w:tcBorders>
            <w:shd w:val="clear" w:color="auto" w:fill="auto"/>
            <w:vAlign w:val="top"/>
          </w:tcPr>
          <w:p w14:paraId="74DA2589">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strike/>
                <w:dstrike w:val="0"/>
                <w:color w:val="auto"/>
                <w:kern w:val="2"/>
                <w:sz w:val="24"/>
                <w:szCs w:val="24"/>
                <w:highlight w:val="none"/>
              </w:rPr>
            </w:pPr>
          </w:p>
        </w:tc>
      </w:tr>
      <w:tr w14:paraId="51CB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607685C">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被授权人签字：</w:t>
            </w:r>
          </w:p>
        </w:tc>
      </w:tr>
    </w:tbl>
    <w:p w14:paraId="57C94055">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2E5CEE1A">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val="en-US" w:eastAsia="zh-CN" w:bidi="ar"/>
        </w:rPr>
        <w:t xml:space="preserve"> </w:t>
      </w:r>
    </w:p>
    <w:p w14:paraId="592CA404">
      <w:pPr>
        <w:keepNext w:val="0"/>
        <w:keepLines w:val="0"/>
        <w:widowControl w:val="0"/>
        <w:suppressLineNumbers w:val="0"/>
        <w:spacing w:before="0" w:beforeAutospacing="0" w:after="0" w:afterAutospacing="0" w:line="360" w:lineRule="auto"/>
        <w:ind w:left="0" w:right="-334" w:rightChars="-159" w:firstLine="56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8"/>
          <w:szCs w:val="28"/>
          <w:highlight w:val="none"/>
          <w:lang w:val="en-US" w:eastAsia="zh-CN" w:bidi="ar"/>
        </w:rPr>
        <w:t xml:space="preserve">                </w:t>
      </w:r>
      <w:r>
        <w:rPr>
          <w:rFonts w:hint="eastAsia" w:ascii="宋体" w:hAnsi="宋体" w:eastAsia="宋体" w:cs="宋体"/>
          <w:color w:val="auto"/>
          <w:spacing w:val="21"/>
          <w:kern w:val="2"/>
          <w:sz w:val="24"/>
          <w:szCs w:val="24"/>
          <w:highlight w:val="none"/>
          <w:lang w:val="en-US" w:eastAsia="zh-CN" w:bidi="ar"/>
        </w:rPr>
        <w:t>授权单位（盖章）</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中标赞助企业</w:t>
      </w:r>
    </w:p>
    <w:p w14:paraId="75474728">
      <w:pPr>
        <w:keepNext w:val="0"/>
        <w:keepLines w:val="0"/>
        <w:widowControl w:val="0"/>
        <w:suppressLineNumbers w:val="0"/>
        <w:spacing w:before="0" w:beforeAutospacing="0" w:after="0" w:afterAutospacing="0" w:line="360" w:lineRule="auto"/>
        <w:ind w:left="0" w:right="0" w:firstLine="3960" w:firstLineChars="165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法定代表人（签字）：</w:t>
      </w:r>
      <w:r>
        <w:rPr>
          <w:rFonts w:hint="eastAsia" w:ascii="宋体" w:hAnsi="宋体" w:eastAsia="宋体" w:cs="宋体"/>
          <w:color w:val="auto"/>
          <w:kern w:val="2"/>
          <w:sz w:val="24"/>
          <w:szCs w:val="24"/>
          <w:highlight w:val="none"/>
          <w:u w:val="single"/>
          <w:lang w:val="en-US" w:eastAsia="zh-CN" w:bidi="ar"/>
        </w:rPr>
        <w:t xml:space="preserve">            </w:t>
      </w:r>
    </w:p>
    <w:p w14:paraId="3A59C8F2">
      <w:pPr>
        <w:keepNext w:val="0"/>
        <w:keepLines w:val="0"/>
        <w:widowControl w:val="0"/>
        <w:suppressLineNumbers w:val="0"/>
        <w:spacing w:before="0" w:beforeAutospacing="0" w:after="0" w:afterAutospacing="0" w:line="360" w:lineRule="auto"/>
        <w:ind w:left="0" w:right="0" w:firstLine="3948" w:firstLineChars="1400"/>
        <w:jc w:val="both"/>
        <w:rPr>
          <w:rFonts w:hint="eastAsia" w:ascii="宋体" w:hAnsi="宋体" w:eastAsia="宋体" w:cs="Calibri"/>
          <w:color w:val="auto"/>
          <w:kern w:val="2"/>
          <w:sz w:val="24"/>
          <w:szCs w:val="24"/>
          <w:highlight w:val="none"/>
        </w:rPr>
      </w:pPr>
      <w:r>
        <w:rPr>
          <w:rFonts w:hint="eastAsia" w:ascii="宋体" w:hAnsi="宋体" w:eastAsia="宋体" w:cs="宋体"/>
          <w:color w:val="auto"/>
          <w:spacing w:val="21"/>
          <w:kern w:val="2"/>
          <w:sz w:val="24"/>
          <w:szCs w:val="24"/>
          <w:highlight w:val="none"/>
          <w:lang w:val="en-US" w:eastAsia="zh-CN" w:bidi="ar"/>
        </w:rPr>
        <w:t>授权日期：</w:t>
      </w:r>
      <w:r>
        <w:rPr>
          <w:rFonts w:hint="eastAsia" w:ascii="宋体" w:hAnsi="宋体" w:eastAsia="宋体" w:cs="宋体"/>
          <w:color w:val="auto"/>
          <w:kern w:val="2"/>
          <w:sz w:val="24"/>
          <w:szCs w:val="24"/>
          <w:highlight w:val="none"/>
          <w:lang w:val="en-US" w:eastAsia="zh-CN" w:bidi="ar"/>
        </w:rPr>
        <w:t xml:space="preserve">    年   月   日</w:t>
      </w:r>
    </w:p>
    <w:p w14:paraId="467CE84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lang w:val="en-US" w:eastAsia="zh-CN" w:bidi="ar"/>
        </w:rPr>
        <w:t xml:space="preserve"> </w:t>
      </w:r>
    </w:p>
    <w:p w14:paraId="2699991A">
      <w:pPr>
        <w:keepNext w:val="0"/>
        <w:keepLines w:val="0"/>
        <w:widowControl w:val="0"/>
        <w:suppressLineNumbers w:val="0"/>
        <w:spacing w:before="0" w:beforeAutospacing="0" w:after="0" w:afterAutospacing="0" w:line="360" w:lineRule="auto"/>
        <w:ind w:left="0" w:right="0"/>
        <w:jc w:val="both"/>
        <w:rPr>
          <w:rFonts w:hint="eastAsia" w:ascii="宋体" w:hAnsi="宋体" w:eastAsia="宋体" w:cs="Calibri"/>
          <w:color w:val="auto"/>
          <w:kern w:val="2"/>
          <w:sz w:val="24"/>
          <w:szCs w:val="24"/>
          <w:highlight w:val="none"/>
        </w:rPr>
      </w:pPr>
      <w:r>
        <w:rPr>
          <w:rFonts w:hint="eastAsia" w:ascii="宋体" w:hAnsi="宋体" w:eastAsia="宋体" w:cs="Calibri"/>
          <w:color w:val="auto"/>
          <w:kern w:val="2"/>
          <w:sz w:val="24"/>
          <w:szCs w:val="24"/>
          <w:highlight w:val="none"/>
          <w:lang w:val="en-US" w:eastAsia="zh-CN" w:bidi="ar"/>
        </w:rPr>
        <w:br w:type="page"/>
      </w:r>
    </w:p>
    <w:p w14:paraId="231A34E8">
      <w:pPr>
        <w:keepNext w:val="0"/>
        <w:keepLines w:val="0"/>
        <w:widowControl w:val="0"/>
        <w:suppressLineNumbers w:val="0"/>
        <w:spacing w:before="312" w:beforeLines="100" w:beforeAutospacing="0" w:after="312" w:afterLines="100" w:afterAutospacing="0" w:line="400" w:lineRule="exact"/>
        <w:ind w:left="0" w:right="0"/>
        <w:jc w:val="center"/>
        <w:rPr>
          <w:rFonts w:hint="eastAsia" w:ascii="宋体" w:hAnsi="宋体" w:eastAsia="宋体" w:cs="宋体"/>
          <w:b/>
          <w:bCs w:val="0"/>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bidi="ar"/>
        </w:rPr>
        <w:t>工程质量终身责任承诺书</w:t>
      </w:r>
    </w:p>
    <w:p w14:paraId="3F248A3A">
      <w:pPr>
        <w:keepNext w:val="0"/>
        <w:keepLines w:val="0"/>
        <w:widowControl w:val="0"/>
        <w:suppressLineNumbers w:val="0"/>
        <w:spacing w:before="312" w:beforeLines="100" w:beforeAutospacing="0" w:after="312" w:afterLines="10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本人受</w:t>
      </w:r>
      <w:r>
        <w:rPr>
          <w:rFonts w:hint="eastAsia" w:ascii="宋体" w:hAnsi="宋体" w:eastAsia="宋体" w:cs="宋体"/>
          <w:color w:val="auto"/>
          <w:kern w:val="2"/>
          <w:sz w:val="24"/>
          <w:szCs w:val="24"/>
          <w:highlight w:val="none"/>
          <w:u w:val="single"/>
          <w:lang w:val="en-US" w:eastAsia="zh-CN" w:bidi="ar"/>
        </w:rPr>
        <w:t>中标赞助企业</w:t>
      </w:r>
      <w:r>
        <w:rPr>
          <w:rFonts w:hint="eastAsia" w:ascii="宋体" w:hAnsi="宋体" w:eastAsia="宋体" w:cs="宋体"/>
          <w:color w:val="auto"/>
          <w:kern w:val="2"/>
          <w:sz w:val="24"/>
          <w:szCs w:val="24"/>
          <w:highlight w:val="none"/>
          <w:lang w:val="en-US" w:eastAsia="zh-CN" w:bidi="ar"/>
        </w:rPr>
        <w:t>单位（法定代表人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）授权，担任</w:t>
      </w:r>
      <w:r>
        <w:rPr>
          <w:rFonts w:hint="eastAsia" w:ascii="宋体" w:hAnsi="宋体" w:eastAsia="宋体" w:cs="宋体"/>
          <w:color w:val="auto"/>
          <w:kern w:val="0"/>
          <w:sz w:val="24"/>
          <w:szCs w:val="24"/>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color w:val="auto"/>
          <w:kern w:val="2"/>
          <w:sz w:val="24"/>
          <w:szCs w:val="24"/>
          <w:highlight w:val="none"/>
          <w:lang w:val="en-US" w:eastAsia="zh-CN" w:bidi="ar"/>
        </w:rPr>
        <w:t>工程项目的</w:t>
      </w:r>
      <w:r>
        <w:rPr>
          <w:rFonts w:hint="eastAsia" w:ascii="宋体" w:hAnsi="宋体" w:eastAsia="宋体" w:cs="宋体"/>
          <w:strike/>
          <w:dstrike w:val="0"/>
          <w:color w:val="auto"/>
          <w:kern w:val="2"/>
          <w:sz w:val="24"/>
          <w:szCs w:val="24"/>
          <w:highlight w:val="none"/>
          <w:lang w:val="en-US" w:eastAsia="zh-CN" w:bidi="ar"/>
        </w:rPr>
        <w:t>施工</w:t>
      </w:r>
      <w:r>
        <w:rPr>
          <w:rFonts w:hint="eastAsia" w:ascii="宋体" w:hAnsi="宋体" w:eastAsia="宋体" w:cs="宋体"/>
          <w:color w:val="auto"/>
          <w:kern w:val="2"/>
          <w:sz w:val="24"/>
          <w:szCs w:val="24"/>
          <w:highlight w:val="none"/>
          <w:lang w:val="en-US" w:eastAsia="zh-CN" w:bidi="ar"/>
        </w:rPr>
        <w:t>项目负责人，对该工程项目的</w:t>
      </w:r>
      <w:r>
        <w:rPr>
          <w:rFonts w:hint="eastAsia" w:ascii="宋体" w:hAnsi="宋体" w:eastAsia="宋体" w:cs="宋体"/>
          <w:strike/>
          <w:dstrike w:val="0"/>
          <w:color w:val="auto"/>
          <w:kern w:val="2"/>
          <w:sz w:val="24"/>
          <w:szCs w:val="24"/>
          <w:highlight w:val="none"/>
          <w:lang w:val="en-US" w:eastAsia="zh-CN" w:bidi="ar"/>
        </w:rPr>
        <w:t>施工</w:t>
      </w:r>
      <w:r>
        <w:rPr>
          <w:rFonts w:hint="eastAsia" w:ascii="宋体" w:hAnsi="宋体" w:eastAsia="宋体" w:cs="宋体"/>
          <w:color w:val="auto"/>
          <w:kern w:val="2"/>
          <w:sz w:val="24"/>
          <w:szCs w:val="24"/>
          <w:highlight w:val="none"/>
          <w:lang w:val="en-US" w:eastAsia="zh-CN" w:bidi="ar"/>
        </w:rPr>
        <w:t>工作实施组织管理。本人承诺严格依据国家有关法律法规及标准规范履行职责，并对</w:t>
      </w:r>
      <w:r>
        <w:rPr>
          <w:rFonts w:hint="eastAsia" w:ascii="宋体" w:hAnsi="宋体" w:eastAsia="宋体" w:cs="宋体"/>
          <w:strike/>
          <w:dstrike w:val="0"/>
          <w:color w:val="auto"/>
          <w:kern w:val="2"/>
          <w:sz w:val="24"/>
          <w:szCs w:val="24"/>
          <w:highlight w:val="none"/>
          <w:lang w:val="en-US" w:eastAsia="zh-CN" w:bidi="ar"/>
        </w:rPr>
        <w:t>设计使用年限内的</w:t>
      </w:r>
      <w:r>
        <w:rPr>
          <w:rFonts w:hint="eastAsia" w:ascii="宋体" w:hAnsi="宋体" w:eastAsia="宋体" w:cs="宋体"/>
          <w:color w:val="auto"/>
          <w:kern w:val="2"/>
          <w:sz w:val="24"/>
          <w:szCs w:val="24"/>
          <w:highlight w:val="none"/>
          <w:lang w:val="en-US" w:eastAsia="zh-CN" w:bidi="ar"/>
        </w:rPr>
        <w:t>工程质量承担相应终身责任。</w:t>
      </w:r>
    </w:p>
    <w:p w14:paraId="184EDF9C">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4B9C98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6B640F4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color w:val="auto"/>
          <w:spacing w:val="30"/>
          <w:kern w:val="2"/>
          <w:sz w:val="24"/>
          <w:szCs w:val="24"/>
          <w:highlight w:val="none"/>
          <w:lang w:val="en-US" w:eastAsia="zh-CN" w:bidi="ar"/>
        </w:rPr>
        <w:t>承诺人签字</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w:t>
      </w:r>
    </w:p>
    <w:p w14:paraId="53F5F6F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color w:val="auto"/>
          <w:spacing w:val="28"/>
          <w:kern w:val="2"/>
          <w:sz w:val="24"/>
          <w:szCs w:val="24"/>
          <w:highlight w:val="none"/>
          <w:lang w:val="en-US" w:eastAsia="zh-CN" w:bidi="ar"/>
        </w:rPr>
        <w:t>身份证号</w:t>
      </w:r>
      <w:r>
        <w:rPr>
          <w:rFonts w:hint="eastAsia" w:ascii="宋体" w:hAnsi="宋体" w:eastAsia="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u w:val="single"/>
          <w:lang w:val="en-US" w:eastAsia="zh-CN" w:bidi="ar"/>
        </w:rPr>
        <w:t xml:space="preserve">            </w:t>
      </w:r>
    </w:p>
    <w:p w14:paraId="417AA7A3">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dstrike w:val="0"/>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strike/>
          <w:dstrike w:val="0"/>
          <w:color w:val="auto"/>
          <w:kern w:val="2"/>
          <w:sz w:val="24"/>
          <w:szCs w:val="24"/>
          <w:highlight w:val="none"/>
          <w:lang w:val="en-US" w:eastAsia="zh-CN" w:bidi="ar"/>
        </w:rPr>
        <w:t>注册执业资格：</w:t>
      </w:r>
      <w:r>
        <w:rPr>
          <w:rFonts w:hint="eastAsia" w:ascii="宋体" w:hAnsi="宋体" w:eastAsia="宋体" w:cs="宋体"/>
          <w:strike/>
          <w:dstrike w:val="0"/>
          <w:color w:val="auto"/>
          <w:kern w:val="2"/>
          <w:sz w:val="24"/>
          <w:szCs w:val="24"/>
          <w:highlight w:val="none"/>
          <w:u w:val="single"/>
          <w:lang w:val="en-US" w:eastAsia="zh-CN" w:bidi="ar"/>
        </w:rPr>
        <w:t xml:space="preserve">              </w:t>
      </w:r>
    </w:p>
    <w:p w14:paraId="27D6CCD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strike/>
          <w:dstrike w:val="0"/>
          <w:color w:val="auto"/>
          <w:kern w:val="2"/>
          <w:sz w:val="24"/>
          <w:szCs w:val="24"/>
          <w:highlight w:val="none"/>
          <w:u w:val="single"/>
        </w:rPr>
      </w:pPr>
      <w:r>
        <w:rPr>
          <w:rFonts w:hint="eastAsia" w:ascii="宋体" w:hAnsi="宋体" w:eastAsia="宋体" w:cs="宋体"/>
          <w:strike/>
          <w:dstrike w:val="0"/>
          <w:color w:val="auto"/>
          <w:kern w:val="2"/>
          <w:sz w:val="24"/>
          <w:szCs w:val="24"/>
          <w:highlight w:val="none"/>
          <w:lang w:val="en-US" w:eastAsia="zh-CN" w:bidi="ar"/>
        </w:rPr>
        <w:t xml:space="preserve">                           注册执业证号：</w:t>
      </w:r>
      <w:r>
        <w:rPr>
          <w:rFonts w:hint="eastAsia" w:ascii="宋体" w:hAnsi="宋体" w:eastAsia="宋体" w:cs="宋体"/>
          <w:strike/>
          <w:dstrike w:val="0"/>
          <w:color w:val="auto"/>
          <w:kern w:val="2"/>
          <w:sz w:val="24"/>
          <w:szCs w:val="24"/>
          <w:highlight w:val="none"/>
          <w:u w:val="single"/>
          <w:lang w:val="en-US" w:eastAsia="zh-CN" w:bidi="ar"/>
        </w:rPr>
        <w:t xml:space="preserve">             </w:t>
      </w:r>
    </w:p>
    <w:p w14:paraId="1F5586A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color w:val="auto"/>
          <w:spacing w:val="28"/>
          <w:kern w:val="2"/>
          <w:sz w:val="24"/>
          <w:szCs w:val="24"/>
          <w:highlight w:val="none"/>
          <w:lang w:val="en-US" w:eastAsia="zh-CN" w:bidi="ar"/>
        </w:rPr>
        <w:t>签字日期</w:t>
      </w:r>
      <w:r>
        <w:rPr>
          <w:rFonts w:hint="eastAsia" w:ascii="宋体" w:hAnsi="宋体" w:eastAsia="宋体" w:cs="宋体"/>
          <w:color w:val="auto"/>
          <w:kern w:val="2"/>
          <w:sz w:val="24"/>
          <w:szCs w:val="24"/>
          <w:highlight w:val="none"/>
          <w:lang w:val="en-US" w:eastAsia="zh-CN" w:bidi="ar"/>
        </w:rPr>
        <w:t>：    年  月  日</w:t>
      </w:r>
    </w:p>
    <w:p w14:paraId="1669F52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BD5D02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E35119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br w:type="page"/>
      </w:r>
      <w:r>
        <w:rPr>
          <w:rFonts w:hint="eastAsia" w:ascii="宋体" w:hAnsi="宋体" w:eastAsia="宋体" w:cs="宋体"/>
          <w:color w:val="auto"/>
          <w:kern w:val="0"/>
          <w:sz w:val="24"/>
          <w:szCs w:val="24"/>
          <w:highlight w:val="none"/>
          <w:lang w:val="en-US" w:eastAsia="zh-CN" w:bidi="ar"/>
        </w:rPr>
        <w:t>附件14：</w:t>
      </w:r>
    </w:p>
    <w:p w14:paraId="672B90A8">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32"/>
          <w:szCs w:val="32"/>
          <w:highlight w:val="none"/>
        </w:rPr>
      </w:pPr>
      <w:r>
        <w:rPr>
          <w:rFonts w:hint="eastAsia" w:ascii="宋体" w:hAnsi="宋体" w:eastAsia="宋体" w:cs="宋体"/>
          <w:b/>
          <w:bCs w:val="0"/>
          <w:color w:val="auto"/>
          <w:kern w:val="2"/>
          <w:sz w:val="32"/>
          <w:szCs w:val="32"/>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b/>
          <w:bCs w:val="0"/>
          <w:color w:val="auto"/>
          <w:kern w:val="2"/>
          <w:sz w:val="32"/>
          <w:szCs w:val="32"/>
          <w:highlight w:val="none"/>
          <w:lang w:val="en-US" w:eastAsia="zh-CN" w:bidi="ar"/>
        </w:rPr>
        <w:t>工程</w:t>
      </w:r>
    </w:p>
    <w:p w14:paraId="419EC947">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32"/>
          <w:szCs w:val="32"/>
          <w:highlight w:val="none"/>
        </w:rPr>
      </w:pPr>
      <w:r>
        <w:rPr>
          <w:rFonts w:hint="eastAsia" w:ascii="宋体" w:hAnsi="宋体" w:eastAsia="宋体" w:cs="宋体"/>
          <w:b/>
          <w:bCs w:val="0"/>
          <w:color w:val="auto"/>
          <w:kern w:val="2"/>
          <w:sz w:val="32"/>
          <w:szCs w:val="32"/>
          <w:highlight w:val="none"/>
          <w:lang w:val="en-US" w:eastAsia="zh-CN" w:bidi="ar"/>
        </w:rPr>
        <w:t>突发事件应急协议</w:t>
      </w:r>
    </w:p>
    <w:p w14:paraId="624C25FF">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甲方:广州市重点公共建设项目管理中心</w:t>
      </w:r>
    </w:p>
    <w:p w14:paraId="5148F1FA">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乙方:</w:t>
      </w:r>
      <w:r>
        <w:rPr>
          <w:rFonts w:hint="eastAsia" w:ascii="宋体" w:hAnsi="宋体" w:eastAsia="宋体" w:cs="宋体"/>
          <w:color w:val="auto"/>
          <w:spacing w:val="-20"/>
          <w:kern w:val="0"/>
          <w:sz w:val="24"/>
          <w:szCs w:val="24"/>
          <w:highlight w:val="none"/>
          <w:lang w:val="en-US" w:eastAsia="zh-CN" w:bidi="ar"/>
        </w:rPr>
        <w:t>中标赞助企业</w:t>
      </w:r>
    </w:p>
    <w:p w14:paraId="537322FF">
      <w:pPr>
        <w:keepNext w:val="0"/>
        <w:keepLines w:val="0"/>
        <w:widowControl w:val="0"/>
        <w:suppressLineNumbers w:val="0"/>
        <w:spacing w:before="0" w:beforeAutospacing="0" w:after="0" w:afterAutospacing="0" w:line="440" w:lineRule="exact"/>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为了贯彻“安全第一、预防为主、综合治理”的安全方针，提高建设项目应对突发事件的能力，最大限度预防突发事件，减少损害，有计划、有准备、高效率地开展防御、抢险、救灾工作，加强突发事件抢险过程中的资源的保障能力，保障人身及财产安全。根据《中华人民共和国突发事件应对法》及相关法律法规，就乙方加入甲方组建的应急管理组织体系，成为应急管理组织体系成员单位一事，甲乙双方经协商一致，特签订此协议。    第一条 甲乙双方责任 </w:t>
      </w:r>
    </w:p>
    <w:p w14:paraId="568985A4">
      <w:pPr>
        <w:keepNext w:val="0"/>
        <w:keepLines w:val="0"/>
        <w:widowControl w:val="0"/>
        <w:suppressLineNumbers w:val="0"/>
        <w:spacing w:before="0" w:beforeAutospacing="0" w:after="0" w:afterAutospacing="0" w:line="440" w:lineRule="exact"/>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严格遵守《中华人民共和国建筑法》、《中华人民共和国安全生产法》、《建设工程安全生产管理条例》、《国家安全生产事故灾难应急预案》、《建设工程重大质量安全事故应急预案》、《广东省生产安全事故应急预案》、《广州市突发事件总体应急预案》、《广州市生产安全事故报告和调查处理规定》、《广州市应急抢险救灾工程管理办法》、《广州市建设工程突发事件应急预案》等法律法规和有关规定。</w:t>
      </w:r>
    </w:p>
    <w:p w14:paraId="2234E0A6">
      <w:pPr>
        <w:keepNext w:val="0"/>
        <w:keepLines w:val="0"/>
        <w:widowControl w:val="0"/>
        <w:suppressLineNumbers w:val="0"/>
        <w:spacing w:before="0" w:beforeAutospacing="0" w:after="0" w:afterAutospacing="0" w:line="44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（二）加强应急救援的宣传与培训工作，广泛宣传应急法律法规和预防、避险、自救、互救和减灾等常识，增强员工的自救、互救能力。</w:t>
      </w:r>
    </w:p>
    <w:p w14:paraId="7024BE99">
      <w:pPr>
        <w:keepNext w:val="0"/>
        <w:keepLines w:val="0"/>
        <w:widowControl w:val="0"/>
        <w:suppressLineNumbers w:val="0"/>
        <w:spacing w:before="0" w:beforeAutospacing="0" w:after="0" w:afterAutospacing="0" w:line="44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（三）按《市重点项目中心突发事件应急预案》配相应人员，确保24小时通讯畅通。</w:t>
      </w:r>
    </w:p>
    <w:p w14:paraId="33EF2E1E">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第二条 甲方责任</w:t>
      </w:r>
    </w:p>
    <w:p w14:paraId="4FA3E1C8">
      <w:pPr>
        <w:keepNext w:val="0"/>
        <w:keepLines w:val="0"/>
        <w:widowControl w:val="0"/>
        <w:suppressLineNumbers w:val="0"/>
        <w:spacing w:before="0" w:beforeAutospacing="0" w:after="0" w:afterAutospacing="0" w:line="440" w:lineRule="exact"/>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（一）依据国家有关法律法规成立广州市重点公共建设项目管理中心应急指挥中心，负责组织协调乙方及其它成员单位参加应急救援工作。</w:t>
      </w:r>
    </w:p>
    <w:p w14:paraId="5B0CE1DB">
      <w:pPr>
        <w:keepNext w:val="0"/>
        <w:keepLines w:val="0"/>
        <w:widowControl w:val="0"/>
        <w:suppressLineNumbers w:val="0"/>
        <w:spacing w:before="0" w:beforeAutospacing="0" w:after="0" w:afterAutospacing="0" w:line="440" w:lineRule="exact"/>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（二）制定综合类应急预案《市重点项目中心突发事件应急预案》。</w:t>
      </w:r>
    </w:p>
    <w:p w14:paraId="223EE088">
      <w:pPr>
        <w:keepNext w:val="0"/>
        <w:keepLines w:val="0"/>
        <w:widowControl w:val="0"/>
        <w:suppressLineNumbers w:val="0"/>
        <w:spacing w:before="0" w:beforeAutospacing="0" w:after="0" w:afterAutospacing="0" w:line="440" w:lineRule="exact"/>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（三）对突发事件处理提供技术支持，调度成员单位（含乙方）人员、设备和物资等资源，有效遏制和减轻安全事故的扩大。</w:t>
      </w:r>
    </w:p>
    <w:p w14:paraId="190FDB88">
      <w:pPr>
        <w:keepNext w:val="0"/>
        <w:keepLines w:val="0"/>
        <w:widowControl w:val="0"/>
        <w:suppressLineNumbers w:val="0"/>
        <w:spacing w:before="0" w:beforeAutospacing="0" w:after="0" w:afterAutospacing="0" w:line="44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（四）按照“就近”与“专业”的原则指派成员单位参加救援工作。“就近”是指距离突发事件现场较近的成员单位；“专业”是指平时具有与突发事件相应的专项应急预案的成员单位。</w:t>
      </w:r>
    </w:p>
    <w:p w14:paraId="7D275491">
      <w:pPr>
        <w:keepNext w:val="0"/>
        <w:keepLines w:val="0"/>
        <w:widowControl w:val="0"/>
        <w:suppressLineNumbers w:val="0"/>
        <w:spacing w:before="0" w:beforeAutospacing="0" w:after="0" w:afterAutospacing="0" w:line="44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（五）在应急救援结束后，积极协调救援费用的补偿事宜。救援费用由突发事件的单位的单位承担，甲方负责督促发生突发事件的单位在救援结束后30天内向参与救援的其它成员单位支付补偿款。</w:t>
      </w:r>
    </w:p>
    <w:p w14:paraId="77D9BF11">
      <w:pPr>
        <w:keepNext w:val="0"/>
        <w:keepLines w:val="0"/>
        <w:widowControl w:val="0"/>
        <w:suppressLineNumbers w:val="0"/>
        <w:spacing w:before="0" w:beforeAutospacing="0" w:after="0" w:afterAutospacing="0" w:line="44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（六）对参加应急救援的有功人员给予表彰。</w:t>
      </w:r>
    </w:p>
    <w:p w14:paraId="04B8E92A">
      <w:pPr>
        <w:keepNext w:val="0"/>
        <w:keepLines w:val="0"/>
        <w:widowControl w:val="0"/>
        <w:suppressLineNumbers w:val="0"/>
        <w:spacing w:before="0" w:beforeAutospacing="0" w:after="0" w:afterAutospacing="0" w:line="440" w:lineRule="exact"/>
        <w:ind w:left="0" w:right="0" w:firstLine="360" w:firstLineChars="15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（七）甲方配置的应急指挥中心成员及联系方式如下：</w:t>
      </w:r>
    </w:p>
    <w:tbl>
      <w:tblPr>
        <w:tblStyle w:val="4"/>
        <w:tblW w:w="81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633"/>
        <w:gridCol w:w="2739"/>
        <w:gridCol w:w="2739"/>
      </w:tblGrid>
      <w:tr w14:paraId="2BA5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33" w:type="dxa"/>
            <w:tcBorders>
              <w:top w:val="single" w:color="auto" w:sz="4" w:space="0"/>
              <w:left w:val="single" w:color="auto" w:sz="4" w:space="0"/>
              <w:bottom w:val="single" w:color="auto" w:sz="4" w:space="0"/>
              <w:right w:val="single" w:color="auto" w:sz="4" w:space="0"/>
            </w:tcBorders>
            <w:shd w:val="clear" w:color="auto" w:fill="auto"/>
            <w:vAlign w:val="top"/>
          </w:tcPr>
          <w:p w14:paraId="4259A75B">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职务</w:t>
            </w:r>
          </w:p>
        </w:tc>
        <w:tc>
          <w:tcPr>
            <w:tcW w:w="2739" w:type="dxa"/>
            <w:tcBorders>
              <w:top w:val="single" w:color="auto" w:sz="4" w:space="0"/>
              <w:left w:val="single" w:color="auto" w:sz="4" w:space="0"/>
              <w:bottom w:val="single" w:color="auto" w:sz="4" w:space="0"/>
              <w:right w:val="single" w:color="auto" w:sz="4" w:space="0"/>
            </w:tcBorders>
            <w:shd w:val="clear" w:color="auto" w:fill="auto"/>
            <w:vAlign w:val="top"/>
          </w:tcPr>
          <w:p w14:paraId="756F2DC7">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姓名</w:t>
            </w:r>
          </w:p>
        </w:tc>
        <w:tc>
          <w:tcPr>
            <w:tcW w:w="2739" w:type="dxa"/>
            <w:tcBorders>
              <w:top w:val="single" w:color="auto" w:sz="4" w:space="0"/>
              <w:left w:val="single" w:color="auto" w:sz="4" w:space="0"/>
              <w:bottom w:val="single" w:color="auto" w:sz="4" w:space="0"/>
              <w:right w:val="single" w:color="auto" w:sz="4" w:space="0"/>
            </w:tcBorders>
            <w:shd w:val="clear" w:color="auto" w:fill="auto"/>
            <w:vAlign w:val="top"/>
          </w:tcPr>
          <w:p w14:paraId="3C43BF81">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电话</w:t>
            </w:r>
          </w:p>
        </w:tc>
      </w:tr>
      <w:tr w14:paraId="2642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2" w:hRule="atLeast"/>
          <w:jc w:val="center"/>
        </w:trPr>
        <w:tc>
          <w:tcPr>
            <w:tcW w:w="2633" w:type="dxa"/>
            <w:tcBorders>
              <w:top w:val="single" w:color="auto" w:sz="4" w:space="0"/>
              <w:left w:val="single" w:color="auto" w:sz="4" w:space="0"/>
              <w:bottom w:val="single" w:color="auto" w:sz="4" w:space="0"/>
              <w:right w:val="single" w:color="auto" w:sz="4" w:space="0"/>
            </w:tcBorders>
            <w:shd w:val="clear" w:color="auto" w:fill="auto"/>
            <w:vAlign w:val="top"/>
          </w:tcPr>
          <w:p w14:paraId="523B9D08">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办公室主任</w:t>
            </w:r>
          </w:p>
        </w:tc>
        <w:tc>
          <w:tcPr>
            <w:tcW w:w="2739" w:type="dxa"/>
            <w:tcBorders>
              <w:top w:val="single" w:color="auto" w:sz="4" w:space="0"/>
              <w:left w:val="single" w:color="auto" w:sz="4" w:space="0"/>
              <w:bottom w:val="single" w:color="auto" w:sz="4" w:space="0"/>
              <w:right w:val="single" w:color="auto" w:sz="4" w:space="0"/>
            </w:tcBorders>
            <w:shd w:val="clear" w:color="auto" w:fill="auto"/>
            <w:vAlign w:val="top"/>
          </w:tcPr>
          <w:p w14:paraId="207EA4B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p>
        </w:tc>
        <w:tc>
          <w:tcPr>
            <w:tcW w:w="2739" w:type="dxa"/>
            <w:tcBorders>
              <w:top w:val="single" w:color="auto" w:sz="4" w:space="0"/>
              <w:left w:val="single" w:color="auto" w:sz="4" w:space="0"/>
              <w:bottom w:val="single" w:color="auto" w:sz="4" w:space="0"/>
              <w:right w:val="single" w:color="auto" w:sz="4" w:space="0"/>
            </w:tcBorders>
            <w:shd w:val="clear" w:color="auto" w:fill="auto"/>
            <w:vAlign w:val="top"/>
          </w:tcPr>
          <w:p w14:paraId="2F0B7362">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p>
        </w:tc>
      </w:tr>
      <w:tr w14:paraId="74BF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633" w:type="dxa"/>
            <w:tcBorders>
              <w:top w:val="single" w:color="auto" w:sz="4" w:space="0"/>
              <w:left w:val="single" w:color="auto" w:sz="4" w:space="0"/>
              <w:bottom w:val="single" w:color="auto" w:sz="4" w:space="0"/>
              <w:right w:val="single" w:color="auto" w:sz="4" w:space="0"/>
            </w:tcBorders>
            <w:shd w:val="clear" w:color="auto" w:fill="auto"/>
            <w:vAlign w:val="top"/>
          </w:tcPr>
          <w:p w14:paraId="004DE594">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工程建设一部部长</w:t>
            </w:r>
          </w:p>
        </w:tc>
        <w:tc>
          <w:tcPr>
            <w:tcW w:w="2739" w:type="dxa"/>
            <w:tcBorders>
              <w:top w:val="single" w:color="auto" w:sz="4" w:space="0"/>
              <w:left w:val="single" w:color="auto" w:sz="4" w:space="0"/>
              <w:bottom w:val="single" w:color="auto" w:sz="4" w:space="0"/>
              <w:right w:val="single" w:color="auto" w:sz="4" w:space="0"/>
            </w:tcBorders>
            <w:shd w:val="clear" w:color="auto" w:fill="auto"/>
            <w:vAlign w:val="top"/>
          </w:tcPr>
          <w:p w14:paraId="6AC2915E">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rPr>
            </w:pPr>
          </w:p>
        </w:tc>
        <w:tc>
          <w:tcPr>
            <w:tcW w:w="2739" w:type="dxa"/>
            <w:tcBorders>
              <w:top w:val="single" w:color="auto" w:sz="4" w:space="0"/>
              <w:left w:val="single" w:color="auto" w:sz="4" w:space="0"/>
              <w:bottom w:val="single" w:color="auto" w:sz="4" w:space="0"/>
              <w:right w:val="single" w:color="auto" w:sz="4" w:space="0"/>
            </w:tcBorders>
            <w:shd w:val="clear" w:color="auto" w:fill="auto"/>
            <w:vAlign w:val="top"/>
          </w:tcPr>
          <w:p w14:paraId="7160318E">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rPr>
            </w:pPr>
          </w:p>
        </w:tc>
      </w:tr>
      <w:tr w14:paraId="5149E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8" w:hRule="atLeast"/>
          <w:jc w:val="center"/>
        </w:trPr>
        <w:tc>
          <w:tcPr>
            <w:tcW w:w="2633" w:type="dxa"/>
            <w:tcBorders>
              <w:top w:val="single" w:color="auto" w:sz="4" w:space="0"/>
              <w:left w:val="single" w:color="auto" w:sz="4" w:space="0"/>
              <w:bottom w:val="single" w:color="auto" w:sz="4" w:space="0"/>
              <w:right w:val="single" w:color="auto" w:sz="4" w:space="0"/>
            </w:tcBorders>
            <w:shd w:val="clear" w:color="auto" w:fill="auto"/>
            <w:vAlign w:val="top"/>
          </w:tcPr>
          <w:p w14:paraId="197815F9">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发包人现场代表</w:t>
            </w:r>
          </w:p>
        </w:tc>
        <w:tc>
          <w:tcPr>
            <w:tcW w:w="2739" w:type="dxa"/>
            <w:tcBorders>
              <w:top w:val="single" w:color="auto" w:sz="4" w:space="0"/>
              <w:left w:val="single" w:color="auto" w:sz="4" w:space="0"/>
              <w:bottom w:val="single" w:color="auto" w:sz="4" w:space="0"/>
              <w:right w:val="single" w:color="auto" w:sz="4" w:space="0"/>
            </w:tcBorders>
            <w:shd w:val="clear" w:color="auto" w:fill="auto"/>
            <w:vAlign w:val="top"/>
          </w:tcPr>
          <w:p w14:paraId="57F32FBA">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rPr>
            </w:pPr>
          </w:p>
        </w:tc>
        <w:tc>
          <w:tcPr>
            <w:tcW w:w="2739" w:type="dxa"/>
            <w:tcBorders>
              <w:top w:val="single" w:color="auto" w:sz="4" w:space="0"/>
              <w:left w:val="single" w:color="auto" w:sz="4" w:space="0"/>
              <w:bottom w:val="single" w:color="auto" w:sz="4" w:space="0"/>
              <w:right w:val="single" w:color="auto" w:sz="4" w:space="0"/>
            </w:tcBorders>
            <w:shd w:val="clear" w:color="auto" w:fill="auto"/>
            <w:vAlign w:val="top"/>
          </w:tcPr>
          <w:p w14:paraId="1A1522D3">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rPr>
            </w:pPr>
          </w:p>
        </w:tc>
      </w:tr>
    </w:tbl>
    <w:p w14:paraId="4D0552B3">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第三条 乙方责任</w:t>
      </w:r>
    </w:p>
    <w:p w14:paraId="4E17CD52">
      <w:pPr>
        <w:keepNext w:val="0"/>
        <w:keepLines w:val="0"/>
        <w:widowControl w:val="0"/>
        <w:suppressLineNumbers w:val="0"/>
        <w:spacing w:before="0" w:beforeAutospacing="0" w:after="0" w:afterAutospacing="0" w:line="440" w:lineRule="exact"/>
        <w:ind w:left="0" w:right="0" w:firstLine="484" w:firstLineChars="202"/>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（一）成立项目应急指挥部，《市重点项目中心突发事件应急预案》要求组建项目应急救援组织与队伍，服从甲方应急指挥中心的指挥。</w:t>
      </w:r>
    </w:p>
    <w:p w14:paraId="359B8128">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（二）根据《市重点项目中心突发事件应急预案》的要求，制定专项应急预案与现场应急处置方案。</w:t>
      </w:r>
    </w:p>
    <w:p w14:paraId="15491C4B">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（三）储备应急机械设备与物资器材，确保工程抢险应急的机械设备正常运作状态，物资器材充足。</w:t>
      </w:r>
    </w:p>
    <w:p w14:paraId="56E0B729">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（四）在应急救援时，调集不少于专项应急预案所要求的人员、机械设备、物资器材等资源参与救援。</w:t>
      </w:r>
    </w:p>
    <w:p w14:paraId="608514C6">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（五）每半年向甲方报告应急演练、应急培训、联系方式、专项应急预案、应急队伍、应急设备、应急物资等信息。</w:t>
      </w:r>
    </w:p>
    <w:p w14:paraId="519EE323">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（六）每年组织综合类应急预案与专项应急预案进行应急救援演练不少于一次，组织现场应急处置方案进行应急演练不少于两次。</w:t>
      </w:r>
    </w:p>
    <w:p w14:paraId="7A32AC52">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七）发生突发事件后应立即启动项目专项应急预案，并立即向甲方报告事故信息。必要时，乙方可以请求甲方启动综合应急预案，如果事故现场救援工作有失控的趋势，甲方可以直接启动综合应急预案，指令成员单位派出应急救援人员、机械设备、物资器材等参加应急救援。</w:t>
      </w:r>
    </w:p>
    <w:p w14:paraId="465D5F85">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（八）根据《市重点项目中心突发事件应急预案》的要求，随时接受甲方调遣，参与突发事件的救援工作，快速调集本单位救援人员、机械设备、物资器材进行应急响应，积极承担应急抢险救援任务。</w:t>
      </w:r>
    </w:p>
    <w:p w14:paraId="4E9AA99A">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九）应急救援工作所发生的费用按照“谁受益谁承担”的原则承担：其它成员单位参与乙方突发事件救援所发生的费用由乙方承担；乙方应在突发事件发生后30天内向其它成员单位支付补偿金；乙方参与其它成员单位突发事件救援所发生的费用由发生突发事件的单位承担。</w:t>
      </w:r>
    </w:p>
    <w:p w14:paraId="6672DFDA">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（十）乙方项目应急指挥部的成员及联系方式如下：</w:t>
      </w:r>
    </w:p>
    <w:tbl>
      <w:tblPr>
        <w:tblStyle w:val="4"/>
        <w:tblW w:w="8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96"/>
        <w:gridCol w:w="3186"/>
        <w:gridCol w:w="2742"/>
      </w:tblGrid>
      <w:tr w14:paraId="6E2EC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9" w:hRule="atLeast"/>
          <w:jc w:val="center"/>
        </w:trPr>
        <w:tc>
          <w:tcPr>
            <w:tcW w:w="2296" w:type="dxa"/>
            <w:tcBorders>
              <w:top w:val="single" w:color="auto" w:sz="4" w:space="0"/>
              <w:left w:val="single" w:color="auto" w:sz="4" w:space="0"/>
              <w:bottom w:val="single" w:color="auto" w:sz="4" w:space="0"/>
              <w:right w:val="single" w:color="auto" w:sz="4" w:space="0"/>
            </w:tcBorders>
            <w:shd w:val="clear" w:color="auto" w:fill="auto"/>
            <w:vAlign w:val="top"/>
          </w:tcPr>
          <w:p w14:paraId="2FD5D3AA">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职务</w:t>
            </w:r>
          </w:p>
        </w:tc>
        <w:tc>
          <w:tcPr>
            <w:tcW w:w="3186" w:type="dxa"/>
            <w:tcBorders>
              <w:top w:val="single" w:color="auto" w:sz="4" w:space="0"/>
              <w:left w:val="single" w:color="auto" w:sz="4" w:space="0"/>
              <w:bottom w:val="single" w:color="auto" w:sz="4" w:space="0"/>
              <w:right w:val="single" w:color="auto" w:sz="4" w:space="0"/>
            </w:tcBorders>
            <w:shd w:val="clear" w:color="auto" w:fill="auto"/>
            <w:vAlign w:val="top"/>
          </w:tcPr>
          <w:p w14:paraId="72145B3F">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姓名</w:t>
            </w:r>
          </w:p>
        </w:tc>
        <w:tc>
          <w:tcPr>
            <w:tcW w:w="2742" w:type="dxa"/>
            <w:tcBorders>
              <w:top w:val="single" w:color="auto" w:sz="4" w:space="0"/>
              <w:left w:val="single" w:color="auto" w:sz="4" w:space="0"/>
              <w:bottom w:val="single" w:color="auto" w:sz="4" w:space="0"/>
              <w:right w:val="single" w:color="auto" w:sz="4" w:space="0"/>
            </w:tcBorders>
            <w:shd w:val="clear" w:color="auto" w:fill="auto"/>
            <w:vAlign w:val="top"/>
          </w:tcPr>
          <w:p w14:paraId="354A2844">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电话</w:t>
            </w:r>
          </w:p>
        </w:tc>
      </w:tr>
      <w:tr w14:paraId="57C4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96" w:type="dxa"/>
            <w:tcBorders>
              <w:top w:val="single" w:color="auto" w:sz="4" w:space="0"/>
              <w:left w:val="single" w:color="auto" w:sz="4" w:space="0"/>
              <w:bottom w:val="single" w:color="auto" w:sz="4" w:space="0"/>
              <w:right w:val="single" w:color="auto" w:sz="4" w:space="0"/>
            </w:tcBorders>
            <w:shd w:val="clear" w:color="auto" w:fill="auto"/>
            <w:vAlign w:val="top"/>
          </w:tcPr>
          <w:p w14:paraId="4BE74819">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rPr>
            </w:pPr>
          </w:p>
        </w:tc>
        <w:tc>
          <w:tcPr>
            <w:tcW w:w="3186" w:type="dxa"/>
            <w:tcBorders>
              <w:top w:val="single" w:color="auto" w:sz="4" w:space="0"/>
              <w:left w:val="single" w:color="auto" w:sz="4" w:space="0"/>
              <w:bottom w:val="single" w:color="auto" w:sz="4" w:space="0"/>
              <w:right w:val="single" w:color="auto" w:sz="4" w:space="0"/>
            </w:tcBorders>
            <w:shd w:val="clear" w:color="auto" w:fill="auto"/>
            <w:vAlign w:val="top"/>
          </w:tcPr>
          <w:p w14:paraId="3D4558AA">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rPr>
            </w:pPr>
          </w:p>
        </w:tc>
        <w:tc>
          <w:tcPr>
            <w:tcW w:w="2742" w:type="dxa"/>
            <w:tcBorders>
              <w:top w:val="single" w:color="auto" w:sz="4" w:space="0"/>
              <w:left w:val="single" w:color="auto" w:sz="4" w:space="0"/>
              <w:bottom w:val="single" w:color="auto" w:sz="4" w:space="0"/>
              <w:right w:val="single" w:color="auto" w:sz="4" w:space="0"/>
            </w:tcBorders>
            <w:shd w:val="clear" w:color="auto" w:fill="auto"/>
            <w:vAlign w:val="top"/>
          </w:tcPr>
          <w:p w14:paraId="558DE079">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rPr>
            </w:pPr>
          </w:p>
        </w:tc>
      </w:tr>
      <w:tr w14:paraId="4AE6A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96" w:type="dxa"/>
            <w:tcBorders>
              <w:top w:val="single" w:color="auto" w:sz="4" w:space="0"/>
              <w:left w:val="single" w:color="auto" w:sz="4" w:space="0"/>
              <w:bottom w:val="single" w:color="auto" w:sz="4" w:space="0"/>
              <w:right w:val="single" w:color="auto" w:sz="4" w:space="0"/>
            </w:tcBorders>
            <w:shd w:val="clear" w:color="auto" w:fill="auto"/>
            <w:vAlign w:val="top"/>
          </w:tcPr>
          <w:p w14:paraId="515D9C20">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rPr>
            </w:pPr>
          </w:p>
        </w:tc>
        <w:tc>
          <w:tcPr>
            <w:tcW w:w="3186" w:type="dxa"/>
            <w:tcBorders>
              <w:top w:val="single" w:color="auto" w:sz="4" w:space="0"/>
              <w:left w:val="single" w:color="auto" w:sz="4" w:space="0"/>
              <w:bottom w:val="single" w:color="auto" w:sz="4" w:space="0"/>
              <w:right w:val="single" w:color="auto" w:sz="4" w:space="0"/>
            </w:tcBorders>
            <w:shd w:val="clear" w:color="auto" w:fill="auto"/>
            <w:vAlign w:val="top"/>
          </w:tcPr>
          <w:p w14:paraId="6A6400A4">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rPr>
            </w:pPr>
          </w:p>
        </w:tc>
        <w:tc>
          <w:tcPr>
            <w:tcW w:w="2742" w:type="dxa"/>
            <w:tcBorders>
              <w:top w:val="single" w:color="auto" w:sz="4" w:space="0"/>
              <w:left w:val="single" w:color="auto" w:sz="4" w:space="0"/>
              <w:bottom w:val="single" w:color="auto" w:sz="4" w:space="0"/>
              <w:right w:val="single" w:color="auto" w:sz="4" w:space="0"/>
            </w:tcBorders>
            <w:shd w:val="clear" w:color="auto" w:fill="auto"/>
            <w:vAlign w:val="top"/>
          </w:tcPr>
          <w:p w14:paraId="5FED266B">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rPr>
            </w:pPr>
          </w:p>
        </w:tc>
      </w:tr>
      <w:tr w14:paraId="0506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296" w:type="dxa"/>
            <w:tcBorders>
              <w:top w:val="single" w:color="auto" w:sz="4" w:space="0"/>
              <w:left w:val="single" w:color="auto" w:sz="4" w:space="0"/>
              <w:bottom w:val="single" w:color="auto" w:sz="4" w:space="0"/>
              <w:right w:val="single" w:color="auto" w:sz="4" w:space="0"/>
            </w:tcBorders>
            <w:shd w:val="clear" w:color="auto" w:fill="auto"/>
            <w:vAlign w:val="top"/>
          </w:tcPr>
          <w:p w14:paraId="0F135DF3">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rPr>
            </w:pPr>
          </w:p>
        </w:tc>
        <w:tc>
          <w:tcPr>
            <w:tcW w:w="3186" w:type="dxa"/>
            <w:tcBorders>
              <w:top w:val="single" w:color="auto" w:sz="4" w:space="0"/>
              <w:left w:val="single" w:color="auto" w:sz="4" w:space="0"/>
              <w:bottom w:val="single" w:color="auto" w:sz="4" w:space="0"/>
              <w:right w:val="single" w:color="auto" w:sz="4" w:space="0"/>
            </w:tcBorders>
            <w:shd w:val="clear" w:color="auto" w:fill="auto"/>
            <w:vAlign w:val="top"/>
          </w:tcPr>
          <w:p w14:paraId="6343883D">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rPr>
            </w:pPr>
          </w:p>
        </w:tc>
        <w:tc>
          <w:tcPr>
            <w:tcW w:w="2742" w:type="dxa"/>
            <w:tcBorders>
              <w:top w:val="single" w:color="auto" w:sz="4" w:space="0"/>
              <w:left w:val="single" w:color="auto" w:sz="4" w:space="0"/>
              <w:bottom w:val="single" w:color="auto" w:sz="4" w:space="0"/>
              <w:right w:val="single" w:color="auto" w:sz="4" w:space="0"/>
            </w:tcBorders>
            <w:shd w:val="clear" w:color="auto" w:fill="auto"/>
            <w:vAlign w:val="top"/>
          </w:tcPr>
          <w:p w14:paraId="4E5AA8F4">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rPr>
            </w:pPr>
          </w:p>
        </w:tc>
      </w:tr>
    </w:tbl>
    <w:p w14:paraId="609700D8">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第四条 违约责任</w:t>
      </w:r>
    </w:p>
    <w:p w14:paraId="63D6BABF">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（一）乙方拖延或未按甲方指令参加救援工作应按《</w:t>
      </w:r>
      <w:r>
        <w:rPr>
          <w:rFonts w:hint="eastAsia" w:ascii="宋体" w:hAnsi="宋体" w:eastAsia="宋体" w:cs="宋体"/>
          <w:color w:val="auto"/>
          <w:kern w:val="0"/>
          <w:sz w:val="24"/>
          <w:szCs w:val="24"/>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color w:val="auto"/>
          <w:kern w:val="2"/>
          <w:sz w:val="24"/>
          <w:szCs w:val="24"/>
          <w:highlight w:val="none"/>
          <w:lang w:val="en-US" w:eastAsia="zh-CN" w:bidi="ar"/>
        </w:rPr>
        <w:t>合同》的约定承担一次严重违约责任。</w:t>
      </w:r>
    </w:p>
    <w:p w14:paraId="42EAE151">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（二）乙方投入应急救援人员、机械设备、物资器材等资源不足，应按《</w:t>
      </w:r>
      <w:r>
        <w:rPr>
          <w:rFonts w:hint="eastAsia" w:ascii="宋体" w:hAnsi="宋体" w:eastAsia="宋体" w:cs="宋体"/>
          <w:color w:val="auto"/>
          <w:kern w:val="0"/>
          <w:sz w:val="24"/>
          <w:szCs w:val="24"/>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color w:val="auto"/>
          <w:kern w:val="2"/>
          <w:sz w:val="24"/>
          <w:szCs w:val="24"/>
          <w:highlight w:val="none"/>
          <w:lang w:val="en-US" w:eastAsia="zh-CN" w:bidi="ar"/>
        </w:rPr>
        <w:t>合同》的约定承担一次一般违约责任。</w:t>
      </w:r>
    </w:p>
    <w:p w14:paraId="3E6C373F">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（三）乙方未向参与对其所负责项目救援的其它成员单位支付补偿金，甲方有权从应支付给乙方的工程款扣除相关的费用，直接支付给参与救援的其它成员单位。乙方仍须按《</w:t>
      </w:r>
      <w:r>
        <w:rPr>
          <w:rFonts w:hint="eastAsia" w:ascii="宋体" w:hAnsi="宋体" w:eastAsia="宋体" w:cs="宋体"/>
          <w:color w:val="auto"/>
          <w:kern w:val="0"/>
          <w:sz w:val="24"/>
          <w:szCs w:val="24"/>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color w:val="auto"/>
          <w:kern w:val="2"/>
          <w:sz w:val="24"/>
          <w:szCs w:val="24"/>
          <w:highlight w:val="none"/>
          <w:lang w:val="en-US" w:eastAsia="zh-CN" w:bidi="ar"/>
        </w:rPr>
        <w:t>合同》的约定承担一次一般违约责任。</w:t>
      </w:r>
    </w:p>
    <w:p w14:paraId="3E62910C">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第五条 其它约定</w:t>
      </w:r>
    </w:p>
    <w:p w14:paraId="5BAB1175">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（一）本协议未尽事宜，可由双方另行协商确定。</w:t>
      </w:r>
    </w:p>
    <w:p w14:paraId="387FE6D6">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（二）本协议有效期从签字盖章之日起生效，有效期至本工程竣工时终止。</w:t>
      </w:r>
    </w:p>
    <w:p w14:paraId="3ED2A179">
      <w:pPr>
        <w:keepNext w:val="0"/>
        <w:keepLines w:val="0"/>
        <w:widowControl w:val="0"/>
        <w:suppressLineNumbers w:val="0"/>
        <w:spacing w:before="0" w:beforeAutospacing="0" w:after="0" w:afterAutospacing="0" w:line="44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（三）本协议一式十一份，甲方持八份，乙方持三份，经双方签字盖章后生效。 </w:t>
      </w:r>
    </w:p>
    <w:p w14:paraId="4C8598AF">
      <w:pPr>
        <w:keepNext w:val="0"/>
        <w:keepLines w:val="0"/>
        <w:widowControl w:val="0"/>
        <w:suppressLineNumbers w:val="0"/>
        <w:spacing w:before="0" w:beforeAutospacing="0" w:after="0" w:afterAutospacing="0" w:line="440" w:lineRule="exact"/>
        <w:ind w:left="600" w:right="11" w:hanging="600" w:hangingChars="300"/>
        <w:jc w:val="left"/>
        <w:rPr>
          <w:rFonts w:hint="eastAsia" w:ascii="宋体" w:hAnsi="宋体" w:eastAsia="宋体" w:cs="宋体"/>
          <w:color w:val="auto"/>
          <w:kern w:val="0"/>
          <w:sz w:val="24"/>
          <w:szCs w:val="24"/>
          <w:highlight w:val="none"/>
        </w:rPr>
      </w:pPr>
      <w:r>
        <w:rPr>
          <w:rFonts w:hint="eastAsia" w:ascii="宋体" w:hAnsi="宋体" w:eastAsia="宋体" w:cs="宋体"/>
          <w:color w:val="auto"/>
          <w:spacing w:val="-20"/>
          <w:kern w:val="0"/>
          <w:sz w:val="24"/>
          <w:szCs w:val="24"/>
          <w:highlight w:val="none"/>
          <w:lang w:val="en-US" w:eastAsia="zh-CN" w:bidi="ar"/>
        </w:rPr>
        <w:br w:type="page"/>
      </w:r>
      <w:r>
        <w:rPr>
          <w:rFonts w:hint="eastAsia" w:ascii="宋体" w:hAnsi="宋体" w:eastAsia="宋体" w:cs="宋体"/>
          <w:color w:val="auto"/>
          <w:spacing w:val="-20"/>
          <w:kern w:val="0"/>
          <w:sz w:val="24"/>
          <w:szCs w:val="24"/>
          <w:highlight w:val="none"/>
          <w:lang w:val="en-US" w:eastAsia="zh-CN" w:bidi="ar"/>
        </w:rPr>
        <w:t>甲方：</w:t>
      </w:r>
      <w:r>
        <w:rPr>
          <w:rFonts w:hint="eastAsia" w:ascii="宋体" w:hAnsi="宋体" w:eastAsia="宋体" w:cs="宋体"/>
          <w:b/>
          <w:color w:val="auto"/>
          <w:spacing w:val="-20"/>
          <w:kern w:val="0"/>
          <w:sz w:val="24"/>
          <w:szCs w:val="24"/>
          <w:highlight w:val="none"/>
          <w:lang w:val="en-US" w:eastAsia="zh-CN" w:bidi="ar"/>
        </w:rPr>
        <w:t>广州市重点公共建设项目管理中心</w:t>
      </w:r>
      <w:r>
        <w:rPr>
          <w:rFonts w:hint="eastAsia" w:ascii="宋体" w:hAnsi="宋体" w:eastAsia="宋体" w:cs="宋体"/>
          <w:color w:val="auto"/>
          <w:spacing w:val="-20"/>
          <w:kern w:val="0"/>
          <w:sz w:val="24"/>
          <w:szCs w:val="24"/>
          <w:highlight w:val="none"/>
          <w:lang w:val="en-US" w:eastAsia="zh-CN" w:bidi="ar"/>
        </w:rPr>
        <w:t xml:space="preserve">        乙方：</w:t>
      </w:r>
      <w:r>
        <w:rPr>
          <w:rFonts w:hint="eastAsia" w:ascii="宋体" w:hAnsi="宋体" w:eastAsia="宋体" w:cs="宋体"/>
          <w:b/>
          <w:color w:val="auto"/>
          <w:spacing w:val="-20"/>
          <w:kern w:val="0"/>
          <w:sz w:val="24"/>
          <w:szCs w:val="24"/>
          <w:highlight w:val="none"/>
          <w:lang w:val="en-US" w:eastAsia="zh-CN" w:bidi="ar"/>
        </w:rPr>
        <w:t>中标赞助企业</w:t>
      </w:r>
      <w:r>
        <w:rPr>
          <w:rFonts w:hint="eastAsia" w:ascii="宋体" w:hAnsi="宋体" w:eastAsia="宋体" w:cs="宋体"/>
          <w:color w:val="auto"/>
          <w:kern w:val="0"/>
          <w:sz w:val="24"/>
          <w:szCs w:val="24"/>
          <w:highlight w:val="none"/>
          <w:lang w:val="en-US" w:eastAsia="zh-CN" w:bidi="ar"/>
        </w:rPr>
        <w:t xml:space="preserve">                                （盖章）                               （盖章）   </w:t>
      </w:r>
    </w:p>
    <w:p w14:paraId="7148E08E">
      <w:pPr>
        <w:keepNext w:val="0"/>
        <w:keepLines w:val="0"/>
        <w:widowControl w:val="0"/>
        <w:suppressLineNumbers w:val="0"/>
        <w:spacing w:before="0" w:beforeAutospacing="0" w:after="0" w:afterAutospacing="0" w:line="440" w:lineRule="exact"/>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27339B6F">
      <w:pPr>
        <w:keepNext w:val="0"/>
        <w:keepLines w:val="0"/>
        <w:widowControl w:val="0"/>
        <w:suppressLineNumbers w:val="0"/>
        <w:spacing w:before="0" w:beforeAutospacing="0" w:after="0" w:afterAutospacing="0" w:line="440" w:lineRule="exact"/>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法定代表人：                        法定代表人：</w:t>
      </w:r>
    </w:p>
    <w:p w14:paraId="13C25B15">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委托代理人：                        委托代理人：</w:t>
      </w:r>
    </w:p>
    <w:p w14:paraId="0D6ABBC8">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C0019D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时间：    年  月  日                时间：    年  月  日</w:t>
      </w:r>
    </w:p>
    <w:p w14:paraId="2B4759D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651D186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br w:type="page"/>
      </w:r>
      <w:r>
        <w:rPr>
          <w:rFonts w:hint="eastAsia" w:ascii="宋体" w:hAnsi="宋体" w:eastAsia="宋体" w:cs="宋体"/>
          <w:color w:val="auto"/>
          <w:kern w:val="2"/>
          <w:sz w:val="24"/>
          <w:szCs w:val="24"/>
          <w:highlight w:val="none"/>
          <w:lang w:val="en-US" w:eastAsia="zh-CN" w:bidi="ar"/>
        </w:rPr>
        <w:t>附件15：</w:t>
      </w:r>
    </w:p>
    <w:p w14:paraId="4983D574">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val="0"/>
          <w:color w:val="auto"/>
          <w:spacing w:val="-20"/>
          <w:kern w:val="0"/>
          <w:sz w:val="32"/>
          <w:szCs w:val="32"/>
          <w:highlight w:val="none"/>
        </w:rPr>
      </w:pPr>
      <w:r>
        <w:rPr>
          <w:rFonts w:hint="eastAsia" w:ascii="宋体" w:hAnsi="宋体" w:eastAsia="宋体" w:cs="宋体"/>
          <w:b/>
          <w:bCs w:val="0"/>
          <w:color w:val="auto"/>
          <w:spacing w:val="-20"/>
          <w:kern w:val="0"/>
          <w:sz w:val="32"/>
          <w:szCs w:val="32"/>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b/>
          <w:bCs w:val="0"/>
          <w:color w:val="auto"/>
          <w:spacing w:val="-20"/>
          <w:kern w:val="0"/>
          <w:sz w:val="32"/>
          <w:szCs w:val="32"/>
          <w:highlight w:val="none"/>
          <w:lang w:val="en-US" w:eastAsia="zh-CN" w:bidi="ar"/>
        </w:rPr>
        <w:t>工程施工总承包管理协议书（格式）</w:t>
      </w:r>
    </w:p>
    <w:p w14:paraId="3AE4BEC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 xml:space="preserve"> </w:t>
      </w:r>
    </w:p>
    <w:p w14:paraId="6F60CD9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lang w:val="en-US" w:eastAsia="zh-CN" w:bidi="ar"/>
        </w:rPr>
        <w:t>总 承 包人（甲方）：</w:t>
      </w:r>
      <w:r>
        <w:rPr>
          <w:rFonts w:hint="eastAsia" w:ascii="宋体" w:hAnsi="宋体" w:eastAsia="宋体" w:cs="宋体"/>
          <w:b/>
          <w:bCs w:val="0"/>
          <w:color w:val="auto"/>
          <w:spacing w:val="-20"/>
          <w:kern w:val="0"/>
          <w:sz w:val="24"/>
          <w:szCs w:val="24"/>
          <w:highlight w:val="none"/>
          <w:u w:val="single"/>
          <w:lang w:val="en-US" w:eastAsia="zh-CN" w:bidi="ar"/>
        </w:rPr>
        <w:t xml:space="preserve">                              </w:t>
      </w:r>
    </w:p>
    <w:p w14:paraId="080E62B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spacing w:val="-20"/>
          <w:kern w:val="0"/>
          <w:sz w:val="24"/>
          <w:szCs w:val="24"/>
          <w:highlight w:val="none"/>
        </w:rPr>
      </w:pPr>
      <w:r>
        <w:rPr>
          <w:rFonts w:hint="eastAsia" w:ascii="宋体" w:hAnsi="宋体" w:eastAsia="宋体" w:cs="宋体"/>
          <w:b/>
          <w:color w:val="auto"/>
          <w:kern w:val="0"/>
          <w:sz w:val="24"/>
          <w:szCs w:val="24"/>
          <w:highlight w:val="none"/>
          <w:lang w:val="en-US" w:eastAsia="zh-CN" w:bidi="ar"/>
        </w:rPr>
        <w:t>专业承包人（乙方）：</w:t>
      </w:r>
      <w:r>
        <w:rPr>
          <w:rFonts w:hint="eastAsia" w:ascii="宋体" w:hAnsi="宋体" w:eastAsia="宋体" w:cs="宋体"/>
          <w:b/>
          <w:color w:val="auto"/>
          <w:spacing w:val="-20"/>
          <w:kern w:val="0"/>
          <w:sz w:val="24"/>
          <w:szCs w:val="24"/>
          <w:highlight w:val="none"/>
          <w:lang w:val="en-US" w:eastAsia="zh-CN" w:bidi="ar"/>
        </w:rPr>
        <w:t>中标赞助企业</w:t>
      </w:r>
    </w:p>
    <w:p w14:paraId="6D3B2EF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spacing w:val="-20"/>
          <w:kern w:val="0"/>
          <w:sz w:val="24"/>
          <w:szCs w:val="24"/>
          <w:highlight w:val="none"/>
        </w:rPr>
      </w:pPr>
      <w:r>
        <w:rPr>
          <w:rFonts w:hint="eastAsia" w:ascii="宋体" w:hAnsi="宋体" w:eastAsia="宋体" w:cs="宋体"/>
          <w:b/>
          <w:color w:val="auto"/>
          <w:kern w:val="0"/>
          <w:sz w:val="24"/>
          <w:szCs w:val="24"/>
          <w:highlight w:val="none"/>
          <w:lang w:val="en-US" w:eastAsia="zh-CN" w:bidi="ar"/>
        </w:rPr>
        <w:t>发  包  人（丙方）：</w:t>
      </w:r>
      <w:r>
        <w:rPr>
          <w:rFonts w:hint="eastAsia" w:ascii="宋体" w:hAnsi="宋体" w:eastAsia="宋体" w:cs="宋体"/>
          <w:b/>
          <w:bCs w:val="0"/>
          <w:color w:val="auto"/>
          <w:spacing w:val="-20"/>
          <w:kern w:val="0"/>
          <w:sz w:val="24"/>
          <w:szCs w:val="24"/>
          <w:highlight w:val="none"/>
          <w:lang w:val="en-US" w:eastAsia="zh-CN" w:bidi="ar"/>
        </w:rPr>
        <w:t>广州市重点公共建设项目管理中心</w:t>
      </w:r>
    </w:p>
    <w:p w14:paraId="3E7F39C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spacing w:val="-20"/>
          <w:kern w:val="0"/>
          <w:sz w:val="24"/>
          <w:szCs w:val="24"/>
          <w:highlight w:val="none"/>
        </w:rPr>
      </w:pPr>
      <w:r>
        <w:rPr>
          <w:rFonts w:hint="eastAsia" w:ascii="宋体" w:hAnsi="宋体" w:eastAsia="宋体" w:cs="宋体"/>
          <w:b/>
          <w:bCs w:val="0"/>
          <w:color w:val="auto"/>
          <w:spacing w:val="-20"/>
          <w:kern w:val="0"/>
          <w:sz w:val="24"/>
          <w:szCs w:val="24"/>
          <w:highlight w:val="none"/>
          <w:lang w:val="en-US" w:eastAsia="zh-CN" w:bidi="ar"/>
        </w:rPr>
        <w:t xml:space="preserve"> </w:t>
      </w:r>
    </w:p>
    <w:p w14:paraId="414E037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pacing w:val="-20"/>
          <w:kern w:val="0"/>
          <w:sz w:val="24"/>
          <w:szCs w:val="24"/>
          <w:highlight w:val="none"/>
        </w:rPr>
      </w:pPr>
      <w:r>
        <w:rPr>
          <w:rFonts w:hint="eastAsia" w:ascii="宋体" w:hAnsi="宋体" w:eastAsia="宋体" w:cs="宋体"/>
          <w:b/>
          <w:bCs w:val="0"/>
          <w:color w:val="auto"/>
          <w:kern w:val="0"/>
          <w:sz w:val="24"/>
          <w:szCs w:val="24"/>
          <w:highlight w:val="none"/>
          <w:lang w:val="en-US" w:eastAsia="zh-CN" w:bidi="ar"/>
        </w:rPr>
        <w:t>鉴于：</w:t>
      </w:r>
    </w:p>
    <w:p w14:paraId="043FCB06">
      <w:pPr>
        <w:keepNext w:val="0"/>
        <w:keepLines w:val="0"/>
        <w:widowControl w:val="0"/>
        <w:suppressLineNumbers w:val="0"/>
        <w:adjustRightInd w:val="0"/>
        <w:snapToGrid w:val="0"/>
        <w:spacing w:before="0" w:beforeAutospacing="0" w:after="0" w:afterAutospacing="0" w:line="360" w:lineRule="auto"/>
        <w:ind w:left="118" w:leftChars="56" w:right="11" w:firstLine="348" w:firstLineChars="14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月，发包人</w:t>
      </w:r>
      <w:r>
        <w:rPr>
          <w:rFonts w:hint="eastAsia" w:ascii="宋体" w:hAnsi="宋体" w:eastAsia="宋体" w:cs="宋体"/>
          <w:b/>
          <w:bCs w:val="0"/>
          <w:color w:val="auto"/>
          <w:kern w:val="0"/>
          <w:sz w:val="24"/>
          <w:szCs w:val="24"/>
          <w:highlight w:val="none"/>
          <w:lang w:val="en-US" w:eastAsia="zh-CN" w:bidi="ar"/>
        </w:rPr>
        <w:t>广州市重点公共建设项目管理中心</w:t>
      </w:r>
      <w:r>
        <w:rPr>
          <w:rFonts w:hint="eastAsia" w:ascii="宋体" w:hAnsi="宋体" w:eastAsia="宋体" w:cs="宋体"/>
          <w:color w:val="auto"/>
          <w:kern w:val="0"/>
          <w:sz w:val="24"/>
          <w:szCs w:val="24"/>
          <w:highlight w:val="none"/>
          <w:lang w:val="en-US" w:eastAsia="zh-CN" w:bidi="ar"/>
        </w:rPr>
        <w:t>（以下称丙方）与总承包人</w:t>
      </w:r>
      <w:r>
        <w:rPr>
          <w:rFonts w:hint="eastAsia" w:ascii="宋体" w:hAnsi="宋体" w:eastAsia="宋体" w:cs="宋体"/>
          <w:b/>
          <w:bCs w:val="0"/>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（以下称甲方）就</w:t>
      </w:r>
      <w:r>
        <w:rPr>
          <w:rFonts w:hint="eastAsia" w:ascii="宋体" w:hAnsi="宋体" w:eastAsia="宋体" w:cs="宋体"/>
          <w:b/>
          <w:bCs w:val="0"/>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（以下称本项目）施工总承包签订《</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》（合同编号：</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，以下称《总承包合同》）。《总承包合同》约定由甲方负责本项目施工总承包及</w:t>
      </w:r>
      <w:r>
        <w:rPr>
          <w:rFonts w:hint="eastAsia" w:ascii="宋体" w:hAnsi="宋体" w:eastAsia="宋体" w:cs="宋体"/>
          <w:bCs/>
          <w:color w:val="auto"/>
          <w:kern w:val="0"/>
          <w:sz w:val="24"/>
          <w:szCs w:val="24"/>
          <w:highlight w:val="none"/>
          <w:lang w:val="en-US" w:eastAsia="zh-CN" w:bidi="ar"/>
        </w:rPr>
        <w:t>施工总承包管理与配合服务</w:t>
      </w:r>
      <w:r>
        <w:rPr>
          <w:rFonts w:hint="eastAsia" w:ascii="宋体" w:hAnsi="宋体" w:eastAsia="宋体" w:cs="宋体"/>
          <w:color w:val="auto"/>
          <w:kern w:val="0"/>
          <w:sz w:val="24"/>
          <w:szCs w:val="24"/>
          <w:highlight w:val="none"/>
          <w:lang w:val="en-US" w:eastAsia="zh-CN" w:bidi="ar"/>
        </w:rPr>
        <w:t>。</w:t>
      </w:r>
    </w:p>
    <w:p w14:paraId="16DA287C">
      <w:pPr>
        <w:keepNext w:val="0"/>
        <w:keepLines w:val="0"/>
        <w:widowControl w:val="0"/>
        <w:suppressLineNumbers w:val="0"/>
        <w:adjustRightInd w:val="0"/>
        <w:snapToGrid w:val="0"/>
        <w:spacing w:before="0" w:beforeAutospacing="0" w:after="0" w:afterAutospacing="0" w:line="360" w:lineRule="auto"/>
        <w:ind w:left="118" w:leftChars="56" w:right="11" w:firstLine="348" w:firstLineChars="14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2、丙方依法确定</w:t>
      </w:r>
      <w:r>
        <w:rPr>
          <w:rFonts w:hint="eastAsia" w:ascii="宋体" w:hAnsi="宋体" w:eastAsia="宋体" w:cs="宋体"/>
          <w:b/>
          <w:color w:val="auto"/>
          <w:spacing w:val="-20"/>
          <w:kern w:val="0"/>
          <w:sz w:val="24"/>
          <w:szCs w:val="24"/>
          <w:highlight w:val="none"/>
          <w:lang w:val="en-US" w:eastAsia="zh-CN" w:bidi="ar"/>
        </w:rPr>
        <w:t>中标赞助企业</w:t>
      </w:r>
      <w:r>
        <w:rPr>
          <w:rFonts w:hint="eastAsia" w:ascii="宋体" w:hAnsi="宋体" w:eastAsia="宋体" w:cs="宋体"/>
          <w:color w:val="auto"/>
          <w:kern w:val="0"/>
          <w:sz w:val="24"/>
          <w:szCs w:val="24"/>
          <w:highlight w:val="none"/>
          <w:lang w:val="en-US" w:eastAsia="zh-CN" w:bidi="ar"/>
        </w:rPr>
        <w:t>（以下称乙方）为本项目第十五届全运会广东奥林匹克体育中心升级改造项目、第十五届全运会广东省人民体育场改造项目体育工艺（设备类）采购及相关服务工程的专业承包单位。</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年</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月，丙方与乙方签订《</w:t>
      </w:r>
      <w:r>
        <w:rPr>
          <w:rFonts w:hint="eastAsia" w:ascii="宋体" w:hAnsi="宋体" w:eastAsia="宋体" w:cs="宋体"/>
          <w:color w:val="auto"/>
          <w:kern w:val="0"/>
          <w:sz w:val="24"/>
          <w:szCs w:val="24"/>
          <w:highlight w:val="none"/>
          <w:u w:val="single"/>
          <w:lang w:val="en-US" w:eastAsia="zh-CN" w:bidi="ar"/>
        </w:rPr>
        <w:t>第十五届全运会广东奥林匹克体育中心升级改造项目、第十五届全运会广东省人民体育场改造项目体育工艺（设备类）采购及相关服务合同</w:t>
      </w:r>
      <w:r>
        <w:rPr>
          <w:rFonts w:hint="eastAsia" w:ascii="宋体" w:hAnsi="宋体" w:eastAsia="宋体" w:cs="宋体"/>
          <w:color w:val="auto"/>
          <w:kern w:val="0"/>
          <w:sz w:val="24"/>
          <w:szCs w:val="24"/>
          <w:highlight w:val="none"/>
          <w:lang w:val="en-US" w:eastAsia="zh-CN" w:bidi="ar"/>
        </w:rPr>
        <w:t>》（合同编号：</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，以下称《专业承包合同》）。《专业承包合同》约定由乙方负责本项目</w:t>
      </w:r>
      <w:r>
        <w:rPr>
          <w:rFonts w:hint="eastAsia" w:ascii="宋体" w:hAnsi="宋体" w:eastAsia="宋体" w:cs="宋体"/>
          <w:color w:val="auto"/>
          <w:kern w:val="0"/>
          <w:sz w:val="24"/>
          <w:szCs w:val="24"/>
          <w:highlight w:val="none"/>
          <w:u w:val="single"/>
          <w:lang w:val="en-US" w:eastAsia="zh-CN" w:bidi="ar"/>
        </w:rPr>
        <w:t>体育工艺（设备类）采购及相关服务</w:t>
      </w:r>
      <w:r>
        <w:rPr>
          <w:rFonts w:hint="default" w:ascii="宋体" w:hAnsi="宋体" w:eastAsia="宋体" w:cs="宋体"/>
          <w:color w:val="auto"/>
          <w:kern w:val="0"/>
          <w:sz w:val="24"/>
          <w:szCs w:val="24"/>
          <w:highlight w:val="none"/>
          <w:lang w:eastAsia="zh-CN" w:bidi="ar"/>
        </w:rPr>
        <w:t>实施</w:t>
      </w:r>
      <w:r>
        <w:rPr>
          <w:rFonts w:hint="eastAsia" w:ascii="宋体" w:hAnsi="宋体" w:eastAsia="宋体" w:cs="宋体"/>
          <w:color w:val="auto"/>
          <w:kern w:val="0"/>
          <w:sz w:val="24"/>
          <w:szCs w:val="24"/>
          <w:highlight w:val="none"/>
          <w:lang w:val="en-US" w:eastAsia="zh-CN" w:bidi="ar"/>
        </w:rPr>
        <w:t>。</w:t>
      </w:r>
    </w:p>
    <w:p w14:paraId="03A2DD90">
      <w:pPr>
        <w:keepNext w:val="0"/>
        <w:keepLines w:val="0"/>
        <w:widowControl w:val="0"/>
        <w:suppressLineNumbers w:val="0"/>
        <w:adjustRightInd w:val="0"/>
        <w:snapToGrid w:val="0"/>
        <w:spacing w:before="0" w:beforeAutospacing="0" w:after="0" w:afterAutospacing="0" w:line="360" w:lineRule="auto"/>
        <w:ind w:left="0" w:right="11" w:firstLine="470" w:firstLineChars="196"/>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现根据《广州市住房和城乡建设局关于规范房屋建筑工程施工承发包管理的通知》（穗建规[2019]10号）等相关规定，甲、乙、丙三方经协商一致，就本项目专业工程施工总承包管理事宜达成以下约定，以资共同遵守。</w:t>
      </w:r>
    </w:p>
    <w:p w14:paraId="31BE662E">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 xml:space="preserve">第一条 </w:t>
      </w:r>
      <w:r>
        <w:rPr>
          <w:rFonts w:hint="eastAsia" w:ascii="宋体" w:hAnsi="宋体" w:eastAsia="宋体" w:cs="宋体"/>
          <w:color w:val="auto"/>
          <w:kern w:val="0"/>
          <w:sz w:val="24"/>
          <w:szCs w:val="24"/>
          <w:highlight w:val="none"/>
          <w:lang w:val="en-US" w:eastAsia="zh-CN" w:bidi="ar"/>
        </w:rPr>
        <w:t>甲方同意按照《总承包合同》的约定对乙方负责施工的专业工程实施施工总承包管理，并为乙方提供专业工程配合服务；同时，乙方同意其所承包的专业工程内容纳入甲方的管理和协调范围，并服从甲方的施工总承包管理，否则由此导致生产质量、安全事故或其他不良行为的，由乙方承担主要责任。</w:t>
      </w:r>
    </w:p>
    <w:p w14:paraId="4C170BCC">
      <w:pPr>
        <w:keepNext w:val="0"/>
        <w:keepLines w:val="0"/>
        <w:widowControl w:val="0"/>
        <w:suppressLineNumbers w:val="0"/>
        <w:adjustRightInd w:val="0"/>
        <w:snapToGrid w:val="0"/>
        <w:spacing w:before="0" w:beforeAutospacing="0" w:after="0" w:afterAutospacing="0" w:line="360" w:lineRule="auto"/>
        <w:ind w:left="105" w:right="11" w:firstLine="390" w:firstLineChars="162"/>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 xml:space="preserve">第二条 </w:t>
      </w:r>
      <w:r>
        <w:rPr>
          <w:rFonts w:hint="eastAsia" w:ascii="宋体" w:hAnsi="宋体" w:eastAsia="宋体" w:cs="宋体"/>
          <w:bCs/>
          <w:color w:val="auto"/>
          <w:kern w:val="0"/>
          <w:sz w:val="24"/>
          <w:szCs w:val="24"/>
          <w:highlight w:val="none"/>
          <w:lang w:val="en-US" w:eastAsia="zh-CN" w:bidi="ar"/>
        </w:rPr>
        <w:t xml:space="preserve"> 三方一致同意，乙方保证按照《专业承包合同》进行施工，按该合同约定承担相应责任，并向甲方承担专业工程的质量、安全、工期、文明施工、实名管理等责任，甲方对此向丙方承担责任。</w:t>
      </w:r>
    </w:p>
    <w:p w14:paraId="2C8ED345">
      <w:pPr>
        <w:keepNext w:val="0"/>
        <w:keepLines w:val="0"/>
        <w:widowControl w:val="0"/>
        <w:suppressLineNumbers w:val="0"/>
        <w:adjustRightInd w:val="0"/>
        <w:snapToGrid w:val="0"/>
        <w:spacing w:before="0" w:beforeAutospacing="0" w:after="0" w:afterAutospacing="0" w:line="360" w:lineRule="auto"/>
        <w:ind w:left="105" w:right="11" w:firstLine="390" w:firstLineChars="162"/>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 xml:space="preserve">第三条 </w:t>
      </w:r>
      <w:r>
        <w:rPr>
          <w:rFonts w:hint="eastAsia" w:ascii="宋体" w:hAnsi="宋体" w:eastAsia="宋体" w:cs="宋体"/>
          <w:color w:val="auto"/>
          <w:kern w:val="0"/>
          <w:sz w:val="24"/>
          <w:szCs w:val="24"/>
          <w:highlight w:val="none"/>
          <w:lang w:val="en-US" w:eastAsia="zh-CN" w:bidi="ar"/>
        </w:rPr>
        <w:t>乙方同意承担专业工程的验收资料编制责任，按现行规范、规定的要求完成，确保提交给甲方的资料符合要求；甲方同意负责相关资料报送工作,如乙方资料被广州市建筑工程质量监督站或广州市城市建设档案馆提出整改要求,乙方有责任整改至符合要求,若因乙方工程资料未能达标或未能按时提交，所产生一切损失由乙方负责。</w:t>
      </w:r>
    </w:p>
    <w:p w14:paraId="2E0F7985">
      <w:pPr>
        <w:keepNext w:val="0"/>
        <w:keepLines w:val="0"/>
        <w:widowControl w:val="0"/>
        <w:suppressLineNumbers w:val="0"/>
        <w:adjustRightInd w:val="0"/>
        <w:snapToGrid w:val="0"/>
        <w:spacing w:before="0" w:beforeAutospacing="0" w:after="0" w:afterAutospacing="0" w:line="360" w:lineRule="auto"/>
        <w:ind w:left="105" w:right="11" w:firstLine="390" w:firstLineChars="162"/>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 xml:space="preserve">第四条 </w:t>
      </w:r>
      <w:r>
        <w:rPr>
          <w:rFonts w:hint="eastAsia" w:ascii="宋体" w:hAnsi="宋体" w:eastAsia="宋体" w:cs="宋体"/>
          <w:color w:val="auto"/>
          <w:kern w:val="0"/>
          <w:sz w:val="24"/>
          <w:szCs w:val="24"/>
          <w:highlight w:val="none"/>
          <w:lang w:val="en-US" w:eastAsia="zh-CN" w:bidi="ar"/>
        </w:rPr>
        <w:t>乙方同意承担专业工程的质量保修责任。专业工程的质量保修按照《专业承包合同》的约定执行。</w:t>
      </w:r>
    </w:p>
    <w:p w14:paraId="1312D9EA">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 xml:space="preserve">第五条 </w:t>
      </w:r>
      <w:r>
        <w:rPr>
          <w:rFonts w:hint="eastAsia" w:ascii="宋体" w:hAnsi="宋体" w:eastAsia="宋体" w:cs="宋体"/>
          <w:color w:val="auto"/>
          <w:kern w:val="0"/>
          <w:sz w:val="24"/>
          <w:szCs w:val="24"/>
          <w:highlight w:val="none"/>
          <w:lang w:val="en-US" w:eastAsia="zh-CN" w:bidi="ar"/>
        </w:rPr>
        <w:t>三方一致同意，施工总承包管理费和专业工程配合服务费如由乙方支付，则其支付和结算按《总承包合同》及《专业承包合同》的相关约定执行；如无需乙方支付，则其支付和结算按《总承包合同》的相关约定执行。</w:t>
      </w:r>
    </w:p>
    <w:p w14:paraId="5997C88F">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 xml:space="preserve">第六条 </w:t>
      </w:r>
      <w:r>
        <w:rPr>
          <w:rFonts w:hint="eastAsia" w:ascii="宋体" w:hAnsi="宋体" w:eastAsia="宋体" w:cs="宋体"/>
          <w:color w:val="auto"/>
          <w:kern w:val="0"/>
          <w:sz w:val="24"/>
          <w:szCs w:val="24"/>
          <w:highlight w:val="none"/>
          <w:lang w:val="en-US" w:eastAsia="zh-CN" w:bidi="ar"/>
        </w:rPr>
        <w:t>若有其他未尽事宜，由三方另行商议达成补充协议。</w:t>
      </w:r>
    </w:p>
    <w:p w14:paraId="18E4FD41">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 xml:space="preserve">第七条 </w:t>
      </w:r>
      <w:r>
        <w:rPr>
          <w:rFonts w:hint="eastAsia" w:ascii="宋体" w:hAnsi="宋体" w:eastAsia="宋体" w:cs="宋体"/>
          <w:color w:val="auto"/>
          <w:kern w:val="0"/>
          <w:sz w:val="24"/>
          <w:szCs w:val="24"/>
          <w:highlight w:val="none"/>
          <w:lang w:val="en-US" w:eastAsia="zh-CN" w:bidi="ar"/>
        </w:rPr>
        <w:t>三方因本协议或者履行本协议所产生的争议，可先行协商解决，经协商达成一致意见的，应签订补充协议；若协商不成的，三方均可向丙方住所地人民法院提起诉讼。</w:t>
      </w:r>
    </w:p>
    <w:p w14:paraId="46B88859">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 xml:space="preserve">第八条 </w:t>
      </w:r>
      <w:r>
        <w:rPr>
          <w:rFonts w:hint="eastAsia" w:ascii="宋体" w:hAnsi="宋体" w:eastAsia="宋体" w:cs="宋体"/>
          <w:color w:val="auto"/>
          <w:kern w:val="0"/>
          <w:sz w:val="24"/>
          <w:szCs w:val="24"/>
          <w:highlight w:val="none"/>
          <w:lang w:val="en-US" w:eastAsia="zh-CN" w:bidi="ar"/>
        </w:rPr>
        <w:t>本协议自三方法定代表人（或委托代理人）签字盖章之日起生效。</w:t>
      </w:r>
    </w:p>
    <w:p w14:paraId="3E9ADA7C">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 xml:space="preserve">第九条 </w:t>
      </w:r>
      <w:r>
        <w:rPr>
          <w:rFonts w:hint="eastAsia" w:ascii="宋体" w:hAnsi="宋体" w:eastAsia="宋体" w:cs="宋体"/>
          <w:color w:val="auto"/>
          <w:kern w:val="0"/>
          <w:sz w:val="24"/>
          <w:szCs w:val="24"/>
          <w:highlight w:val="none"/>
          <w:lang w:val="en-US" w:eastAsia="zh-CN" w:bidi="ar"/>
        </w:rPr>
        <w:t>本协议正本</w:t>
      </w:r>
      <w:r>
        <w:rPr>
          <w:rFonts w:hint="eastAsia" w:ascii="宋体" w:hAnsi="宋体" w:eastAsia="宋体" w:cs="宋体"/>
          <w:color w:val="auto"/>
          <w:kern w:val="0"/>
          <w:sz w:val="24"/>
          <w:szCs w:val="24"/>
          <w:highlight w:val="none"/>
          <w:u w:val="single"/>
          <w:lang w:val="en-US" w:eastAsia="zh-CN" w:bidi="ar"/>
        </w:rPr>
        <w:t>三</w:t>
      </w:r>
      <w:r>
        <w:rPr>
          <w:rFonts w:hint="eastAsia" w:ascii="宋体" w:hAnsi="宋体" w:eastAsia="宋体" w:cs="宋体"/>
          <w:color w:val="auto"/>
          <w:kern w:val="0"/>
          <w:sz w:val="24"/>
          <w:szCs w:val="24"/>
          <w:highlight w:val="none"/>
          <w:lang w:val="en-US" w:eastAsia="zh-CN" w:bidi="ar"/>
        </w:rPr>
        <w:t>份，三各执一份；副本</w:t>
      </w:r>
      <w:r>
        <w:rPr>
          <w:rFonts w:hint="eastAsia" w:ascii="宋体" w:hAnsi="宋体" w:eastAsia="宋体" w:cs="宋体"/>
          <w:color w:val="auto"/>
          <w:kern w:val="0"/>
          <w:sz w:val="24"/>
          <w:szCs w:val="24"/>
          <w:highlight w:val="none"/>
          <w:u w:val="single"/>
          <w:lang w:val="en-US" w:eastAsia="zh-CN" w:bidi="ar"/>
        </w:rPr>
        <w:t>十一</w:t>
      </w:r>
      <w:r>
        <w:rPr>
          <w:rFonts w:hint="eastAsia" w:ascii="宋体" w:hAnsi="宋体" w:eastAsia="宋体" w:cs="宋体"/>
          <w:color w:val="auto"/>
          <w:kern w:val="0"/>
          <w:sz w:val="24"/>
          <w:szCs w:val="24"/>
          <w:highlight w:val="none"/>
          <w:lang w:val="en-US" w:eastAsia="zh-CN" w:bidi="ar"/>
        </w:rPr>
        <w:t>份，甲乙双方各执一份，丙方执七份。</w:t>
      </w:r>
      <w:r>
        <w:rPr>
          <w:rFonts w:hint="eastAsia" w:ascii="宋体" w:hAnsi="宋体" w:eastAsia="宋体" w:cs="宋体"/>
          <w:bCs/>
          <w:color w:val="auto"/>
          <w:kern w:val="0"/>
          <w:sz w:val="24"/>
          <w:szCs w:val="24"/>
          <w:highlight w:val="none"/>
          <w:lang w:val="en-US" w:eastAsia="zh-CN" w:bidi="ar"/>
        </w:rPr>
        <w:t>协议正、副本具有同等效力，但当正本与副本的表述不一致时，以正本为准。</w:t>
      </w:r>
    </w:p>
    <w:p w14:paraId="790F1E8B">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6300914">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（本页以下无正文）</w:t>
      </w:r>
    </w:p>
    <w:p w14:paraId="1F4AE94C">
      <w:pPr>
        <w:keepNext w:val="0"/>
        <w:keepLines w:val="0"/>
        <w:widowControl w:val="0"/>
        <w:suppressLineNumbers w:val="0"/>
        <w:adjustRightInd w:val="0"/>
        <w:snapToGrid w:val="0"/>
        <w:spacing w:before="0" w:beforeAutospacing="0" w:after="0" w:afterAutospacing="0" w:line="360" w:lineRule="auto"/>
        <w:ind w:left="0" w:right="11" w:firstLine="470" w:firstLineChars="196"/>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B23C7E7">
      <w:pPr>
        <w:keepNext w:val="0"/>
        <w:keepLines w:val="0"/>
        <w:widowControl w:val="0"/>
        <w:suppressLineNumbers w:val="0"/>
        <w:adjustRightInd w:val="0"/>
        <w:snapToGrid w:val="0"/>
        <w:spacing w:before="0" w:beforeAutospacing="0" w:after="0" w:afterAutospacing="0" w:line="360" w:lineRule="auto"/>
        <w:ind w:left="0" w:right="11" w:firstLine="470" w:firstLineChars="196"/>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3B00686">
      <w:pPr>
        <w:keepNext w:val="0"/>
        <w:keepLines w:val="0"/>
        <w:widowControl w:val="0"/>
        <w:suppressLineNumbers w:val="0"/>
        <w:adjustRightInd w:val="0"/>
        <w:snapToGrid w:val="0"/>
        <w:spacing w:before="0" w:beforeAutospacing="0" w:after="0" w:afterAutospacing="0" w:line="360" w:lineRule="auto"/>
        <w:ind w:left="0" w:right="11" w:firstLine="470" w:firstLineChars="196"/>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7E91C190">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b/>
          <w:bCs w:val="0"/>
          <w:color w:val="auto"/>
          <w:spacing w:val="-20"/>
          <w:kern w:val="0"/>
          <w:sz w:val="24"/>
          <w:szCs w:val="24"/>
          <w:highlight w:val="none"/>
        </w:rPr>
      </w:pPr>
      <w:r>
        <w:rPr>
          <w:rFonts w:hint="eastAsia" w:ascii="宋体" w:hAnsi="宋体" w:eastAsia="宋体" w:cs="宋体"/>
          <w:color w:val="auto"/>
          <w:kern w:val="0"/>
          <w:sz w:val="24"/>
          <w:szCs w:val="24"/>
          <w:highlight w:val="none"/>
          <w:lang w:val="en-US" w:eastAsia="zh-CN" w:bidi="ar"/>
        </w:rPr>
        <w:br w:type="page"/>
      </w:r>
      <w:r>
        <w:rPr>
          <w:rFonts w:hint="eastAsia" w:ascii="宋体" w:hAnsi="宋体" w:eastAsia="宋体" w:cs="宋体"/>
          <w:b/>
          <w:bCs w:val="0"/>
          <w:color w:val="auto"/>
          <w:kern w:val="0"/>
          <w:sz w:val="24"/>
          <w:szCs w:val="24"/>
          <w:highlight w:val="none"/>
          <w:lang w:val="en-US" w:eastAsia="zh-CN" w:bidi="ar"/>
        </w:rPr>
        <w:t>甲方：</w:t>
      </w:r>
      <w:r>
        <w:rPr>
          <w:rFonts w:hint="eastAsia" w:ascii="宋体" w:hAnsi="宋体" w:eastAsia="宋体" w:cs="宋体"/>
          <w:b/>
          <w:bCs w:val="0"/>
          <w:color w:val="auto"/>
          <w:spacing w:val="-20"/>
          <w:kern w:val="0"/>
          <w:sz w:val="24"/>
          <w:szCs w:val="24"/>
          <w:highlight w:val="none"/>
          <w:u w:val="single"/>
          <w:lang w:val="en-US" w:eastAsia="zh-CN" w:bidi="ar"/>
        </w:rPr>
        <w:t xml:space="preserve">                                        </w:t>
      </w:r>
      <w:r>
        <w:rPr>
          <w:rFonts w:hint="eastAsia" w:ascii="宋体" w:hAnsi="宋体" w:eastAsia="宋体" w:cs="宋体"/>
          <w:b/>
          <w:bCs w:val="0"/>
          <w:color w:val="auto"/>
          <w:spacing w:val="-20"/>
          <w:kern w:val="0"/>
          <w:sz w:val="24"/>
          <w:szCs w:val="24"/>
          <w:highlight w:val="none"/>
          <w:lang w:val="en-US" w:eastAsia="zh-CN" w:bidi="ar"/>
        </w:rPr>
        <w:t xml:space="preserve">    </w:t>
      </w:r>
      <w:r>
        <w:rPr>
          <w:rFonts w:hint="eastAsia" w:ascii="宋体" w:hAnsi="宋体" w:eastAsia="宋体" w:cs="宋体"/>
          <w:b/>
          <w:bCs w:val="0"/>
          <w:color w:val="auto"/>
          <w:kern w:val="0"/>
          <w:sz w:val="24"/>
          <w:szCs w:val="24"/>
          <w:highlight w:val="none"/>
          <w:lang w:val="en-US" w:eastAsia="zh-CN" w:bidi="ar"/>
        </w:rPr>
        <w:t>乙方</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color w:val="auto"/>
          <w:spacing w:val="-20"/>
          <w:kern w:val="0"/>
          <w:sz w:val="24"/>
          <w:szCs w:val="24"/>
          <w:highlight w:val="none"/>
          <w:lang w:val="en-US" w:eastAsia="zh-CN" w:bidi="ar"/>
        </w:rPr>
        <w:t>中标赞助企业</w:t>
      </w:r>
    </w:p>
    <w:p w14:paraId="062A0D1F">
      <w:pPr>
        <w:keepNext w:val="0"/>
        <w:keepLines w:val="0"/>
        <w:widowControl w:val="0"/>
        <w:suppressLineNumbers w:val="0"/>
        <w:adjustRightInd w:val="0"/>
        <w:snapToGrid w:val="0"/>
        <w:spacing w:before="0" w:beforeAutospacing="0" w:after="0" w:afterAutospacing="0" w:line="360" w:lineRule="auto"/>
        <w:ind w:left="0" w:right="11" w:firstLine="1080" w:firstLineChars="4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（盖章）                             （盖章）</w:t>
      </w:r>
    </w:p>
    <w:p w14:paraId="3215A560">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18CAA365">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法定代表人：                        法定代表人：</w:t>
      </w:r>
    </w:p>
    <w:p w14:paraId="2D948206">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285AD7FC">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委托代理人：                        委托代理人：</w:t>
      </w:r>
    </w:p>
    <w:p w14:paraId="24F2EFD6">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556F479">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住址：</w:t>
      </w:r>
      <w:r>
        <w:rPr>
          <w:rFonts w:hint="eastAsia" w:ascii="宋体" w:hAnsi="宋体" w:eastAsia="宋体" w:cs="宋体"/>
          <w:color w:val="auto"/>
          <w:spacing w:val="-20"/>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住址：</w:t>
      </w:r>
    </w:p>
    <w:p w14:paraId="1A7395C0">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邮编：                               邮编：</w:t>
      </w:r>
    </w:p>
    <w:p w14:paraId="52DA358A">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电话：                               电话：</w:t>
      </w:r>
    </w:p>
    <w:p w14:paraId="232CAF3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传真：                               传真：</w:t>
      </w:r>
    </w:p>
    <w:p w14:paraId="7E543A5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日期：     年  月  日                日期：     年  月  日</w:t>
      </w:r>
    </w:p>
    <w:p w14:paraId="5E8A0A2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787339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B6982E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2ED754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丙方</w:t>
      </w:r>
      <w:r>
        <w:rPr>
          <w:rFonts w:hint="eastAsia" w:ascii="宋体" w:hAnsi="宋体" w:eastAsia="宋体" w:cs="宋体"/>
          <w:color w:val="auto"/>
          <w:kern w:val="0"/>
          <w:sz w:val="24"/>
          <w:szCs w:val="24"/>
          <w:highlight w:val="none"/>
          <w:lang w:val="en-US" w:eastAsia="zh-CN" w:bidi="ar"/>
        </w:rPr>
        <w:t>：</w:t>
      </w:r>
      <w:r>
        <w:rPr>
          <w:rFonts w:hint="eastAsia" w:ascii="宋体" w:hAnsi="宋体" w:eastAsia="宋体" w:cs="宋体"/>
          <w:b/>
          <w:bCs w:val="0"/>
          <w:color w:val="auto"/>
          <w:kern w:val="0"/>
          <w:sz w:val="24"/>
          <w:szCs w:val="24"/>
          <w:highlight w:val="none"/>
          <w:lang w:val="en-US" w:eastAsia="zh-CN" w:bidi="ar"/>
        </w:rPr>
        <w:t>广州市重点公共建设项目管理中心</w:t>
      </w:r>
    </w:p>
    <w:p w14:paraId="165DE291">
      <w:pPr>
        <w:keepNext w:val="0"/>
        <w:keepLines w:val="0"/>
        <w:widowControl w:val="0"/>
        <w:suppressLineNumbers w:val="0"/>
        <w:adjustRightInd w:val="0"/>
        <w:snapToGrid w:val="0"/>
        <w:spacing w:before="0" w:beforeAutospacing="0" w:after="0" w:afterAutospacing="0" w:line="360" w:lineRule="auto"/>
        <w:ind w:left="0" w:right="11" w:firstLine="3000" w:firstLineChars="12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（盖章）</w:t>
      </w:r>
    </w:p>
    <w:p w14:paraId="7D81B754">
      <w:pPr>
        <w:keepNext w:val="0"/>
        <w:keepLines w:val="0"/>
        <w:widowControl w:val="0"/>
        <w:suppressLineNumbers w:val="0"/>
        <w:adjustRightInd w:val="0"/>
        <w:snapToGrid w:val="0"/>
        <w:spacing w:before="0" w:beforeAutospacing="0" w:after="0" w:afterAutospacing="0" w:line="360" w:lineRule="auto"/>
        <w:ind w:left="0" w:right="11" w:firstLine="840" w:firstLineChars="3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26641DF0">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法定代表人： </w:t>
      </w:r>
    </w:p>
    <w:p w14:paraId="4F1A52E3">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9FB7D42">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委托代理人：</w:t>
      </w:r>
    </w:p>
    <w:p w14:paraId="50F78720">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236DE1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住址：</w:t>
      </w:r>
      <w:r>
        <w:rPr>
          <w:rFonts w:hint="eastAsia" w:ascii="宋体" w:hAnsi="宋体" w:eastAsia="宋体" w:cs="宋体"/>
          <w:color w:val="auto"/>
          <w:spacing w:val="-20"/>
          <w:kern w:val="0"/>
          <w:sz w:val="24"/>
          <w:szCs w:val="24"/>
          <w:highlight w:val="none"/>
          <w:lang w:val="en-US" w:eastAsia="zh-CN" w:bidi="ar"/>
        </w:rPr>
        <w:t>广州市广州大学城内环东星运路1号</w:t>
      </w:r>
    </w:p>
    <w:p w14:paraId="42D324B3">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邮编：510006</w:t>
      </w:r>
    </w:p>
    <w:p w14:paraId="4C2DED05">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电话：</w:t>
      </w:r>
    </w:p>
    <w:p w14:paraId="3F39CB9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传真：</w:t>
      </w:r>
    </w:p>
    <w:p w14:paraId="5E203E6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日期：     年  月  日 </w:t>
      </w:r>
    </w:p>
    <w:p w14:paraId="7D19109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23E522C">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本协议签订于广东省广州市番禺区。</w:t>
      </w:r>
    </w:p>
    <w:p w14:paraId="3F62A4F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br w:type="page"/>
      </w:r>
      <w:r>
        <w:rPr>
          <w:rFonts w:hint="eastAsia" w:ascii="宋体" w:hAnsi="宋体" w:eastAsia="宋体" w:cs="宋体"/>
          <w:color w:val="auto"/>
          <w:kern w:val="0"/>
          <w:sz w:val="24"/>
          <w:szCs w:val="24"/>
          <w:highlight w:val="none"/>
          <w:lang w:val="en-US" w:eastAsia="zh-CN" w:bidi="ar"/>
        </w:rPr>
        <w:t>附件1</w:t>
      </w:r>
      <w:r>
        <w:rPr>
          <w:rFonts w:hint="default" w:ascii="宋体" w:hAnsi="宋体" w:eastAsia="宋体" w:cs="宋体"/>
          <w:color w:val="auto"/>
          <w:kern w:val="0"/>
          <w:sz w:val="24"/>
          <w:szCs w:val="24"/>
          <w:highlight w:val="none"/>
          <w:lang w:eastAsia="zh-CN" w:bidi="ar"/>
        </w:rPr>
        <w:t>6</w:t>
      </w:r>
      <w:r>
        <w:rPr>
          <w:rFonts w:hint="eastAsia" w:ascii="宋体" w:hAnsi="宋体" w:eastAsia="宋体" w:cs="宋体"/>
          <w:color w:val="auto"/>
          <w:kern w:val="0"/>
          <w:sz w:val="24"/>
          <w:szCs w:val="24"/>
          <w:highlight w:val="none"/>
          <w:lang w:val="en-US" w:eastAsia="zh-CN" w:bidi="ar"/>
        </w:rPr>
        <w:t>：</w:t>
      </w:r>
    </w:p>
    <w:p w14:paraId="5E5E167A">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val="0"/>
          <w:color w:val="auto"/>
          <w:kern w:val="0"/>
          <w:sz w:val="32"/>
          <w:szCs w:val="32"/>
          <w:highlight w:val="none"/>
        </w:rPr>
      </w:pPr>
      <w:r>
        <w:rPr>
          <w:rFonts w:hint="eastAsia" w:ascii="宋体" w:hAnsi="宋体" w:eastAsia="宋体" w:cs="宋体"/>
          <w:b/>
          <w:bCs w:val="0"/>
          <w:color w:val="auto"/>
          <w:kern w:val="0"/>
          <w:sz w:val="32"/>
          <w:szCs w:val="32"/>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b/>
          <w:bCs w:val="0"/>
          <w:color w:val="auto"/>
          <w:kern w:val="0"/>
          <w:sz w:val="32"/>
          <w:szCs w:val="32"/>
          <w:highlight w:val="none"/>
          <w:lang w:val="en-US" w:eastAsia="zh-CN" w:bidi="ar"/>
        </w:rPr>
        <w:t>工程</w:t>
      </w:r>
    </w:p>
    <w:p w14:paraId="3B2189F7">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32"/>
          <w:szCs w:val="32"/>
          <w:highlight w:val="none"/>
          <w:lang w:val="en-US" w:eastAsia="zh-CN" w:bidi="ar"/>
        </w:rPr>
        <w:t>施工组织架构图及投入主要人员汇总表（复印件）</w:t>
      </w:r>
    </w:p>
    <w:p w14:paraId="038A2F86">
      <w:pPr>
        <w:rPr>
          <w:rFonts w:hint="eastAsia" w:ascii="宋体" w:hAnsi="Courier New" w:eastAsia="宋体" w:cs="宋体"/>
          <w:color w:val="auto"/>
          <w:kern w:val="2"/>
          <w:sz w:val="21"/>
          <w:szCs w:val="21"/>
          <w:highlight w:val="none"/>
        </w:rPr>
        <w:sectPr>
          <w:pgSz w:w="11906" w:h="16838"/>
          <w:pgMar w:top="1440" w:right="1797" w:bottom="1440" w:left="1797" w:header="851" w:footer="992" w:gutter="0"/>
          <w:cols w:space="425" w:num="1"/>
          <w:titlePg/>
          <w:docGrid w:type="lines" w:linePitch="312" w:charSpace="0"/>
        </w:sectPr>
      </w:pPr>
    </w:p>
    <w:p w14:paraId="04A06F0E">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附件17：</w:t>
      </w:r>
    </w:p>
    <w:p w14:paraId="1AA143DA">
      <w:pPr>
        <w:pStyle w:val="3"/>
        <w:keepNext w:val="0"/>
        <w:keepLines w:val="0"/>
        <w:widowControl/>
        <w:suppressLineNumbers w:val="0"/>
        <w:spacing w:before="0" w:beforeAutospacing="0" w:after="0" w:afterAutospacing="0" w:line="360" w:lineRule="auto"/>
        <w:ind w:left="3360" w:right="11" w:firstLine="42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 xml:space="preserve"> </w:t>
      </w:r>
    </w:p>
    <w:p w14:paraId="054D9602">
      <w:pPr>
        <w:keepNext w:val="0"/>
        <w:keepLines w:val="0"/>
        <w:widowControl w:val="0"/>
        <w:suppressLineNumbers w:val="0"/>
        <w:adjustRightInd w:val="0"/>
        <w:snapToGrid w:val="0"/>
        <w:spacing w:before="0" w:beforeAutospacing="0" w:after="0" w:afterAutospacing="0" w:line="360" w:lineRule="auto"/>
        <w:ind w:left="0" w:right="0"/>
        <w:jc w:val="center"/>
        <w:rPr>
          <w:rFonts w:hint="eastAsia" w:ascii="宋体" w:hAnsi="宋体" w:eastAsia="宋体" w:cs="宋体"/>
          <w:b/>
          <w:bCs w:val="0"/>
          <w:color w:val="auto"/>
          <w:spacing w:val="-20"/>
          <w:kern w:val="0"/>
          <w:sz w:val="32"/>
          <w:szCs w:val="32"/>
          <w:highlight w:val="none"/>
        </w:rPr>
      </w:pPr>
      <w:r>
        <w:rPr>
          <w:rFonts w:hint="eastAsia" w:ascii="宋体" w:hAnsi="宋体" w:eastAsia="宋体" w:cs="宋体"/>
          <w:b/>
          <w:bCs w:val="0"/>
          <w:color w:val="auto"/>
          <w:spacing w:val="-20"/>
          <w:kern w:val="0"/>
          <w:sz w:val="32"/>
          <w:szCs w:val="32"/>
          <w:highlight w:val="none"/>
          <w:lang w:val="en-US" w:eastAsia="zh-CN" w:bidi="ar"/>
        </w:rPr>
        <w:t>工程工人工资委托代发协议书（格式）</w:t>
      </w:r>
    </w:p>
    <w:p w14:paraId="32995B5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 xml:space="preserve"> </w:t>
      </w:r>
    </w:p>
    <w:p w14:paraId="2D87D551">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spacing w:val="-20"/>
          <w:kern w:val="0"/>
          <w:sz w:val="24"/>
          <w:szCs w:val="24"/>
          <w:highlight w:val="none"/>
        </w:rPr>
      </w:pPr>
      <w:r>
        <w:rPr>
          <w:rFonts w:hint="eastAsia" w:ascii="宋体" w:hAnsi="宋体" w:eastAsia="宋体" w:cs="宋体"/>
          <w:b/>
          <w:bCs w:val="0"/>
          <w:color w:val="auto"/>
          <w:kern w:val="0"/>
          <w:sz w:val="24"/>
          <w:szCs w:val="24"/>
          <w:highlight w:val="none"/>
          <w:lang w:val="en-US" w:eastAsia="zh-CN" w:bidi="ar"/>
        </w:rPr>
        <w:t>发  包  人（甲方）：广州市重点公共建设项目管理中心</w:t>
      </w:r>
    </w:p>
    <w:p w14:paraId="3D73D18D">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总 承 包人（乙方）：</w:t>
      </w:r>
    </w:p>
    <w:p w14:paraId="233D2FE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spacing w:val="-20"/>
          <w:kern w:val="0"/>
          <w:sz w:val="24"/>
          <w:szCs w:val="24"/>
          <w:highlight w:val="none"/>
        </w:rPr>
      </w:pPr>
      <w:r>
        <w:rPr>
          <w:rFonts w:hint="eastAsia" w:ascii="宋体" w:hAnsi="宋体" w:eastAsia="宋体" w:cs="宋体"/>
          <w:b/>
          <w:bCs w:val="0"/>
          <w:color w:val="auto"/>
          <w:kern w:val="0"/>
          <w:sz w:val="24"/>
          <w:szCs w:val="24"/>
          <w:highlight w:val="none"/>
          <w:lang w:val="en-US" w:eastAsia="zh-CN" w:bidi="ar"/>
        </w:rPr>
        <w:t>专业承包人（丙方）：中标赞助企业</w:t>
      </w:r>
      <w:r>
        <w:rPr>
          <w:rFonts w:hint="eastAsia" w:ascii="宋体" w:hAnsi="宋体" w:eastAsia="宋体" w:cs="宋体"/>
          <w:b/>
          <w:bCs w:val="0"/>
          <w:color w:val="auto"/>
          <w:spacing w:val="-20"/>
          <w:kern w:val="0"/>
          <w:sz w:val="24"/>
          <w:szCs w:val="24"/>
          <w:highlight w:val="none"/>
          <w:lang w:val="en-US" w:eastAsia="zh-CN" w:bidi="ar"/>
        </w:rPr>
        <w:t xml:space="preserve"> </w:t>
      </w:r>
    </w:p>
    <w:p w14:paraId="618D7AE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pacing w:val="-20"/>
          <w:kern w:val="0"/>
          <w:sz w:val="24"/>
          <w:szCs w:val="24"/>
          <w:highlight w:val="none"/>
        </w:rPr>
      </w:pPr>
      <w:r>
        <w:rPr>
          <w:rFonts w:hint="eastAsia" w:ascii="宋体" w:hAnsi="宋体" w:eastAsia="宋体" w:cs="宋体"/>
          <w:b/>
          <w:bCs w:val="0"/>
          <w:color w:val="auto"/>
          <w:kern w:val="0"/>
          <w:sz w:val="24"/>
          <w:szCs w:val="24"/>
          <w:highlight w:val="none"/>
          <w:lang w:val="en-US" w:eastAsia="zh-CN" w:bidi="ar"/>
        </w:rPr>
        <w:t>鉴于：</w:t>
      </w:r>
    </w:p>
    <w:p w14:paraId="561CD18F">
      <w:pPr>
        <w:keepNext w:val="0"/>
        <w:keepLines w:val="0"/>
        <w:widowControl w:val="0"/>
        <w:suppressLineNumbers w:val="0"/>
        <w:adjustRightInd w:val="0"/>
        <w:snapToGrid w:val="0"/>
        <w:spacing w:before="0" w:beforeAutospacing="0" w:after="0" w:afterAutospacing="0" w:line="360" w:lineRule="auto"/>
        <w:ind w:left="118" w:leftChars="56" w:right="11" w:firstLine="348" w:firstLineChars="14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1.             （以下称乙方）为         （以下称本项目）施工总承包单位，负责本项目施工总承包及</w:t>
      </w:r>
      <w:r>
        <w:rPr>
          <w:rFonts w:hint="eastAsia" w:ascii="宋体" w:hAnsi="宋体" w:eastAsia="宋体" w:cs="宋体"/>
          <w:bCs/>
          <w:color w:val="auto"/>
          <w:kern w:val="0"/>
          <w:sz w:val="24"/>
          <w:szCs w:val="24"/>
          <w:highlight w:val="none"/>
          <w:lang w:val="en-US" w:eastAsia="zh-CN" w:bidi="ar"/>
        </w:rPr>
        <w:t>施工总承包管理与配合服务</w:t>
      </w:r>
      <w:r>
        <w:rPr>
          <w:rFonts w:hint="eastAsia" w:ascii="宋体" w:hAnsi="宋体" w:eastAsia="宋体" w:cs="宋体"/>
          <w:color w:val="auto"/>
          <w:kern w:val="0"/>
          <w:sz w:val="24"/>
          <w:szCs w:val="24"/>
          <w:highlight w:val="none"/>
          <w:lang w:val="en-US" w:eastAsia="zh-CN" w:bidi="ar"/>
        </w:rPr>
        <w:t>。</w:t>
      </w:r>
    </w:p>
    <w:p w14:paraId="548EA937">
      <w:pPr>
        <w:keepNext w:val="0"/>
        <w:keepLines w:val="0"/>
        <w:widowControl w:val="0"/>
        <w:suppressLineNumbers w:val="0"/>
        <w:adjustRightInd w:val="0"/>
        <w:snapToGrid w:val="0"/>
        <w:spacing w:before="0" w:beforeAutospacing="0" w:after="0" w:afterAutospacing="0" w:line="360" w:lineRule="auto"/>
        <w:ind w:left="118" w:leftChars="56" w:right="11" w:firstLine="348" w:firstLineChars="145"/>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2.发包人</w:t>
      </w:r>
      <w:r>
        <w:rPr>
          <w:rFonts w:hint="eastAsia" w:ascii="宋体" w:hAnsi="宋体" w:eastAsia="宋体" w:cs="宋体"/>
          <w:b/>
          <w:bCs w:val="0"/>
          <w:color w:val="auto"/>
          <w:kern w:val="0"/>
          <w:sz w:val="24"/>
          <w:szCs w:val="24"/>
          <w:highlight w:val="none"/>
          <w:lang w:val="en-US" w:eastAsia="zh-CN" w:bidi="ar"/>
        </w:rPr>
        <w:t>广州市重点公共建设项目管理中心</w:t>
      </w:r>
      <w:r>
        <w:rPr>
          <w:rFonts w:hint="eastAsia" w:ascii="宋体" w:hAnsi="宋体" w:eastAsia="宋体" w:cs="宋体"/>
          <w:color w:val="auto"/>
          <w:kern w:val="0"/>
          <w:sz w:val="24"/>
          <w:szCs w:val="24"/>
          <w:highlight w:val="none"/>
          <w:lang w:val="en-US" w:eastAsia="zh-CN" w:bidi="ar"/>
        </w:rPr>
        <w:t>（以下称甲方）依法确定中标赞助企业（以下称丙方）为第十五届全运会广东奥林匹克体育中心升级改造项目、第十五届全运会广东省人民体育场改造项目体育工艺（设备类）采购及相关服务的专业承包单位。甲方与丙方签订《第十五届全运会广东奥林匹克体育中心升级改造项目、第十五届全运会广东省人民体育场改造项目体育工艺（设备类）采购及相关服务合同》（合同编号：，以下称《专业承包合同》）。《专业承包合同》约定由丙方负责本项目</w:t>
      </w:r>
      <w:r>
        <w:rPr>
          <w:rFonts w:hint="eastAsia" w:ascii="宋体" w:hAnsi="宋体" w:eastAsia="宋体" w:cs="宋体"/>
          <w:color w:val="auto"/>
          <w:kern w:val="0"/>
          <w:sz w:val="24"/>
          <w:szCs w:val="24"/>
          <w:highlight w:val="none"/>
          <w:u w:val="single"/>
          <w:lang w:val="en-US" w:eastAsia="zh-CN" w:bidi="ar"/>
        </w:rPr>
        <w:t>体育工艺（设备类）采购及相关服务</w:t>
      </w:r>
      <w:r>
        <w:rPr>
          <w:rFonts w:hint="default" w:ascii="宋体" w:hAnsi="宋体" w:eastAsia="宋体" w:cs="宋体"/>
          <w:color w:val="auto"/>
          <w:kern w:val="0"/>
          <w:sz w:val="24"/>
          <w:szCs w:val="24"/>
          <w:highlight w:val="none"/>
          <w:lang w:eastAsia="zh-CN" w:bidi="ar"/>
        </w:rPr>
        <w:t>实施</w:t>
      </w:r>
      <w:r>
        <w:rPr>
          <w:rFonts w:hint="eastAsia" w:ascii="宋体" w:hAnsi="宋体" w:eastAsia="宋体" w:cs="宋体"/>
          <w:color w:val="auto"/>
          <w:kern w:val="0"/>
          <w:sz w:val="24"/>
          <w:szCs w:val="24"/>
          <w:highlight w:val="none"/>
          <w:lang w:val="en-US" w:eastAsia="zh-CN" w:bidi="ar"/>
        </w:rPr>
        <w:t>。</w:t>
      </w:r>
    </w:p>
    <w:p w14:paraId="1697EFF8">
      <w:pPr>
        <w:keepNext w:val="0"/>
        <w:keepLines w:val="0"/>
        <w:widowControl w:val="0"/>
        <w:suppressLineNumbers w:val="0"/>
        <w:adjustRightInd w:val="0"/>
        <w:snapToGrid w:val="0"/>
        <w:spacing w:before="240" w:beforeAutospacing="0" w:after="0" w:afterAutospacing="0" w:line="360" w:lineRule="auto"/>
        <w:ind w:left="0" w:right="11" w:firstLine="470" w:firstLineChars="196"/>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现根据《保障农民工工资支付条例》、《广州市根治农民工工资工作领导小组关于&lt;贯彻落实广东省源头治理欠薪问题实施办法&gt;实施方案的通知》等相关规定，甲、乙、丙三方经协商一致，就本项目</w:t>
      </w:r>
      <w:r>
        <w:rPr>
          <w:rFonts w:hint="eastAsia" w:ascii="宋体" w:hAnsi="宋体" w:eastAsia="宋体" w:cs="宋体"/>
          <w:color w:val="auto"/>
          <w:kern w:val="0"/>
          <w:sz w:val="24"/>
          <w:szCs w:val="24"/>
          <w:highlight w:val="none"/>
          <w:u w:val="single"/>
          <w:lang w:val="en-US" w:eastAsia="zh-CN" w:bidi="ar"/>
        </w:rPr>
        <w:t>体育工艺（设备类）采购及相关服务</w:t>
      </w:r>
      <w:r>
        <w:rPr>
          <w:rFonts w:hint="eastAsia" w:ascii="宋体" w:hAnsi="宋体" w:eastAsia="宋体" w:cs="宋体"/>
          <w:bCs/>
          <w:color w:val="auto"/>
          <w:kern w:val="0"/>
          <w:sz w:val="24"/>
          <w:szCs w:val="24"/>
          <w:highlight w:val="none"/>
          <w:lang w:val="en-US" w:eastAsia="zh-CN" w:bidi="ar"/>
        </w:rPr>
        <w:t>工人工资委托代发</w:t>
      </w:r>
      <w:r>
        <w:rPr>
          <w:rFonts w:hint="eastAsia" w:ascii="宋体" w:hAnsi="宋体" w:eastAsia="宋体" w:cs="宋体"/>
          <w:color w:val="auto"/>
          <w:kern w:val="0"/>
          <w:sz w:val="24"/>
          <w:szCs w:val="24"/>
          <w:highlight w:val="none"/>
          <w:lang w:val="en-US" w:eastAsia="zh-CN" w:bidi="ar"/>
        </w:rPr>
        <w:t>事宜达成以下约定，以资共同遵守。</w:t>
      </w:r>
    </w:p>
    <w:p w14:paraId="24D4F9A8">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第一条</w:t>
      </w:r>
      <w:r>
        <w:rPr>
          <w:rFonts w:hint="eastAsia" w:ascii="宋体" w:hAnsi="宋体" w:eastAsia="宋体" w:cs="宋体"/>
          <w:color w:val="auto"/>
          <w:kern w:val="0"/>
          <w:sz w:val="24"/>
          <w:szCs w:val="24"/>
          <w:highlight w:val="none"/>
          <w:lang w:val="en-US" w:eastAsia="zh-CN" w:bidi="ar"/>
        </w:rPr>
        <w:t>甲、丙方就</w:t>
      </w:r>
      <w:r>
        <w:rPr>
          <w:rFonts w:hint="default" w:ascii="宋体" w:hAnsi="宋体" w:eastAsia="宋体" w:cs="宋体"/>
          <w:color w:val="auto"/>
          <w:kern w:val="0"/>
          <w:sz w:val="24"/>
          <w:szCs w:val="24"/>
          <w:highlight w:val="none"/>
          <w:lang w:eastAsia="zh-CN" w:bidi="ar"/>
        </w:rPr>
        <w:t>本项目</w:t>
      </w:r>
      <w:r>
        <w:rPr>
          <w:rFonts w:hint="eastAsia" w:ascii="宋体" w:hAnsi="宋体" w:eastAsia="宋体" w:cs="宋体"/>
          <w:color w:val="auto"/>
          <w:kern w:val="0"/>
          <w:sz w:val="24"/>
          <w:szCs w:val="24"/>
          <w:highlight w:val="none"/>
          <w:u w:val="single"/>
          <w:lang w:val="en-US" w:eastAsia="zh-CN" w:bidi="ar"/>
        </w:rPr>
        <w:t>体育工艺（设备类）采购及相关服务</w:t>
      </w:r>
      <w:r>
        <w:rPr>
          <w:rFonts w:hint="eastAsia" w:ascii="宋体" w:hAnsi="宋体" w:eastAsia="宋体" w:cs="宋体"/>
          <w:color w:val="auto"/>
          <w:kern w:val="0"/>
          <w:sz w:val="24"/>
          <w:szCs w:val="24"/>
          <w:highlight w:val="none"/>
          <w:lang w:val="en-US" w:eastAsia="zh-CN" w:bidi="ar"/>
        </w:rPr>
        <w:t>应付的工人工资，委托乙方进行总包代收代发。由丙方在广州市建设领域管理应用信息平台提交总包代发申请，经乙方审核后提交本项目总监理工程师审核。</w:t>
      </w:r>
    </w:p>
    <w:p w14:paraId="5DEA5E7E">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第二条</w:t>
      </w:r>
      <w:r>
        <w:rPr>
          <w:rFonts w:hint="eastAsia" w:ascii="宋体" w:hAnsi="宋体" w:eastAsia="宋体" w:cs="宋体"/>
          <w:color w:val="auto"/>
          <w:kern w:val="0"/>
          <w:sz w:val="24"/>
          <w:szCs w:val="24"/>
          <w:highlight w:val="none"/>
          <w:lang w:val="en-US" w:eastAsia="zh-CN" w:bidi="ar"/>
        </w:rPr>
        <w:t>丙方负责其工人信息的录入及考勤等操作，并将相关的人员信息（包括与工人签订的合同、施工人员身份证复印件、施工人员本人工资银行卡复印件等）报乙方备案。相关信息与资料的真实性、完整性由丙方负责。</w:t>
      </w:r>
    </w:p>
    <w:p w14:paraId="5912AFED">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第三条</w:t>
      </w:r>
      <w:r>
        <w:rPr>
          <w:rFonts w:hint="eastAsia" w:ascii="宋体" w:hAnsi="宋体" w:eastAsia="宋体" w:cs="宋体"/>
          <w:color w:val="auto"/>
          <w:kern w:val="0"/>
          <w:sz w:val="24"/>
          <w:szCs w:val="24"/>
          <w:highlight w:val="none"/>
          <w:lang w:val="en-US" w:eastAsia="zh-CN" w:bidi="ar"/>
        </w:rPr>
        <w:t>丙方就</w:t>
      </w:r>
      <w:r>
        <w:rPr>
          <w:rFonts w:hint="default" w:ascii="宋体" w:hAnsi="宋体" w:eastAsia="宋体" w:cs="宋体"/>
          <w:color w:val="auto"/>
          <w:kern w:val="0"/>
          <w:sz w:val="24"/>
          <w:szCs w:val="24"/>
          <w:highlight w:val="none"/>
          <w:lang w:eastAsia="zh-CN" w:bidi="ar"/>
        </w:rPr>
        <w:t>本项目</w:t>
      </w:r>
      <w:r>
        <w:rPr>
          <w:rFonts w:hint="eastAsia" w:ascii="宋体" w:hAnsi="宋体" w:eastAsia="宋体" w:cs="宋体"/>
          <w:color w:val="auto"/>
          <w:kern w:val="0"/>
          <w:sz w:val="24"/>
          <w:szCs w:val="24"/>
          <w:highlight w:val="none"/>
          <w:u w:val="single"/>
          <w:lang w:val="en-US" w:eastAsia="zh-CN" w:bidi="ar"/>
        </w:rPr>
        <w:t>体育工艺（设备类）采购及相关服务</w:t>
      </w:r>
      <w:r>
        <w:rPr>
          <w:rFonts w:hint="eastAsia" w:ascii="宋体" w:hAnsi="宋体" w:eastAsia="宋体" w:cs="宋体"/>
          <w:color w:val="auto"/>
          <w:kern w:val="0"/>
          <w:sz w:val="24"/>
          <w:szCs w:val="24"/>
          <w:highlight w:val="none"/>
          <w:lang w:val="en-US" w:eastAsia="zh-CN" w:bidi="ar"/>
        </w:rPr>
        <w:t>应付的工人工资，按照甲方要求及《专业承包合同》的规定，按时向甲方提交支付申请并全额开具发票。乙方不参与甲、丙方的发票往来关系。</w:t>
      </w:r>
    </w:p>
    <w:p w14:paraId="0E4963F4">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 xml:space="preserve">第四条 </w:t>
      </w:r>
      <w:r>
        <w:rPr>
          <w:rFonts w:hint="eastAsia" w:ascii="宋体" w:hAnsi="宋体" w:eastAsia="宋体" w:cs="宋体"/>
          <w:color w:val="auto"/>
          <w:kern w:val="0"/>
          <w:sz w:val="24"/>
          <w:szCs w:val="24"/>
          <w:highlight w:val="none"/>
          <w:lang w:val="en-US" w:eastAsia="zh-CN" w:bidi="ar"/>
        </w:rPr>
        <w:t>乙方应在甲方按《专业承包合同》约定将应支付的工人工资足额支付至乙方就本项目开立的工人工资支付专用账户，并收到丙方加盖公章后提供的工人花名册、考勤记录、工人工资表等资料后3个工作日内，根据丙方编制并经丙方工人本人签字确认的工资支付表，通过乙方工人工资支付专用账户直接将工资支付到丙方工人本人的银行账户，并向丙方提供代发工资凭证。</w:t>
      </w:r>
    </w:p>
    <w:p w14:paraId="45E2C7F2">
      <w:pPr>
        <w:keepNext w:val="0"/>
        <w:keepLines w:val="0"/>
        <w:widowControl w:val="0"/>
        <w:suppressLineNumbers w:val="0"/>
        <w:adjustRightInd w:val="0"/>
        <w:snapToGrid w:val="0"/>
        <w:spacing w:before="0" w:beforeAutospacing="0" w:after="0" w:afterAutospacing="0" w:line="360" w:lineRule="auto"/>
        <w:ind w:left="0" w:right="11" w:firstLine="470" w:firstLineChars="196"/>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乙方工人工资支付专用账户：</w:t>
      </w:r>
    </w:p>
    <w:p w14:paraId="79C2D8EF">
      <w:pPr>
        <w:keepNext w:val="0"/>
        <w:keepLines w:val="0"/>
        <w:widowControl w:val="0"/>
        <w:suppressLineNumbers w:val="0"/>
        <w:adjustRightInd w:val="0"/>
        <w:snapToGrid w:val="0"/>
        <w:spacing w:before="0" w:beforeAutospacing="0" w:after="0" w:afterAutospacing="0" w:line="360" w:lineRule="auto"/>
        <w:ind w:left="0" w:right="11" w:firstLine="470" w:firstLineChars="196"/>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户名：</w:t>
      </w:r>
    </w:p>
    <w:p w14:paraId="6D8E6DBF">
      <w:pPr>
        <w:keepNext w:val="0"/>
        <w:keepLines w:val="0"/>
        <w:widowControl w:val="0"/>
        <w:suppressLineNumbers w:val="0"/>
        <w:adjustRightInd w:val="0"/>
        <w:snapToGrid w:val="0"/>
        <w:spacing w:before="0" w:beforeAutospacing="0" w:after="0" w:afterAutospacing="0" w:line="360" w:lineRule="auto"/>
        <w:ind w:left="0" w:right="11" w:firstLine="470" w:firstLineChars="196"/>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开户行：</w:t>
      </w:r>
    </w:p>
    <w:p w14:paraId="1BC6D057">
      <w:pPr>
        <w:keepNext w:val="0"/>
        <w:keepLines w:val="0"/>
        <w:widowControl w:val="0"/>
        <w:suppressLineNumbers w:val="0"/>
        <w:adjustRightInd w:val="0"/>
        <w:snapToGrid w:val="0"/>
        <w:spacing w:before="0" w:beforeAutospacing="0" w:after="0" w:afterAutospacing="0" w:line="360" w:lineRule="auto"/>
        <w:ind w:left="0" w:right="11" w:firstLine="470" w:firstLineChars="196"/>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账号：</w:t>
      </w:r>
    </w:p>
    <w:p w14:paraId="10304CE6">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第五条</w:t>
      </w:r>
      <w:r>
        <w:rPr>
          <w:rFonts w:hint="eastAsia" w:ascii="宋体" w:hAnsi="宋体" w:eastAsia="宋体" w:cs="宋体"/>
          <w:color w:val="auto"/>
          <w:kern w:val="0"/>
          <w:sz w:val="24"/>
          <w:szCs w:val="24"/>
          <w:highlight w:val="none"/>
          <w:lang w:val="en-US" w:eastAsia="zh-CN" w:bidi="ar"/>
        </w:rPr>
        <w:t>丙方应确保工资发放涉及所有人员，不能出现漏发、套用专户资金等问题，避免造成监理单位和乙方信用平台预警、诚信扣分等问题。乙方不得挪用甲方支付至乙方工人工资支付专用账户的丙方资金。</w:t>
      </w:r>
    </w:p>
    <w:p w14:paraId="6DCEED5F">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第六条</w:t>
      </w:r>
      <w:r>
        <w:rPr>
          <w:rFonts w:hint="eastAsia" w:ascii="宋体" w:hAnsi="宋体" w:eastAsia="宋体" w:cs="宋体"/>
          <w:color w:val="auto"/>
          <w:kern w:val="0"/>
          <w:sz w:val="24"/>
          <w:szCs w:val="24"/>
          <w:highlight w:val="none"/>
          <w:lang w:val="en-US" w:eastAsia="zh-CN" w:bidi="ar"/>
        </w:rPr>
        <w:t xml:space="preserve"> 乙方应及时配合丙方，完成其工人工资账户内剩余的丙方工人工资的结算工作。如在丙方工人工资全额发放后，乙方工人工资支付专用账户仍剩余丙方资金的，由丙方出具相应承诺书交乙方、监理单位审核，乙方办理安全评价书并办理销户手续后30个工作日内，退还至丙方公司账户。</w:t>
      </w:r>
    </w:p>
    <w:p w14:paraId="00BB1376">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第七条</w:t>
      </w:r>
      <w:r>
        <w:rPr>
          <w:rFonts w:hint="eastAsia" w:ascii="宋体" w:hAnsi="宋体" w:eastAsia="宋体" w:cs="宋体"/>
          <w:color w:val="auto"/>
          <w:kern w:val="0"/>
          <w:sz w:val="24"/>
          <w:szCs w:val="24"/>
          <w:highlight w:val="none"/>
          <w:lang w:val="en-US" w:eastAsia="zh-CN" w:bidi="ar"/>
        </w:rPr>
        <w:t>甲方已将应支付的工人工资足额支付至乙方工人工资支付专用账户但乙方未按时足额完成丙方工人工资代付工作的，相关的责任和损失由乙方承担。乙方挪用丙方资金的，丙方有权向乙方追偿，且甲方有权暂停支付本项目施工总承包合同的工程进度款，</w:t>
      </w:r>
      <w:r>
        <w:rPr>
          <w:rFonts w:hint="eastAsia" w:ascii="宋体" w:hAnsi="宋体" w:eastAsia="宋体" w:cs="宋体"/>
          <w:color w:val="auto"/>
          <w:kern w:val="2"/>
          <w:sz w:val="24"/>
          <w:szCs w:val="24"/>
          <w:highlight w:val="none"/>
          <w:lang w:val="en-US" w:eastAsia="zh-CN" w:bidi="ar"/>
        </w:rPr>
        <w:t>直至乙方归还挪用资金为止，</w:t>
      </w:r>
      <w:r>
        <w:rPr>
          <w:rFonts w:hint="eastAsia" w:ascii="宋体" w:hAnsi="宋体" w:eastAsia="宋体" w:cs="宋体"/>
          <w:color w:val="auto"/>
          <w:kern w:val="0"/>
          <w:sz w:val="24"/>
          <w:szCs w:val="24"/>
          <w:highlight w:val="none"/>
          <w:lang w:val="en-US" w:eastAsia="zh-CN" w:bidi="ar"/>
        </w:rPr>
        <w:t>给甲、丙方造成的损失由乙方承担。因丙方不及时提供资料、提供的相关资料错误或遗漏等原因造成丙方工人工资未能按时足额支付的，相关的责任和损失由丙方承担。丙方伪造出勤信息、提供虚假身份套取、高估冒算工人工资的，乙方可依法向丙方追偿。</w:t>
      </w:r>
    </w:p>
    <w:p w14:paraId="40D55A85">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第八条</w:t>
      </w:r>
      <w:r>
        <w:rPr>
          <w:rFonts w:hint="eastAsia" w:ascii="宋体" w:hAnsi="宋体" w:eastAsia="宋体" w:cs="宋体"/>
          <w:color w:val="auto"/>
          <w:kern w:val="0"/>
          <w:sz w:val="24"/>
          <w:szCs w:val="24"/>
          <w:highlight w:val="none"/>
          <w:lang w:val="en-US" w:eastAsia="zh-CN" w:bidi="ar"/>
        </w:rPr>
        <w:t>乙方、丙方承诺：如因工人工资发放问题处置不力，由此造成的相关纠纷、费用以及社会影响全部由乙、丙方各自承担。如因此给甲方造成损失，甲方有权向乙、丙方追偿。</w:t>
      </w:r>
    </w:p>
    <w:p w14:paraId="325BAA18">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第九条</w:t>
      </w:r>
      <w:r>
        <w:rPr>
          <w:rFonts w:hint="eastAsia" w:ascii="宋体" w:hAnsi="宋体" w:eastAsia="宋体" w:cs="宋体"/>
          <w:color w:val="auto"/>
          <w:kern w:val="0"/>
          <w:sz w:val="24"/>
          <w:szCs w:val="24"/>
          <w:highlight w:val="none"/>
          <w:lang w:val="en-US" w:eastAsia="zh-CN" w:bidi="ar"/>
        </w:rPr>
        <w:t>本协议仅明确本项目工程工人工资代收代发相关事宜，除本协议明确所作修改的条款之外，各方权利及义务按照甲方与乙方、甲方与丙方签订的合同的约定执行。</w:t>
      </w:r>
    </w:p>
    <w:p w14:paraId="3D1EB3D2">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第十条</w:t>
      </w:r>
      <w:r>
        <w:rPr>
          <w:rFonts w:hint="eastAsia" w:ascii="宋体" w:hAnsi="宋体" w:eastAsia="宋体" w:cs="宋体"/>
          <w:color w:val="auto"/>
          <w:kern w:val="0"/>
          <w:sz w:val="24"/>
          <w:szCs w:val="24"/>
          <w:highlight w:val="none"/>
          <w:lang w:val="en-US" w:eastAsia="zh-CN" w:bidi="ar"/>
        </w:rPr>
        <w:t xml:space="preserve">  若有其他未尽事宜，由三方另行商议达成补充协议。</w:t>
      </w:r>
    </w:p>
    <w:p w14:paraId="458DE04E">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 xml:space="preserve">第十一条  </w:t>
      </w:r>
      <w:r>
        <w:rPr>
          <w:rFonts w:hint="eastAsia" w:ascii="宋体" w:hAnsi="宋体" w:eastAsia="宋体" w:cs="宋体"/>
          <w:color w:val="auto"/>
          <w:kern w:val="0"/>
          <w:sz w:val="24"/>
          <w:szCs w:val="24"/>
          <w:highlight w:val="none"/>
          <w:lang w:val="en-US" w:eastAsia="zh-CN" w:bidi="ar"/>
        </w:rPr>
        <w:t>三方因本协议或者履行本协议所产生的争议，可先行协商解决，经协商达成一致意见的，应签订补充协议；若协商不成的，三方均可向本协议签订地人民法院提起诉讼。</w:t>
      </w:r>
    </w:p>
    <w:p w14:paraId="254E15F1">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第十二条</w:t>
      </w:r>
      <w:r>
        <w:rPr>
          <w:rFonts w:hint="eastAsia" w:ascii="宋体" w:hAnsi="宋体" w:eastAsia="宋体" w:cs="宋体"/>
          <w:color w:val="auto"/>
          <w:kern w:val="0"/>
          <w:sz w:val="24"/>
          <w:szCs w:val="24"/>
          <w:highlight w:val="none"/>
          <w:lang w:val="en-US" w:eastAsia="zh-CN" w:bidi="ar"/>
        </w:rPr>
        <w:t>本协议自三方法定代表人（或委托代理人）签字并盖章（公章或合同专用章）之日起生效。</w:t>
      </w:r>
    </w:p>
    <w:p w14:paraId="2D223EAA">
      <w:pPr>
        <w:keepNext w:val="0"/>
        <w:keepLines w:val="0"/>
        <w:widowControl w:val="0"/>
        <w:suppressLineNumbers w:val="0"/>
        <w:adjustRightInd w:val="0"/>
        <w:snapToGrid w:val="0"/>
        <w:spacing w:before="0" w:beforeAutospacing="0" w:after="0" w:afterAutospacing="0" w:line="360" w:lineRule="auto"/>
        <w:ind w:left="0" w:right="11" w:firstLine="472" w:firstLineChars="196"/>
        <w:jc w:val="both"/>
        <w:rPr>
          <w:rFonts w:hint="eastAsia" w:ascii="宋体" w:hAnsi="宋体" w:eastAsia="宋体" w:cs="宋体"/>
          <w:color w:val="auto"/>
          <w:kern w:val="0"/>
          <w:sz w:val="24"/>
          <w:szCs w:val="24"/>
          <w:highlight w:val="none"/>
        </w:rPr>
      </w:pPr>
      <w:r>
        <w:rPr>
          <w:rFonts w:hint="eastAsia" w:ascii="宋体" w:hAnsi="宋体" w:eastAsia="宋体" w:cs="宋体"/>
          <w:b/>
          <w:bCs w:val="0"/>
          <w:color w:val="auto"/>
          <w:kern w:val="0"/>
          <w:sz w:val="24"/>
          <w:szCs w:val="24"/>
          <w:highlight w:val="none"/>
          <w:lang w:val="en-US" w:eastAsia="zh-CN" w:bidi="ar"/>
        </w:rPr>
        <w:t xml:space="preserve">第十三条  </w:t>
      </w:r>
      <w:r>
        <w:rPr>
          <w:rFonts w:hint="eastAsia" w:ascii="宋体" w:hAnsi="宋体" w:eastAsia="宋体" w:cs="宋体"/>
          <w:color w:val="auto"/>
          <w:kern w:val="0"/>
          <w:sz w:val="24"/>
          <w:szCs w:val="24"/>
          <w:highlight w:val="none"/>
          <w:lang w:val="en-US" w:eastAsia="zh-CN" w:bidi="ar"/>
        </w:rPr>
        <w:t>本协议正本三份，三方各执一份；副本十份，乙、丙方各执二份，甲方执六份。</w:t>
      </w:r>
      <w:r>
        <w:rPr>
          <w:rFonts w:hint="eastAsia" w:ascii="宋体" w:hAnsi="宋体" w:eastAsia="宋体" w:cs="宋体"/>
          <w:bCs/>
          <w:color w:val="auto"/>
          <w:kern w:val="0"/>
          <w:sz w:val="24"/>
          <w:szCs w:val="24"/>
          <w:highlight w:val="none"/>
          <w:lang w:val="en-US" w:eastAsia="zh-CN" w:bidi="ar"/>
        </w:rPr>
        <w:t>协议正、副本具有同等效力，但当正本与副本的表述不一致时，以正本为准。</w:t>
      </w:r>
    </w:p>
    <w:p w14:paraId="31FF7FE9">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（本页以下无正文）</w:t>
      </w:r>
    </w:p>
    <w:p w14:paraId="24437B9B">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C47BC8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lang w:val="en-US" w:eastAsia="zh-CN" w:bidi="ar"/>
        </w:rPr>
        <w:br w:type="page"/>
      </w:r>
    </w:p>
    <w:p w14:paraId="76519111">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（本页无正文，为签署页）</w:t>
      </w:r>
    </w:p>
    <w:p w14:paraId="37CD8DE9">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b/>
          <w:bCs w:val="0"/>
          <w:color w:val="auto"/>
          <w:spacing w:val="-20"/>
          <w:kern w:val="0"/>
          <w:sz w:val="24"/>
          <w:szCs w:val="24"/>
          <w:highlight w:val="none"/>
        </w:rPr>
      </w:pPr>
      <w:r>
        <w:rPr>
          <w:rFonts w:hint="eastAsia" w:ascii="宋体" w:hAnsi="宋体" w:eastAsia="宋体" w:cs="宋体"/>
          <w:b/>
          <w:bCs w:val="0"/>
          <w:color w:val="auto"/>
          <w:kern w:val="0"/>
          <w:sz w:val="24"/>
          <w:szCs w:val="24"/>
          <w:highlight w:val="none"/>
          <w:lang w:val="en-US" w:eastAsia="zh-CN" w:bidi="ar"/>
        </w:rPr>
        <w:t>甲方：</w:t>
      </w:r>
      <w:r>
        <w:rPr>
          <w:rFonts w:hint="eastAsia" w:ascii="宋体" w:hAnsi="宋体" w:eastAsia="宋体" w:cs="宋体"/>
          <w:b/>
          <w:bCs w:val="0"/>
          <w:color w:val="auto"/>
          <w:spacing w:val="-17"/>
          <w:kern w:val="0"/>
          <w:sz w:val="24"/>
          <w:szCs w:val="24"/>
          <w:highlight w:val="none"/>
          <w:lang w:val="en-US" w:eastAsia="zh-CN" w:bidi="ar"/>
        </w:rPr>
        <w:t xml:space="preserve">广州市重点公共建设项目管理中心       </w:t>
      </w:r>
      <w:r>
        <w:rPr>
          <w:rFonts w:hint="eastAsia" w:ascii="宋体" w:hAnsi="宋体" w:eastAsia="宋体" w:cs="宋体"/>
          <w:b/>
          <w:bCs w:val="0"/>
          <w:color w:val="auto"/>
          <w:kern w:val="0"/>
          <w:sz w:val="24"/>
          <w:szCs w:val="24"/>
          <w:highlight w:val="none"/>
          <w:lang w:val="en-US" w:eastAsia="zh-CN" w:bidi="ar"/>
        </w:rPr>
        <w:t>乙方</w:t>
      </w:r>
      <w:r>
        <w:rPr>
          <w:rFonts w:hint="eastAsia" w:ascii="宋体" w:hAnsi="宋体" w:eastAsia="宋体" w:cs="宋体"/>
          <w:color w:val="auto"/>
          <w:kern w:val="0"/>
          <w:sz w:val="24"/>
          <w:szCs w:val="24"/>
          <w:highlight w:val="none"/>
          <w:lang w:val="en-US" w:eastAsia="zh-CN" w:bidi="ar"/>
        </w:rPr>
        <w:t>：</w:t>
      </w:r>
    </w:p>
    <w:p w14:paraId="3F04218B">
      <w:pPr>
        <w:keepNext w:val="0"/>
        <w:keepLines w:val="0"/>
        <w:widowControl w:val="0"/>
        <w:suppressLineNumbers w:val="0"/>
        <w:adjustRightInd w:val="0"/>
        <w:snapToGrid w:val="0"/>
        <w:spacing w:before="0" w:beforeAutospacing="0" w:after="0" w:afterAutospacing="0" w:line="360" w:lineRule="auto"/>
        <w:ind w:left="0" w:right="11" w:firstLine="1680" w:firstLineChars="7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（盖章）                             （盖章）</w:t>
      </w:r>
    </w:p>
    <w:p w14:paraId="052F434C">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5E2FF815">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法定代表人：                         法定代表人：</w:t>
      </w:r>
    </w:p>
    <w:p w14:paraId="1623AA8B">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24A6AA04">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委托代理人：                         委托代理人：</w:t>
      </w:r>
    </w:p>
    <w:p w14:paraId="5EBE4D09">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45AFFC6C">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住址：</w:t>
      </w:r>
      <w:r>
        <w:rPr>
          <w:rFonts w:hint="eastAsia" w:ascii="宋体" w:hAnsi="宋体" w:eastAsia="宋体" w:cs="宋体"/>
          <w:color w:val="auto"/>
          <w:spacing w:val="-20"/>
          <w:kern w:val="0"/>
          <w:sz w:val="24"/>
          <w:szCs w:val="24"/>
          <w:highlight w:val="none"/>
          <w:lang w:val="en-US" w:eastAsia="zh-CN" w:bidi="ar"/>
        </w:rPr>
        <w:t>广州市广州大学城内环东星运路1号</w:t>
      </w:r>
      <w:r>
        <w:rPr>
          <w:rFonts w:hint="eastAsia" w:ascii="宋体" w:hAnsi="宋体" w:eastAsia="宋体" w:cs="宋体"/>
          <w:color w:val="auto"/>
          <w:kern w:val="0"/>
          <w:sz w:val="24"/>
          <w:szCs w:val="24"/>
          <w:highlight w:val="none"/>
          <w:lang w:val="en-US" w:eastAsia="zh-CN" w:bidi="ar"/>
        </w:rPr>
        <w:t>住址：</w:t>
      </w:r>
    </w:p>
    <w:p w14:paraId="11D0680B">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邮编：510006                         邮编：</w:t>
      </w:r>
    </w:p>
    <w:p w14:paraId="3533451D">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电话：                               电话：</w:t>
      </w:r>
    </w:p>
    <w:p w14:paraId="4582052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传真：                               传真：</w:t>
      </w:r>
    </w:p>
    <w:p w14:paraId="2D8E202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日期：     年  月  日                日期：     年  月  日</w:t>
      </w:r>
    </w:p>
    <w:p w14:paraId="75B96A5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7294DDD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33EDF11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kern w:val="0"/>
          <w:sz w:val="24"/>
          <w:szCs w:val="24"/>
          <w:highlight w:val="none"/>
        </w:rPr>
      </w:pPr>
      <w:r>
        <w:rPr>
          <w:rFonts w:hint="eastAsia" w:ascii="宋体" w:hAnsi="宋体" w:eastAsia="宋体" w:cs="宋体"/>
          <w:b/>
          <w:bCs w:val="0"/>
          <w:color w:val="auto"/>
          <w:spacing w:val="-17"/>
          <w:kern w:val="0"/>
          <w:sz w:val="24"/>
          <w:szCs w:val="24"/>
          <w:highlight w:val="none"/>
          <w:lang w:val="en-US" w:eastAsia="zh-CN" w:bidi="ar"/>
        </w:rPr>
        <w:t xml:space="preserve">丙方：中标赞助企业 </w:t>
      </w:r>
    </w:p>
    <w:p w14:paraId="5EBC2E59">
      <w:pPr>
        <w:keepNext w:val="0"/>
        <w:keepLines w:val="0"/>
        <w:widowControl w:val="0"/>
        <w:suppressLineNumbers w:val="0"/>
        <w:adjustRightInd w:val="0"/>
        <w:snapToGrid w:val="0"/>
        <w:spacing w:before="0" w:beforeAutospacing="0" w:after="0" w:afterAutospacing="0" w:line="360" w:lineRule="auto"/>
        <w:ind w:left="0" w:right="11" w:firstLine="2040" w:firstLineChars="8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（盖章）</w:t>
      </w:r>
    </w:p>
    <w:p w14:paraId="02228DAE">
      <w:pPr>
        <w:keepNext w:val="0"/>
        <w:keepLines w:val="0"/>
        <w:widowControl w:val="0"/>
        <w:suppressLineNumbers w:val="0"/>
        <w:adjustRightInd w:val="0"/>
        <w:snapToGrid w:val="0"/>
        <w:spacing w:before="0" w:beforeAutospacing="0" w:after="0" w:afterAutospacing="0" w:line="360" w:lineRule="auto"/>
        <w:ind w:left="0" w:right="11" w:firstLine="840" w:firstLineChars="35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6D5A8C25">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法定代表人： </w:t>
      </w:r>
    </w:p>
    <w:p w14:paraId="2FCD90E8">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07B7FEAC">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委托代理人：</w:t>
      </w:r>
    </w:p>
    <w:p w14:paraId="08B74033">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31C39880">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住址：</w:t>
      </w:r>
    </w:p>
    <w:p w14:paraId="1A467AF9">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邮编：</w:t>
      </w:r>
    </w:p>
    <w:p w14:paraId="6EC00C6C">
      <w:pPr>
        <w:keepNext w:val="0"/>
        <w:keepLines w:val="0"/>
        <w:widowControl w:val="0"/>
        <w:suppressLineNumbers w:val="0"/>
        <w:adjustRightInd w:val="0"/>
        <w:snapToGrid w:val="0"/>
        <w:spacing w:before="0" w:beforeAutospacing="0" w:after="0" w:afterAutospacing="0" w:line="360" w:lineRule="auto"/>
        <w:ind w:left="-2" w:leftChars="-1"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电话：</w:t>
      </w:r>
    </w:p>
    <w:p w14:paraId="4C36E6C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传真：</w:t>
      </w:r>
    </w:p>
    <w:p w14:paraId="6833B72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日期：     年  月  日 </w:t>
      </w:r>
    </w:p>
    <w:p w14:paraId="5E4611D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 xml:space="preserve"> </w:t>
      </w:r>
    </w:p>
    <w:p w14:paraId="305439EF">
      <w:pPr>
        <w:keepNext w:val="0"/>
        <w:keepLines w:val="0"/>
        <w:widowControl/>
        <w:suppressLineNumbers w:val="0"/>
        <w:spacing w:before="0" w:beforeAutospacing="0" w:after="0" w:afterAutospacing="0"/>
        <w:ind w:left="0" w:right="0"/>
        <w:jc w:val="left"/>
        <w:rPr>
          <w:color w:val="auto"/>
          <w:highlight w:val="none"/>
        </w:rPr>
      </w:pPr>
      <w:r>
        <w:rPr>
          <w:rFonts w:hint="eastAsia" w:ascii="宋体" w:hAnsi="宋体" w:eastAsia="宋体" w:cs="宋体"/>
          <w:color w:val="auto"/>
          <w:kern w:val="2"/>
          <w:sz w:val="24"/>
          <w:szCs w:val="24"/>
          <w:highlight w:val="none"/>
          <w:lang w:val="en-US" w:eastAsia="zh-CN" w:bidi="ar"/>
        </w:rPr>
        <w:t xml:space="preserve">本协议签订于广东省广州市番禺区。 </w:t>
      </w:r>
    </w:p>
    <w:p w14:paraId="1579479F">
      <w:pPr>
        <w:rPr>
          <w:rFonts w:hint="eastAsia" w:ascii="宋体" w:hAnsi="宋体" w:eastAsia="宋体" w:cs="宋体"/>
          <w:color w:val="auto"/>
          <w:kern w:val="2"/>
          <w:sz w:val="24"/>
          <w:szCs w:val="24"/>
          <w:highlight w:val="none"/>
        </w:rPr>
        <w:sectPr>
          <w:pgSz w:w="11906" w:h="16838"/>
          <w:pgMar w:top="1440" w:right="1797" w:bottom="1440" w:left="1797" w:header="851" w:footer="992" w:gutter="0"/>
          <w:cols w:space="425" w:num="1"/>
          <w:titlePg/>
          <w:docGrid w:type="lines" w:linePitch="312" w:charSpace="0"/>
        </w:sectPr>
      </w:pPr>
    </w:p>
    <w:p w14:paraId="04AD652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附件18：</w:t>
      </w:r>
    </w:p>
    <w:p w14:paraId="08B04D53">
      <w:pPr>
        <w:pStyle w:val="3"/>
        <w:keepNext w:val="0"/>
        <w:keepLines w:val="0"/>
        <w:widowControl w:val="0"/>
        <w:suppressLineNumbers w:val="0"/>
        <w:spacing w:before="0" w:beforeAutospacing="0" w:after="0" w:afterAutospacing="0"/>
        <w:ind w:left="0" w:right="0"/>
        <w:jc w:val="center"/>
        <w:rPr>
          <w:rFonts w:hint="eastAsia" w:ascii="宋体" w:hAnsi="Courier New" w:eastAsia="宋体" w:cs="宋体"/>
          <w:color w:val="auto"/>
          <w:kern w:val="2"/>
          <w:sz w:val="21"/>
          <w:szCs w:val="21"/>
          <w:highlight w:val="none"/>
        </w:rPr>
      </w:pPr>
      <w:r>
        <w:rPr>
          <w:rFonts w:hint="eastAsia" w:ascii="宋体" w:hAnsi="宋体" w:eastAsia="宋体" w:cs="宋体"/>
          <w:b/>
          <w:bCs w:val="0"/>
          <w:color w:val="auto"/>
          <w:kern w:val="0"/>
          <w:sz w:val="32"/>
          <w:szCs w:val="32"/>
          <w:highlight w:val="none"/>
          <w:lang w:val="en-US" w:eastAsia="zh-CN" w:bidi="ar"/>
        </w:rPr>
        <w:t>《质保期银行履约保函（格式）》</w:t>
      </w:r>
    </w:p>
    <w:p w14:paraId="4D8939C2">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en-US" w:eastAsia="zh-CN" w:bidi="ar"/>
        </w:rPr>
        <w:t>编号：</w:t>
      </w:r>
      <w:r>
        <w:rPr>
          <w:rFonts w:hint="eastAsia" w:ascii="宋体" w:hAnsi="宋体" w:eastAsia="宋体" w:cs="宋体"/>
          <w:color w:val="auto"/>
          <w:kern w:val="0"/>
          <w:sz w:val="24"/>
          <w:szCs w:val="24"/>
          <w:highlight w:val="none"/>
          <w:u w:val="single"/>
          <w:lang w:val="en-US" w:eastAsia="zh-CN" w:bidi="ar"/>
        </w:rPr>
        <w:t xml:space="preserve">     </w:t>
      </w:r>
    </w:p>
    <w:p w14:paraId="0392ED7B">
      <w:pPr>
        <w:keepNext w:val="0"/>
        <w:keepLines w:val="0"/>
        <w:widowControl w:val="0"/>
        <w:suppressLineNumbers w:val="0"/>
        <w:adjustRightInd w:val="0"/>
        <w:snapToGrid w:val="0"/>
        <w:spacing w:before="0" w:beforeAutospacing="0" w:after="0" w:afterAutospacing="0" w:line="360" w:lineRule="auto"/>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27EAC03D">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鉴于</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（以下称承包人）按照《</w:t>
      </w:r>
      <w:r>
        <w:rPr>
          <w:rFonts w:hint="eastAsia" w:ascii="宋体" w:hAnsi="宋体" w:eastAsia="宋体" w:cs="宋体"/>
          <w:color w:val="auto"/>
          <w:kern w:val="0"/>
          <w:sz w:val="21"/>
          <w:szCs w:val="21"/>
          <w:highlight w:val="none"/>
          <w:u w:val="single"/>
          <w:lang w:val="en-US" w:eastAsia="zh-CN" w:bidi="ar"/>
        </w:rPr>
        <w:t>第十五届全运会广东奥林匹克体育中心升级改造项目、第十五届全运会广东省人民体育场改造项目体育工艺（设备类）采购及相关服务</w:t>
      </w:r>
      <w:r>
        <w:rPr>
          <w:rFonts w:hint="eastAsia" w:ascii="宋体" w:hAnsi="宋体" w:eastAsia="宋体" w:cs="宋体"/>
          <w:color w:val="auto"/>
          <w:kern w:val="0"/>
          <w:sz w:val="21"/>
          <w:szCs w:val="21"/>
          <w:highlight w:val="none"/>
          <w:lang w:val="en-US" w:eastAsia="zh-CN" w:bidi="ar"/>
        </w:rPr>
        <w:t>招标文件》和承包人中标的投标文件与广州市重点公共建设项目管理中心订立《</w:t>
      </w:r>
      <w:r>
        <w:rPr>
          <w:rFonts w:hint="eastAsia" w:ascii="宋体" w:hAnsi="宋体" w:eastAsia="宋体" w:cs="宋体"/>
          <w:color w:val="auto"/>
          <w:kern w:val="0"/>
          <w:sz w:val="21"/>
          <w:szCs w:val="21"/>
          <w:highlight w:val="none"/>
          <w:u w:val="single"/>
          <w:lang w:val="en-US" w:eastAsia="zh-CN" w:bidi="ar"/>
        </w:rPr>
        <w:t>第十五届全运会广东奥林匹克体育中心升级改造项目、第十五届全运会广东省人民体育场改造项目体育工艺（设备类）采购及相关服务合同</w:t>
      </w:r>
      <w:r>
        <w:rPr>
          <w:rFonts w:hint="eastAsia" w:ascii="宋体" w:hAnsi="宋体" w:eastAsia="宋体" w:cs="宋体"/>
          <w:color w:val="auto"/>
          <w:kern w:val="0"/>
          <w:sz w:val="21"/>
          <w:szCs w:val="21"/>
          <w:highlight w:val="none"/>
          <w:lang w:val="en-US" w:eastAsia="zh-CN" w:bidi="ar"/>
        </w:rPr>
        <w:t>》（以下简称合同）。我行同意为承包人出具担保金额为人民币</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）的</w:t>
      </w:r>
      <w:r>
        <w:rPr>
          <w:rFonts w:hint="eastAsia" w:ascii="宋体" w:hAnsi="宋体" w:eastAsia="宋体" w:cs="宋体"/>
          <w:b/>
          <w:bCs w:val="0"/>
          <w:color w:val="auto"/>
          <w:kern w:val="0"/>
          <w:sz w:val="21"/>
          <w:szCs w:val="21"/>
          <w:highlight w:val="none"/>
          <w:lang w:val="en-US" w:eastAsia="zh-CN" w:bidi="ar"/>
        </w:rPr>
        <w:t>连带责任保证</w:t>
      </w:r>
      <w:r>
        <w:rPr>
          <w:rFonts w:hint="eastAsia" w:ascii="宋体" w:hAnsi="宋体" w:eastAsia="宋体" w:cs="宋体"/>
          <w:color w:val="auto"/>
          <w:kern w:val="0"/>
          <w:sz w:val="21"/>
          <w:szCs w:val="21"/>
          <w:highlight w:val="none"/>
          <w:lang w:val="en-US" w:eastAsia="zh-CN" w:bidi="ar"/>
        </w:rPr>
        <w:t>保函作为承包人在</w:t>
      </w:r>
      <w:r>
        <w:rPr>
          <w:rFonts w:hint="eastAsia" w:ascii="宋体" w:hAnsi="宋体" w:eastAsia="宋体" w:cs="宋体"/>
          <w:b/>
          <w:bCs w:val="0"/>
          <w:color w:val="auto"/>
          <w:kern w:val="0"/>
          <w:sz w:val="21"/>
          <w:szCs w:val="21"/>
          <w:highlight w:val="none"/>
          <w:lang w:val="en-US" w:eastAsia="zh-CN" w:bidi="ar"/>
        </w:rPr>
        <w:t>防水工程质量保修期</w:t>
      </w:r>
      <w:r>
        <w:rPr>
          <w:rFonts w:hint="eastAsia" w:ascii="宋体" w:hAnsi="宋体" w:eastAsia="宋体" w:cs="宋体"/>
          <w:color w:val="auto"/>
          <w:kern w:val="0"/>
          <w:sz w:val="21"/>
          <w:szCs w:val="21"/>
          <w:highlight w:val="none"/>
          <w:lang w:val="en-US" w:eastAsia="zh-CN" w:bidi="ar"/>
        </w:rPr>
        <w:t>内对合同约定工程出现的</w:t>
      </w:r>
      <w:r>
        <w:rPr>
          <w:rFonts w:hint="eastAsia" w:ascii="宋体" w:hAnsi="宋体" w:eastAsia="宋体" w:cs="宋体"/>
          <w:b/>
          <w:bCs w:val="0"/>
          <w:color w:val="auto"/>
          <w:kern w:val="0"/>
          <w:sz w:val="21"/>
          <w:szCs w:val="21"/>
          <w:highlight w:val="none"/>
          <w:lang w:val="en-US" w:eastAsia="zh-CN" w:bidi="ar"/>
        </w:rPr>
        <w:t>防水工程质量问题</w:t>
      </w:r>
      <w:r>
        <w:rPr>
          <w:rFonts w:hint="eastAsia" w:ascii="宋体" w:hAnsi="宋体" w:eastAsia="宋体" w:cs="宋体"/>
          <w:color w:val="auto"/>
          <w:kern w:val="0"/>
          <w:sz w:val="21"/>
          <w:szCs w:val="21"/>
          <w:highlight w:val="none"/>
          <w:lang w:val="en-US" w:eastAsia="zh-CN" w:bidi="ar"/>
        </w:rPr>
        <w:t>履行维修义务的担保。担保的范围为承包人按法律规定以及合同约定应向贵方履行的全部义务，包括但不限于</w:t>
      </w:r>
      <w:r>
        <w:rPr>
          <w:rFonts w:hint="eastAsia" w:ascii="宋体" w:hAnsi="宋体" w:eastAsia="宋体" w:cs="宋体"/>
          <w:color w:val="auto"/>
          <w:kern w:val="2"/>
          <w:sz w:val="21"/>
          <w:szCs w:val="21"/>
          <w:highlight w:val="none"/>
          <w:shd w:val="clear" w:fill="FFFFFF"/>
          <w:lang w:val="en-US" w:eastAsia="zh-CN" w:bidi="ar"/>
        </w:rPr>
        <w:t>对建设工程出现的</w:t>
      </w:r>
      <w:r>
        <w:rPr>
          <w:rFonts w:hint="eastAsia" w:ascii="宋体" w:hAnsi="宋体" w:eastAsia="宋体" w:cs="宋体"/>
          <w:b/>
          <w:bCs w:val="0"/>
          <w:color w:val="auto"/>
          <w:kern w:val="0"/>
          <w:sz w:val="21"/>
          <w:szCs w:val="21"/>
          <w:highlight w:val="none"/>
          <w:lang w:val="en-US" w:eastAsia="zh-CN" w:bidi="ar"/>
        </w:rPr>
        <w:t>防水工程质量问题</w:t>
      </w:r>
      <w:r>
        <w:rPr>
          <w:rFonts w:hint="eastAsia" w:ascii="宋体" w:hAnsi="宋体" w:eastAsia="宋体" w:cs="宋体"/>
          <w:color w:val="auto"/>
          <w:kern w:val="2"/>
          <w:sz w:val="21"/>
          <w:szCs w:val="21"/>
          <w:highlight w:val="none"/>
          <w:shd w:val="clear" w:fill="FFFFFF"/>
          <w:lang w:val="en-US" w:eastAsia="zh-CN" w:bidi="ar"/>
        </w:rPr>
        <w:t>进行维修的费用</w:t>
      </w:r>
      <w:r>
        <w:rPr>
          <w:rFonts w:hint="eastAsia" w:ascii="宋体" w:hAnsi="宋体" w:eastAsia="宋体" w:cs="宋体"/>
          <w:color w:val="auto"/>
          <w:kern w:val="0"/>
          <w:sz w:val="21"/>
          <w:szCs w:val="21"/>
          <w:highlight w:val="none"/>
          <w:lang w:val="en-US" w:eastAsia="zh-CN" w:bidi="ar"/>
        </w:rPr>
        <w:t>，应向贵方支付的利息，在人力资源、材料、机械设备投入，施工质量，施工工期，施工人员工资支付，工程分包，施工（总）承包管理和现场整体组织，专业协调及配合等方面的违约金，损害赔偿金，实现债权的费用。</w:t>
      </w:r>
    </w:p>
    <w:p w14:paraId="678A009B">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我行承诺如下：</w:t>
      </w:r>
    </w:p>
    <w:p w14:paraId="2CCFFA84">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1、承包人在按照合同约定及法律规定对建设工程出现的</w:t>
      </w:r>
      <w:r>
        <w:rPr>
          <w:rFonts w:hint="eastAsia" w:ascii="宋体" w:hAnsi="宋体" w:eastAsia="宋体" w:cs="宋体"/>
          <w:b/>
          <w:bCs w:val="0"/>
          <w:color w:val="auto"/>
          <w:kern w:val="0"/>
          <w:sz w:val="21"/>
          <w:szCs w:val="21"/>
          <w:highlight w:val="none"/>
          <w:lang w:val="en-US" w:eastAsia="zh-CN" w:bidi="ar"/>
        </w:rPr>
        <w:t>防水工程质量问题</w:t>
      </w:r>
      <w:r>
        <w:rPr>
          <w:rFonts w:hint="eastAsia" w:ascii="宋体" w:hAnsi="宋体" w:eastAsia="宋体" w:cs="宋体"/>
          <w:color w:val="auto"/>
          <w:kern w:val="0"/>
          <w:sz w:val="21"/>
          <w:szCs w:val="21"/>
          <w:highlight w:val="none"/>
          <w:lang w:val="en-US" w:eastAsia="zh-CN" w:bidi="ar"/>
        </w:rPr>
        <w:t>履行维修义务过程中，由于资金、技术、质量或非不可抗力及其他违约行为等原因需向贵方支付违约金或赔偿金时，在贵方</w:t>
      </w:r>
      <w:r>
        <w:rPr>
          <w:rFonts w:hint="eastAsia" w:ascii="宋体" w:hAnsi="宋体" w:eastAsia="宋体" w:cs="宋体"/>
          <w:color w:val="auto"/>
          <w:kern w:val="2"/>
          <w:sz w:val="21"/>
          <w:szCs w:val="21"/>
          <w:highlight w:val="none"/>
          <w:lang w:val="en-US" w:eastAsia="zh-CN" w:bidi="ar"/>
        </w:rPr>
        <w:t>以书面索赔通知纸质原件形式提出要求得到上述金额内的任何付款时（需提供本保函正本原件供我行核对），我行在7个工作日内予以支付累计不超过上述担保金额的款项</w:t>
      </w:r>
      <w:r>
        <w:rPr>
          <w:rFonts w:hint="eastAsia" w:ascii="宋体" w:hAnsi="宋体" w:eastAsia="宋体" w:cs="宋体"/>
          <w:color w:val="auto"/>
          <w:kern w:val="0"/>
          <w:sz w:val="21"/>
          <w:szCs w:val="21"/>
          <w:highlight w:val="none"/>
          <w:lang w:val="en-US" w:eastAsia="zh-CN" w:bidi="ar"/>
        </w:rPr>
        <w:t>，不挑剔、不争辩，也不要求贵方出具证明或说明背景、理由。</w:t>
      </w:r>
    </w:p>
    <w:p w14:paraId="5FA33C1B">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2、我行放弃贵方应先向承包人要求赔偿上述金额然后再向我行提出要求的权利。</w:t>
      </w:r>
    </w:p>
    <w:p w14:paraId="365FD137">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我行进一步同意，在贵方和承包人之间的合同条件、合同项下的工程或合同发生变化、补充或修改，在不加重我行担保责任的情况下，我行承担本保函的责任也不改变。有关上述变化、补充和修改也无须通知我行。</w:t>
      </w:r>
    </w:p>
    <w:p w14:paraId="65396EE9">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本保函有效期间为</w:t>
      </w:r>
      <w:r>
        <w:rPr>
          <w:rFonts w:hint="eastAsia" w:ascii="宋体" w:hAnsi="宋体" w:eastAsia="宋体" w:cs="宋体"/>
          <w:color w:val="auto"/>
          <w:kern w:val="0"/>
          <w:sz w:val="21"/>
          <w:szCs w:val="21"/>
          <w:highlight w:val="none"/>
          <w:lang w:val="en-US" w:eastAsia="zh-CN" w:bidi="ar"/>
        </w:rPr>
        <w:t>：自本保函签署之日起至合同约定的</w:t>
      </w:r>
      <w:r>
        <w:rPr>
          <w:rFonts w:hint="eastAsia" w:ascii="宋体" w:hAnsi="宋体" w:eastAsia="宋体" w:cs="宋体"/>
          <w:b/>
          <w:bCs w:val="0"/>
          <w:color w:val="auto"/>
          <w:kern w:val="0"/>
          <w:sz w:val="21"/>
          <w:szCs w:val="21"/>
          <w:highlight w:val="none"/>
          <w:lang w:val="en-US" w:eastAsia="zh-CN" w:bidi="ar"/>
        </w:rPr>
        <w:t>防水工程质量保修期</w:t>
      </w:r>
      <w:r>
        <w:rPr>
          <w:rFonts w:hint="eastAsia" w:ascii="宋体" w:hAnsi="宋体" w:eastAsia="宋体" w:cs="宋体"/>
          <w:color w:val="auto"/>
          <w:kern w:val="0"/>
          <w:sz w:val="21"/>
          <w:szCs w:val="21"/>
          <w:highlight w:val="none"/>
          <w:lang w:val="en-US" w:eastAsia="zh-CN" w:bidi="ar"/>
        </w:rPr>
        <w:t>满后六个月届满之日止，但最迟不超过年月日。</w:t>
      </w:r>
    </w:p>
    <w:p w14:paraId="02F195C4">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本保函适用中华人民共和国法律，任何与本保函有关的争议均需提交工程项目所在地人民法院提起诉讼。</w:t>
      </w:r>
    </w:p>
    <w:p w14:paraId="4F9CD392">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本保函自我行负责人（或委托代理人）签字并加盖公章之日起生效。</w:t>
      </w:r>
    </w:p>
    <w:p w14:paraId="661E660A">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886E40A">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银行名称：（盖章）</w:t>
      </w:r>
    </w:p>
    <w:p w14:paraId="73E58DFA">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银行负责人（或委托代理人）：</w:t>
      </w:r>
    </w:p>
    <w:p w14:paraId="1DF88EAE">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地址：</w:t>
      </w:r>
    </w:p>
    <w:p w14:paraId="1057882D">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邮政编码：</w:t>
      </w:r>
    </w:p>
    <w:p w14:paraId="60EE5CC3">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095" w:firstLineChars="195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联系电话：</w:t>
      </w:r>
    </w:p>
    <w:p w14:paraId="649217D2">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日期：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月</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345F71CE">
      <w:pPr>
        <w:rPr>
          <w:rFonts w:hint="eastAsia" w:ascii="宋体" w:hAnsi="宋体" w:eastAsia="宋体" w:cs="宋体"/>
          <w:color w:val="auto"/>
          <w:kern w:val="2"/>
          <w:sz w:val="21"/>
          <w:szCs w:val="21"/>
          <w:highlight w:val="none"/>
        </w:rPr>
        <w:sectPr>
          <w:pgSz w:w="11906" w:h="16838"/>
          <w:pgMar w:top="1440" w:right="1797" w:bottom="1440" w:left="1797" w:header="851" w:footer="992" w:gutter="0"/>
          <w:cols w:space="425" w:num="1"/>
          <w:titlePg/>
          <w:docGrid w:type="lines" w:linePitch="312" w:charSpace="0"/>
        </w:sectPr>
      </w:pPr>
    </w:p>
    <w:p w14:paraId="4AC6257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t>附件19：本项目《建设资金支付协议》</w:t>
      </w:r>
      <w:r>
        <w:rPr>
          <w:rFonts w:hint="eastAsia" w:ascii="宋体" w:hAnsi="宋体" w:eastAsia="宋体" w:cs="Times New Roman"/>
          <w:color w:val="auto"/>
          <w:kern w:val="2"/>
          <w:sz w:val="24"/>
          <w:szCs w:val="20"/>
          <w:highlight w:val="none"/>
          <w:lang w:val="en-US" w:eastAsia="zh-CN" w:bidi="ar"/>
        </w:rPr>
        <w:t>（格式）（签订合同时附签字盖章文本）</w:t>
      </w:r>
    </w:p>
    <w:p w14:paraId="706717D4">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0"/>
          <w:sz w:val="52"/>
          <w:szCs w:val="22"/>
          <w:highlight w:val="none"/>
          <w:lang w:val="en-US"/>
        </w:rPr>
      </w:pPr>
    </w:p>
    <w:p w14:paraId="2AB8F4C9">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0"/>
          <w:sz w:val="52"/>
          <w:szCs w:val="22"/>
          <w:highlight w:val="none"/>
          <w:lang w:val="en-US"/>
        </w:rPr>
      </w:pPr>
    </w:p>
    <w:p w14:paraId="5D82AD7D">
      <w:pPr>
        <w:keepNext w:val="0"/>
        <w:keepLines w:val="0"/>
        <w:widowControl w:val="0"/>
        <w:suppressLineNumbers w:val="0"/>
        <w:spacing w:before="0" w:beforeAutospacing="0" w:after="0" w:afterAutospacing="0"/>
        <w:ind w:left="0" w:right="0"/>
        <w:jc w:val="center"/>
        <w:rPr>
          <w:rFonts w:hint="eastAsia" w:ascii="华文中宋" w:hAnsi="华文中宋" w:eastAsia="华文中宋" w:cs="华文中宋"/>
          <w:color w:val="auto"/>
          <w:sz w:val="80"/>
          <w:szCs w:val="80"/>
          <w:highlight w:val="none"/>
          <w:lang w:val="en-US"/>
        </w:rPr>
      </w:pPr>
      <w:r>
        <w:rPr>
          <w:rFonts w:hint="eastAsia" w:ascii="华文中宋" w:hAnsi="华文中宋" w:eastAsia="华文中宋" w:cs="华文中宋"/>
          <w:snapToGrid w:val="0"/>
          <w:color w:val="auto"/>
          <w:kern w:val="2"/>
          <w:sz w:val="80"/>
          <w:szCs w:val="80"/>
          <w:highlight w:val="none"/>
          <w:lang w:val="en-US" w:eastAsia="zh-CN" w:bidi="ar"/>
        </w:rPr>
        <w:t>建设资金支付协议</w:t>
      </w:r>
    </w:p>
    <w:p w14:paraId="68DA3080">
      <w:pPr>
        <w:keepNext w:val="0"/>
        <w:keepLines w:val="0"/>
        <w:widowControl w:val="0"/>
        <w:suppressLineNumbers w:val="0"/>
        <w:adjustRightInd w:val="0"/>
        <w:snapToGrid w:val="0"/>
        <w:spacing w:before="240" w:beforeAutospacing="0" w:after="0" w:afterAutospacing="0" w:line="360" w:lineRule="auto"/>
        <w:ind w:left="0" w:right="0"/>
        <w:jc w:val="center"/>
        <w:rPr>
          <w:rFonts w:hint="eastAsia" w:ascii="宋体" w:hAnsi="宋体" w:eastAsia="宋体" w:cs="宋体"/>
          <w:b/>
          <w:bCs w:val="0"/>
          <w:color w:val="auto"/>
          <w:kern w:val="0"/>
          <w:sz w:val="32"/>
          <w:szCs w:val="32"/>
          <w:highlight w:val="none"/>
          <w:lang w:val="en-US"/>
        </w:rPr>
      </w:pPr>
      <w:r>
        <w:rPr>
          <w:rFonts w:hint="eastAsia" w:ascii="宋体" w:hAnsi="宋体" w:eastAsia="宋体" w:cs="宋体"/>
          <w:b/>
          <w:bCs w:val="0"/>
          <w:snapToGrid w:val="0"/>
          <w:color w:val="auto"/>
          <w:kern w:val="0"/>
          <w:sz w:val="32"/>
          <w:szCs w:val="32"/>
          <w:highlight w:val="none"/>
          <w:lang w:val="en-US" w:eastAsia="zh-CN" w:bidi="ar"/>
        </w:rPr>
        <w:t>编号：</w:t>
      </w:r>
    </w:p>
    <w:p w14:paraId="4FA4F14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2"/>
          <w:highlight w:val="none"/>
          <w:lang w:val="en-US"/>
        </w:rPr>
      </w:pPr>
    </w:p>
    <w:p w14:paraId="46EFB8B8">
      <w:pPr>
        <w:keepNext w:val="0"/>
        <w:keepLines w:val="0"/>
        <w:widowControl w:val="0"/>
        <w:suppressLineNumbers w:val="0"/>
        <w:tabs>
          <w:tab w:val="left" w:pos="5775"/>
        </w:tabs>
        <w:adjustRightInd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2"/>
          <w:highlight w:val="none"/>
          <w:lang w:val="en-US"/>
        </w:rPr>
      </w:pPr>
      <w:r>
        <w:rPr>
          <w:rFonts w:hint="eastAsia" w:ascii="宋体" w:hAnsi="宋体" w:eastAsia="宋体" w:cs="宋体"/>
          <w:color w:val="auto"/>
          <w:kern w:val="0"/>
          <w:sz w:val="24"/>
          <w:szCs w:val="22"/>
          <w:highlight w:val="none"/>
          <w:lang w:val="en-US" w:eastAsia="zh-CN" w:bidi="ar"/>
        </w:rPr>
        <w:tab/>
      </w:r>
    </w:p>
    <w:p w14:paraId="477918A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2"/>
          <w:highlight w:val="none"/>
          <w:lang w:val="en-US"/>
        </w:rPr>
      </w:pPr>
    </w:p>
    <w:p w14:paraId="5A246DD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snapToGrid w:val="0"/>
          <w:color w:val="auto"/>
          <w:kern w:val="0"/>
          <w:sz w:val="24"/>
          <w:szCs w:val="22"/>
          <w:highlight w:val="none"/>
          <w:lang w:val="en-US"/>
        </w:rPr>
      </w:pPr>
    </w:p>
    <w:p w14:paraId="463AE6A2">
      <w:pPr>
        <w:keepNext w:val="0"/>
        <w:keepLines w:val="0"/>
        <w:widowControl/>
        <w:suppressLineNumbers w:val="0"/>
        <w:spacing w:before="0" w:beforeAutospacing="0" w:after="0" w:afterAutospacing="0"/>
        <w:ind w:left="0" w:right="0"/>
        <w:jc w:val="left"/>
        <w:rPr>
          <w:color w:val="auto"/>
          <w:highlight w:val="none"/>
          <w:lang w:val="en-US"/>
        </w:rPr>
      </w:pPr>
    </w:p>
    <w:p w14:paraId="797E0320">
      <w:pPr>
        <w:keepNext w:val="0"/>
        <w:keepLines w:val="0"/>
        <w:widowControl/>
        <w:suppressLineNumbers w:val="0"/>
        <w:spacing w:before="0" w:beforeAutospacing="0" w:after="0" w:afterAutospacing="0"/>
        <w:ind w:left="0" w:right="0"/>
        <w:jc w:val="left"/>
        <w:rPr>
          <w:color w:val="auto"/>
          <w:highlight w:val="none"/>
          <w:lang w:val="en-US"/>
        </w:rPr>
      </w:pPr>
    </w:p>
    <w:p w14:paraId="2D15A778">
      <w:pPr>
        <w:keepNext w:val="0"/>
        <w:keepLines w:val="0"/>
        <w:widowControl/>
        <w:suppressLineNumbers w:val="0"/>
        <w:spacing w:before="0" w:beforeAutospacing="0" w:after="0" w:afterAutospacing="0"/>
        <w:ind w:left="0" w:right="0"/>
        <w:jc w:val="left"/>
        <w:rPr>
          <w:color w:val="auto"/>
          <w:highlight w:val="none"/>
          <w:lang w:val="en-US"/>
        </w:rPr>
      </w:pPr>
    </w:p>
    <w:p w14:paraId="0D9AB753">
      <w:pPr>
        <w:keepNext w:val="0"/>
        <w:keepLines w:val="0"/>
        <w:widowControl/>
        <w:suppressLineNumbers w:val="0"/>
        <w:spacing w:before="0" w:beforeAutospacing="0" w:after="0" w:afterAutospacing="0"/>
        <w:ind w:left="0" w:right="0"/>
        <w:jc w:val="left"/>
        <w:rPr>
          <w:color w:val="auto"/>
          <w:highlight w:val="none"/>
          <w:lang w:val="en-US"/>
        </w:rPr>
      </w:pPr>
    </w:p>
    <w:p w14:paraId="52EDAFA7">
      <w:pPr>
        <w:keepNext w:val="0"/>
        <w:keepLines w:val="0"/>
        <w:widowControl/>
        <w:suppressLineNumbers w:val="0"/>
        <w:spacing w:before="0" w:beforeAutospacing="0" w:after="0" w:afterAutospacing="0"/>
        <w:ind w:left="0" w:right="0"/>
        <w:jc w:val="left"/>
        <w:rPr>
          <w:color w:val="auto"/>
          <w:highlight w:val="none"/>
          <w:lang w:val="en-US"/>
        </w:rPr>
      </w:pPr>
    </w:p>
    <w:p w14:paraId="47BB941C">
      <w:pPr>
        <w:keepNext w:val="0"/>
        <w:keepLines w:val="0"/>
        <w:widowControl/>
        <w:suppressLineNumbers w:val="0"/>
        <w:tabs>
          <w:tab w:val="left" w:pos="6615"/>
        </w:tabs>
        <w:spacing w:before="0" w:beforeAutospacing="0" w:after="0" w:afterAutospacing="0"/>
        <w:ind w:left="0" w:right="0"/>
        <w:jc w:val="left"/>
        <w:rPr>
          <w:color w:val="auto"/>
          <w:highlight w:val="none"/>
          <w:lang w:val="en-US"/>
        </w:rPr>
      </w:pPr>
      <w:r>
        <w:rPr>
          <w:rFonts w:hint="default" w:ascii="Times New Roman" w:hAnsi="Times New Roman" w:eastAsia="宋体" w:cs="Times New Roman"/>
          <w:color w:val="auto"/>
          <w:kern w:val="2"/>
          <w:sz w:val="21"/>
          <w:szCs w:val="22"/>
          <w:highlight w:val="none"/>
          <w:lang w:val="en-US" w:eastAsia="zh-CN" w:bidi="ar"/>
        </w:rPr>
        <w:tab/>
      </w:r>
    </w:p>
    <w:p w14:paraId="6E89DD50">
      <w:pPr>
        <w:keepNext w:val="0"/>
        <w:keepLines w:val="0"/>
        <w:widowControl/>
        <w:suppressLineNumbers w:val="0"/>
        <w:spacing w:before="0" w:beforeAutospacing="0" w:after="0" w:afterAutospacing="0"/>
        <w:ind w:left="0" w:right="0"/>
        <w:jc w:val="left"/>
        <w:rPr>
          <w:color w:val="auto"/>
          <w:highlight w:val="none"/>
          <w:lang w:val="en-US"/>
        </w:rPr>
      </w:pPr>
    </w:p>
    <w:p w14:paraId="5782807A">
      <w:pPr>
        <w:keepNext w:val="0"/>
        <w:keepLines w:val="0"/>
        <w:widowControl/>
        <w:suppressLineNumbers w:val="0"/>
        <w:spacing w:before="0" w:beforeAutospacing="0" w:after="0" w:afterAutospacing="0"/>
        <w:ind w:left="0" w:right="0"/>
        <w:jc w:val="left"/>
        <w:rPr>
          <w:color w:val="auto"/>
          <w:highlight w:val="none"/>
          <w:lang w:val="en-US"/>
        </w:rPr>
      </w:pPr>
    </w:p>
    <w:p w14:paraId="6214841B">
      <w:pPr>
        <w:keepNext w:val="0"/>
        <w:keepLines w:val="0"/>
        <w:widowControl/>
        <w:suppressLineNumbers w:val="0"/>
        <w:spacing w:before="0" w:beforeAutospacing="0" w:after="0" w:afterAutospacing="0"/>
        <w:ind w:left="0" w:right="0"/>
        <w:jc w:val="left"/>
        <w:rPr>
          <w:color w:val="auto"/>
          <w:highlight w:val="none"/>
          <w:lang w:val="en-US"/>
        </w:rPr>
      </w:pPr>
    </w:p>
    <w:p w14:paraId="3AD0D334">
      <w:pPr>
        <w:keepNext w:val="0"/>
        <w:keepLines w:val="0"/>
        <w:widowControl w:val="0"/>
        <w:suppressLineNumbers w:val="0"/>
        <w:spacing w:before="0" w:beforeAutospacing="0" w:after="0" w:afterAutospacing="0" w:line="760" w:lineRule="exact"/>
        <w:ind w:left="0" w:right="0" w:firstLine="315" w:firstLineChars="98"/>
        <w:jc w:val="both"/>
        <w:rPr>
          <w:rFonts w:hint="eastAsia" w:ascii="宋体" w:hAnsi="宋体" w:eastAsia="宋体" w:cs="宋体"/>
          <w:b/>
          <w:color w:val="auto"/>
          <w:kern w:val="0"/>
          <w:sz w:val="32"/>
          <w:szCs w:val="32"/>
          <w:highlight w:val="none"/>
          <w:lang w:val="en-US"/>
        </w:rPr>
      </w:pPr>
      <w:r>
        <w:rPr>
          <w:rFonts w:hint="eastAsia" w:ascii="宋体" w:hAnsi="宋体" w:eastAsia="宋体" w:cs="宋体"/>
          <w:b/>
          <w:color w:val="auto"/>
          <w:kern w:val="0"/>
          <w:sz w:val="32"/>
          <w:szCs w:val="32"/>
          <w:highlight w:val="none"/>
          <w:lang w:val="en-US" w:eastAsia="zh-CN" w:bidi="ar"/>
        </w:rPr>
        <w:t>甲方(预算管理单位)：</w:t>
      </w:r>
    </w:p>
    <w:p w14:paraId="16833EA4">
      <w:pPr>
        <w:keepNext w:val="0"/>
        <w:keepLines w:val="0"/>
        <w:widowControl w:val="0"/>
        <w:suppressLineNumbers w:val="0"/>
        <w:adjustRightInd w:val="0"/>
        <w:snapToGrid w:val="0"/>
        <w:spacing w:before="0" w:beforeAutospacing="0" w:after="0" w:afterAutospacing="0" w:line="360" w:lineRule="auto"/>
        <w:ind w:left="0" w:right="0" w:firstLine="320" w:firstLineChars="100"/>
        <w:jc w:val="both"/>
        <w:rPr>
          <w:rFonts w:hint="eastAsia" w:ascii="宋体" w:hAnsi="宋体" w:eastAsia="宋体" w:cs="宋体"/>
          <w:color w:val="auto"/>
          <w:kern w:val="0"/>
          <w:sz w:val="32"/>
          <w:szCs w:val="32"/>
          <w:highlight w:val="none"/>
          <w:lang w:val="en-US"/>
        </w:rPr>
      </w:pPr>
      <w:r>
        <w:rPr>
          <w:rFonts w:hint="eastAsia" w:ascii="宋体" w:hAnsi="宋体" w:eastAsia="宋体" w:cs="宋体"/>
          <w:snapToGrid w:val="0"/>
          <w:color w:val="auto"/>
          <w:kern w:val="0"/>
          <w:sz w:val="32"/>
          <w:szCs w:val="32"/>
          <w:highlight w:val="none"/>
          <w:lang w:val="en-US" w:eastAsia="zh-CN" w:bidi="ar"/>
        </w:rPr>
        <w:t>地址：</w:t>
      </w:r>
    </w:p>
    <w:p w14:paraId="6A9F2E16">
      <w:pPr>
        <w:keepNext w:val="0"/>
        <w:keepLines w:val="0"/>
        <w:widowControl w:val="0"/>
        <w:suppressLineNumbers w:val="0"/>
        <w:spacing w:before="0" w:beforeAutospacing="0" w:after="0" w:afterAutospacing="0" w:line="760" w:lineRule="exact"/>
        <w:ind w:left="0" w:right="0"/>
        <w:jc w:val="center"/>
        <w:rPr>
          <w:rFonts w:hint="eastAsia" w:ascii="宋体" w:hAnsi="宋体" w:eastAsia="宋体" w:cs="宋体"/>
          <w:b/>
          <w:color w:val="auto"/>
          <w:kern w:val="0"/>
          <w:sz w:val="32"/>
          <w:szCs w:val="32"/>
          <w:highlight w:val="none"/>
          <w:lang w:val="en-US"/>
        </w:rPr>
      </w:pPr>
      <w:r>
        <w:rPr>
          <w:rFonts w:hint="eastAsia" w:ascii="宋体" w:hAnsi="宋体" w:eastAsia="宋体" w:cs="宋体"/>
          <w:b/>
          <w:color w:val="auto"/>
          <w:kern w:val="0"/>
          <w:sz w:val="32"/>
          <w:szCs w:val="32"/>
          <w:highlight w:val="none"/>
          <w:lang w:val="en-US" w:eastAsia="zh-CN" w:bidi="ar"/>
        </w:rPr>
        <w:t>乙方(建设管理单位)：</w:t>
      </w:r>
      <w:r>
        <w:rPr>
          <w:rFonts w:hint="eastAsia" w:ascii="宋体" w:hAnsi="宋体" w:eastAsia="宋体" w:cs="宋体"/>
          <w:b/>
          <w:color w:val="auto"/>
          <w:spacing w:val="-20"/>
          <w:kern w:val="0"/>
          <w:sz w:val="32"/>
          <w:szCs w:val="32"/>
          <w:highlight w:val="none"/>
          <w:lang w:val="en-US" w:eastAsia="zh-CN" w:bidi="ar"/>
        </w:rPr>
        <w:t>广州市重点公共建设项目管理中心</w:t>
      </w:r>
    </w:p>
    <w:p w14:paraId="5D69DF1F">
      <w:pPr>
        <w:keepNext w:val="0"/>
        <w:keepLines w:val="0"/>
        <w:widowControl w:val="0"/>
        <w:suppressLineNumbers w:val="0"/>
        <w:adjustRightInd w:val="0"/>
        <w:snapToGrid w:val="0"/>
        <w:spacing w:before="0" w:beforeAutospacing="0" w:after="0" w:afterAutospacing="0" w:line="360" w:lineRule="auto"/>
        <w:ind w:left="0" w:right="0" w:firstLine="320" w:firstLineChars="100"/>
        <w:jc w:val="both"/>
        <w:rPr>
          <w:rFonts w:hint="eastAsia" w:ascii="宋体" w:hAnsi="宋体" w:eastAsia="宋体" w:cs="宋体"/>
          <w:color w:val="auto"/>
          <w:kern w:val="0"/>
          <w:sz w:val="32"/>
          <w:szCs w:val="32"/>
          <w:highlight w:val="none"/>
          <w:lang w:val="en-US"/>
        </w:rPr>
      </w:pPr>
      <w:r>
        <w:rPr>
          <w:rFonts w:hint="eastAsia" w:ascii="宋体" w:hAnsi="宋体" w:eastAsia="宋体" w:cs="宋体"/>
          <w:snapToGrid w:val="0"/>
          <w:color w:val="auto"/>
          <w:kern w:val="0"/>
          <w:sz w:val="32"/>
          <w:szCs w:val="32"/>
          <w:highlight w:val="none"/>
          <w:lang w:val="en-US" w:eastAsia="zh-CN" w:bidi="ar"/>
        </w:rPr>
        <w:t>地址：广州大学城内环东星运路</w:t>
      </w:r>
      <w:r>
        <w:rPr>
          <w:rFonts w:hint="eastAsia" w:ascii="宋体" w:hAnsi="宋体" w:eastAsia="宋体" w:cs="宋体"/>
          <w:color w:val="auto"/>
          <w:kern w:val="0"/>
          <w:sz w:val="32"/>
          <w:szCs w:val="32"/>
          <w:highlight w:val="none"/>
          <w:lang w:val="en-US" w:eastAsia="zh-CN" w:bidi="ar"/>
        </w:rPr>
        <w:t>1</w:t>
      </w:r>
      <w:r>
        <w:rPr>
          <w:rFonts w:hint="eastAsia" w:ascii="宋体" w:hAnsi="宋体" w:eastAsia="宋体" w:cs="宋体"/>
          <w:snapToGrid w:val="0"/>
          <w:color w:val="auto"/>
          <w:kern w:val="0"/>
          <w:sz w:val="32"/>
          <w:szCs w:val="32"/>
          <w:highlight w:val="none"/>
          <w:lang w:val="en-US" w:eastAsia="zh-CN" w:bidi="ar"/>
        </w:rPr>
        <w:t>号</w:t>
      </w:r>
    </w:p>
    <w:p w14:paraId="4D95760B">
      <w:pPr>
        <w:keepNext w:val="0"/>
        <w:keepLines w:val="0"/>
        <w:widowControl w:val="0"/>
        <w:suppressLineNumbers w:val="0"/>
        <w:adjustRightInd w:val="0"/>
        <w:snapToGrid w:val="0"/>
        <w:spacing w:before="0" w:beforeAutospacing="0" w:after="0" w:afterAutospacing="0" w:line="360" w:lineRule="auto"/>
        <w:ind w:left="0" w:right="11" w:firstLine="630" w:firstLineChars="196"/>
        <w:jc w:val="both"/>
        <w:rPr>
          <w:rFonts w:hint="eastAsia" w:ascii="宋体" w:hAnsi="宋体" w:eastAsia="宋体" w:cs="宋体"/>
          <w:color w:val="auto"/>
          <w:kern w:val="0"/>
          <w:sz w:val="24"/>
          <w:szCs w:val="22"/>
          <w:highlight w:val="none"/>
          <w:lang w:val="en-US"/>
        </w:rPr>
      </w:pPr>
      <w:r>
        <w:rPr>
          <w:rFonts w:hint="eastAsia" w:ascii="宋体" w:hAnsi="宋体" w:eastAsia="宋体" w:cs="Times New Roman"/>
          <w:b/>
          <w:bCs w:val="0"/>
          <w:snapToGrid w:val="0"/>
          <w:color w:val="auto"/>
          <w:sz w:val="32"/>
          <w:szCs w:val="32"/>
          <w:highlight w:val="none"/>
          <w:lang w:val="en-US" w:eastAsia="zh-CN" w:bidi="ar"/>
        </w:rPr>
        <w:br w:type="page"/>
      </w:r>
      <w:r>
        <w:rPr>
          <w:rFonts w:hint="eastAsia" w:ascii="宋体" w:hAnsi="宋体" w:eastAsia="宋体" w:cs="宋体"/>
          <w:snapToGrid w:val="0"/>
          <w:color w:val="auto"/>
          <w:kern w:val="0"/>
          <w:sz w:val="24"/>
          <w:szCs w:val="22"/>
          <w:highlight w:val="none"/>
          <w:lang w:val="en-US" w:eastAsia="zh-CN" w:bidi="ar"/>
        </w:rPr>
        <w:t>根据</w:t>
      </w:r>
      <w:r>
        <w:rPr>
          <w:rFonts w:hint="default" w:ascii="宋体" w:hAnsi="宋体" w:eastAsia="宋体" w:cs="宋体"/>
          <w:snapToGrid w:val="0"/>
          <w:color w:val="auto"/>
          <w:kern w:val="0"/>
          <w:sz w:val="24"/>
          <w:szCs w:val="22"/>
          <w:highlight w:val="none"/>
          <w:u w:val="single"/>
          <w:lang w:eastAsia="zh-CN" w:bidi="ar"/>
        </w:rPr>
        <w:t xml:space="preserve">        </w:t>
      </w:r>
      <w:r>
        <w:rPr>
          <w:rFonts w:hint="eastAsia" w:ascii="宋体" w:hAnsi="宋体" w:eastAsia="宋体" w:cs="宋体"/>
          <w:snapToGrid w:val="0"/>
          <w:color w:val="auto"/>
          <w:kern w:val="0"/>
          <w:sz w:val="24"/>
          <w:szCs w:val="22"/>
          <w:highlight w:val="none"/>
          <w:lang w:val="en-US" w:eastAsia="zh-CN" w:bidi="ar"/>
        </w:rPr>
        <w:t>，明确由乙方负责组织第十五届全运会广东奥林匹克体育中心项目（以下简称本项目）实施。经甲、乙双方协商一致，就本项目建设资金支付等事宜具体约定如下：</w:t>
      </w:r>
    </w:p>
    <w:p w14:paraId="636368D9">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2"/>
          <w:highlight w:val="none"/>
          <w:lang w:val="en-US"/>
        </w:rPr>
      </w:pPr>
      <w:r>
        <w:rPr>
          <w:rFonts w:hint="eastAsia" w:ascii="宋体" w:hAnsi="宋体" w:eastAsia="宋体" w:cs="宋体"/>
          <w:b/>
          <w:bCs w:val="0"/>
          <w:snapToGrid w:val="0"/>
          <w:color w:val="auto"/>
          <w:kern w:val="0"/>
          <w:sz w:val="24"/>
          <w:szCs w:val="22"/>
          <w:highlight w:val="none"/>
          <w:lang w:val="en-US" w:eastAsia="zh-CN" w:bidi="ar"/>
        </w:rPr>
        <w:t>第一条</w:t>
      </w:r>
      <w:r>
        <w:rPr>
          <w:rFonts w:hint="eastAsia" w:ascii="宋体" w:hAnsi="宋体" w:eastAsia="宋体" w:cs="宋体"/>
          <w:b/>
          <w:bCs w:val="0"/>
          <w:color w:val="auto"/>
          <w:kern w:val="0"/>
          <w:sz w:val="24"/>
          <w:szCs w:val="22"/>
          <w:highlight w:val="none"/>
          <w:lang w:val="en-US" w:eastAsia="zh-CN" w:bidi="ar"/>
        </w:rPr>
        <w:t xml:space="preserve">  </w:t>
      </w:r>
      <w:r>
        <w:rPr>
          <w:rFonts w:hint="eastAsia" w:ascii="宋体" w:hAnsi="宋体" w:eastAsia="宋体" w:cs="宋体"/>
          <w:snapToGrid w:val="0"/>
          <w:color w:val="auto"/>
          <w:kern w:val="0"/>
          <w:sz w:val="24"/>
          <w:szCs w:val="22"/>
          <w:highlight w:val="none"/>
          <w:lang w:val="en-US" w:eastAsia="zh-CN" w:bidi="ar"/>
        </w:rPr>
        <w:t>甲、乙双方一致同意，在本项目有关的设计、监理、施工、服务类等合同（以下统称项目合同）的承建单位或服务单位达到项目合同（由乙方和承建单位或服务单位另行签订的其他涉及调整项目合同价款的补充合同）约定付款条件并按照项目合同约定申请款项支付时，应向乙方提交相应合法有效的支付申请材料和收款票据（票据类型包括但不限于发票，下同；由承建单位或服务单位向甲方开具，即付款方名称为“</w:t>
      </w:r>
      <w:r>
        <w:rPr>
          <w:rFonts w:hint="default" w:ascii="宋体" w:hAnsi="宋体" w:eastAsia="宋体" w:cs="宋体"/>
          <w:snapToGrid w:val="0"/>
          <w:color w:val="auto"/>
          <w:kern w:val="0"/>
          <w:sz w:val="24"/>
          <w:szCs w:val="22"/>
          <w:highlight w:val="none"/>
          <w:u w:val="single"/>
          <w:lang w:eastAsia="zh-CN" w:bidi="ar"/>
        </w:rPr>
        <w:t xml:space="preserve">                 </w:t>
      </w:r>
      <w:r>
        <w:rPr>
          <w:rFonts w:hint="eastAsia" w:ascii="宋体" w:hAnsi="宋体" w:eastAsia="宋体" w:cs="宋体"/>
          <w:snapToGrid w:val="0"/>
          <w:color w:val="auto"/>
          <w:kern w:val="0"/>
          <w:sz w:val="24"/>
          <w:szCs w:val="22"/>
          <w:highlight w:val="none"/>
          <w:lang w:val="en-US" w:eastAsia="zh-CN" w:bidi="ar"/>
        </w:rPr>
        <w:t>”）。</w:t>
      </w:r>
    </w:p>
    <w:p w14:paraId="7B8868DE">
      <w:pPr>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bCs/>
          <w:color w:val="auto"/>
          <w:kern w:val="0"/>
          <w:sz w:val="24"/>
          <w:szCs w:val="22"/>
          <w:highlight w:val="none"/>
          <w:lang w:val="en-US"/>
        </w:rPr>
      </w:pPr>
      <w:r>
        <w:rPr>
          <w:rFonts w:hint="eastAsia" w:ascii="宋体" w:hAnsi="宋体" w:eastAsia="宋体" w:cs="宋体"/>
          <w:snapToGrid w:val="0"/>
          <w:color w:val="auto"/>
          <w:kern w:val="0"/>
          <w:sz w:val="24"/>
          <w:szCs w:val="22"/>
          <w:highlight w:val="none"/>
          <w:lang w:val="en-US" w:eastAsia="zh-CN" w:bidi="ar"/>
        </w:rPr>
        <w:t>承建单位或服务单位</w:t>
      </w:r>
      <w:r>
        <w:rPr>
          <w:rFonts w:hint="eastAsia" w:ascii="宋体" w:hAnsi="宋体" w:eastAsia="宋体" w:cs="宋体"/>
          <w:bCs/>
          <w:color w:val="auto"/>
          <w:kern w:val="0"/>
          <w:sz w:val="24"/>
          <w:szCs w:val="22"/>
          <w:highlight w:val="none"/>
          <w:lang w:val="en-US" w:eastAsia="zh-CN" w:bidi="ar"/>
        </w:rPr>
        <w:t>按相关规定及财务制度（含乙方的财务管理制度）提交完备且无误的支付申请材料后，乙方对</w:t>
      </w:r>
      <w:r>
        <w:rPr>
          <w:rFonts w:hint="eastAsia" w:ascii="宋体" w:hAnsi="宋体" w:eastAsia="宋体" w:cs="宋体"/>
          <w:snapToGrid w:val="0"/>
          <w:color w:val="auto"/>
          <w:kern w:val="0"/>
          <w:sz w:val="24"/>
          <w:szCs w:val="22"/>
          <w:highlight w:val="none"/>
          <w:lang w:val="en-US" w:eastAsia="zh-CN" w:bidi="ar"/>
        </w:rPr>
        <w:t>承建单位或服务单位</w:t>
      </w:r>
      <w:r>
        <w:rPr>
          <w:rFonts w:hint="eastAsia" w:ascii="宋体" w:hAnsi="宋体" w:eastAsia="宋体" w:cs="宋体"/>
          <w:bCs/>
          <w:color w:val="auto"/>
          <w:kern w:val="0"/>
          <w:sz w:val="24"/>
          <w:szCs w:val="22"/>
          <w:highlight w:val="none"/>
          <w:lang w:val="en-US" w:eastAsia="zh-CN" w:bidi="ar"/>
        </w:rPr>
        <w:t>提交的支付申请材料进行审核后送至甲方，甲方应在收到经乙方审核合格的申请材料、</w:t>
      </w:r>
      <w:r>
        <w:rPr>
          <w:rFonts w:hint="eastAsia" w:ascii="宋体" w:hAnsi="宋体" w:eastAsia="宋体" w:cs="宋体"/>
          <w:snapToGrid w:val="0"/>
          <w:color w:val="auto"/>
          <w:kern w:val="0"/>
          <w:sz w:val="24"/>
          <w:szCs w:val="22"/>
          <w:highlight w:val="none"/>
          <w:lang w:val="en-US" w:eastAsia="zh-CN" w:bidi="ar"/>
        </w:rPr>
        <w:t>承建单位或服务单位</w:t>
      </w:r>
      <w:r>
        <w:rPr>
          <w:rFonts w:hint="eastAsia" w:ascii="宋体" w:hAnsi="宋体" w:eastAsia="宋体" w:cs="宋体"/>
          <w:bCs/>
          <w:color w:val="auto"/>
          <w:kern w:val="0"/>
          <w:sz w:val="24"/>
          <w:szCs w:val="22"/>
          <w:highlight w:val="none"/>
          <w:lang w:val="en-US" w:eastAsia="zh-CN" w:bidi="ar"/>
        </w:rPr>
        <w:t>提交的收款票据且财政资金到位后5个工作日内核对并向</w:t>
      </w:r>
      <w:r>
        <w:rPr>
          <w:rFonts w:hint="eastAsia" w:ascii="宋体" w:hAnsi="宋体" w:eastAsia="宋体" w:cs="宋体"/>
          <w:bCs/>
          <w:snapToGrid w:val="0"/>
          <w:color w:val="auto"/>
          <w:kern w:val="0"/>
          <w:sz w:val="24"/>
          <w:szCs w:val="24"/>
          <w:highlight w:val="none"/>
          <w:lang w:val="en-US" w:eastAsia="zh-CN" w:bidi="ar"/>
        </w:rPr>
        <w:t>财政部门或资金主管部门</w:t>
      </w:r>
      <w:r>
        <w:rPr>
          <w:rFonts w:hint="eastAsia" w:ascii="宋体" w:hAnsi="宋体" w:eastAsia="宋体" w:cs="宋体"/>
          <w:bCs/>
          <w:snapToGrid w:val="0"/>
          <w:color w:val="auto"/>
          <w:kern w:val="0"/>
          <w:sz w:val="24"/>
          <w:szCs w:val="22"/>
          <w:highlight w:val="none"/>
          <w:lang w:val="en-US" w:eastAsia="zh-CN" w:bidi="ar"/>
        </w:rPr>
        <w:t>申请拨付有关款项至承建单位或服务单位，具体支付时间以</w:t>
      </w:r>
      <w:r>
        <w:rPr>
          <w:rFonts w:hint="eastAsia" w:ascii="宋体" w:hAnsi="宋体" w:eastAsia="宋体" w:cs="宋体"/>
          <w:bCs/>
          <w:snapToGrid w:val="0"/>
          <w:color w:val="auto"/>
          <w:kern w:val="0"/>
          <w:sz w:val="24"/>
          <w:szCs w:val="24"/>
          <w:highlight w:val="none"/>
          <w:lang w:val="en-US" w:eastAsia="zh-CN" w:bidi="ar"/>
        </w:rPr>
        <w:t>财政部门或资金主管部门</w:t>
      </w:r>
      <w:r>
        <w:rPr>
          <w:rFonts w:hint="eastAsia" w:ascii="宋体" w:hAnsi="宋体" w:eastAsia="宋体" w:cs="宋体"/>
          <w:bCs/>
          <w:snapToGrid w:val="0"/>
          <w:color w:val="auto"/>
          <w:kern w:val="0"/>
          <w:sz w:val="24"/>
          <w:szCs w:val="22"/>
          <w:highlight w:val="none"/>
          <w:lang w:val="en-US" w:eastAsia="zh-CN" w:bidi="ar"/>
        </w:rPr>
        <w:t>实际支付时间为准。因财政或上级主管部门等原因导致的支付延迟，</w:t>
      </w:r>
      <w:r>
        <w:rPr>
          <w:rFonts w:hint="eastAsia" w:ascii="宋体" w:hAnsi="宋体" w:eastAsia="宋体" w:cs="宋体"/>
          <w:snapToGrid w:val="0"/>
          <w:color w:val="auto"/>
          <w:kern w:val="0"/>
          <w:sz w:val="24"/>
          <w:szCs w:val="22"/>
          <w:highlight w:val="none"/>
          <w:lang w:val="en-US" w:eastAsia="zh-CN" w:bidi="ar"/>
        </w:rPr>
        <w:t>甲、乙双方</w:t>
      </w:r>
      <w:r>
        <w:rPr>
          <w:rFonts w:hint="eastAsia" w:ascii="宋体" w:hAnsi="宋体" w:eastAsia="宋体" w:cs="宋体"/>
          <w:bCs/>
          <w:color w:val="auto"/>
          <w:kern w:val="0"/>
          <w:sz w:val="24"/>
          <w:szCs w:val="22"/>
          <w:highlight w:val="none"/>
          <w:lang w:val="en-US" w:eastAsia="zh-CN" w:bidi="ar"/>
        </w:rPr>
        <w:t>不承担违约等法律责任</w:t>
      </w:r>
      <w:r>
        <w:rPr>
          <w:rFonts w:hint="eastAsia" w:ascii="宋体" w:hAnsi="宋体" w:eastAsia="宋体" w:cs="宋体"/>
          <w:snapToGrid w:val="0"/>
          <w:color w:val="auto"/>
          <w:kern w:val="0"/>
          <w:sz w:val="24"/>
          <w:szCs w:val="22"/>
          <w:highlight w:val="none"/>
          <w:lang w:val="en-US" w:eastAsia="zh-CN" w:bidi="ar"/>
        </w:rPr>
        <w:t>，并且此情况不能成为承建单位或服务单位中止或拒绝履行合同约定义务的理由</w:t>
      </w:r>
      <w:r>
        <w:rPr>
          <w:rFonts w:hint="eastAsia" w:ascii="宋体" w:hAnsi="宋体" w:eastAsia="宋体" w:cs="宋体"/>
          <w:bCs/>
          <w:color w:val="auto"/>
          <w:kern w:val="0"/>
          <w:sz w:val="24"/>
          <w:szCs w:val="22"/>
          <w:highlight w:val="none"/>
          <w:lang w:val="en-US" w:eastAsia="zh-CN" w:bidi="ar"/>
        </w:rPr>
        <w:t>。</w:t>
      </w:r>
    </w:p>
    <w:p w14:paraId="0E7A746A">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2"/>
          <w:highlight w:val="none"/>
          <w:lang w:val="en-US"/>
        </w:rPr>
      </w:pPr>
      <w:r>
        <w:rPr>
          <w:rFonts w:hint="eastAsia" w:ascii="宋体" w:hAnsi="宋体" w:eastAsia="宋体" w:cs="宋体"/>
          <w:b/>
          <w:bCs w:val="0"/>
          <w:snapToGrid w:val="0"/>
          <w:color w:val="auto"/>
          <w:kern w:val="0"/>
          <w:sz w:val="24"/>
          <w:szCs w:val="22"/>
          <w:highlight w:val="none"/>
          <w:lang w:val="en-US" w:eastAsia="zh-CN" w:bidi="ar"/>
        </w:rPr>
        <w:t>第二条</w:t>
      </w:r>
      <w:r>
        <w:rPr>
          <w:rFonts w:hint="eastAsia" w:ascii="宋体" w:hAnsi="宋体" w:eastAsia="宋体" w:cs="宋体"/>
          <w:snapToGrid w:val="0"/>
          <w:color w:val="auto"/>
          <w:kern w:val="0"/>
          <w:sz w:val="24"/>
          <w:szCs w:val="22"/>
          <w:highlight w:val="none"/>
          <w:lang w:val="en-US" w:eastAsia="zh-CN" w:bidi="ar"/>
        </w:rPr>
        <w:t xml:space="preserve"> </w:t>
      </w:r>
      <w:r>
        <w:rPr>
          <w:rFonts w:hint="eastAsia" w:ascii="宋体" w:hAnsi="宋体" w:eastAsia="宋体" w:cs="宋体"/>
          <w:color w:val="auto"/>
          <w:kern w:val="0"/>
          <w:sz w:val="24"/>
          <w:szCs w:val="22"/>
          <w:highlight w:val="none"/>
          <w:lang w:val="en-US" w:eastAsia="zh-CN" w:bidi="ar"/>
        </w:rPr>
        <w:t xml:space="preserve"> </w:t>
      </w:r>
      <w:r>
        <w:rPr>
          <w:rFonts w:hint="eastAsia" w:ascii="宋体" w:hAnsi="宋体" w:eastAsia="宋体" w:cs="宋体"/>
          <w:snapToGrid w:val="0"/>
          <w:color w:val="auto"/>
          <w:kern w:val="0"/>
          <w:sz w:val="24"/>
          <w:szCs w:val="22"/>
          <w:highlight w:val="none"/>
          <w:lang w:val="en-US" w:eastAsia="zh-CN" w:bidi="ar"/>
        </w:rPr>
        <w:t>本协议签订后，如财政部门或资金主管部门对本项目建设资金管理及支付模式进行调整，甲、乙双方一致同意按照财政部门或资金主管部门的调整内容执行。</w:t>
      </w:r>
    </w:p>
    <w:p w14:paraId="08A6E817">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2"/>
          <w:highlight w:val="none"/>
          <w:lang w:val="en-US"/>
        </w:rPr>
      </w:pPr>
      <w:r>
        <w:rPr>
          <w:rFonts w:hint="eastAsia" w:ascii="宋体" w:hAnsi="宋体" w:eastAsia="宋体" w:cs="宋体"/>
          <w:b/>
          <w:bCs w:val="0"/>
          <w:snapToGrid w:val="0"/>
          <w:color w:val="auto"/>
          <w:kern w:val="0"/>
          <w:sz w:val="24"/>
          <w:szCs w:val="22"/>
          <w:highlight w:val="none"/>
          <w:lang w:val="en-US" w:eastAsia="zh-CN" w:bidi="ar"/>
        </w:rPr>
        <w:t>第三条</w:t>
      </w:r>
      <w:r>
        <w:rPr>
          <w:rFonts w:hint="eastAsia" w:ascii="宋体" w:hAnsi="宋体" w:eastAsia="宋体" w:cs="宋体"/>
          <w:color w:val="auto"/>
          <w:kern w:val="0"/>
          <w:sz w:val="24"/>
          <w:szCs w:val="22"/>
          <w:highlight w:val="none"/>
          <w:lang w:val="en-US" w:eastAsia="zh-CN" w:bidi="ar"/>
        </w:rPr>
        <w:t xml:space="preserve">  </w:t>
      </w:r>
      <w:r>
        <w:rPr>
          <w:rFonts w:hint="eastAsia" w:ascii="宋体" w:hAnsi="宋体" w:eastAsia="宋体" w:cs="宋体"/>
          <w:snapToGrid w:val="0"/>
          <w:color w:val="auto"/>
          <w:kern w:val="0"/>
          <w:sz w:val="24"/>
          <w:szCs w:val="22"/>
          <w:highlight w:val="none"/>
          <w:lang w:val="en-US" w:eastAsia="zh-CN" w:bidi="ar"/>
        </w:rPr>
        <w:t>若有其他未尽事宜，由甲、乙双方另行商议解决。</w:t>
      </w:r>
    </w:p>
    <w:p w14:paraId="4BD0374D">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2"/>
          <w:highlight w:val="none"/>
          <w:lang w:val="en-US"/>
        </w:rPr>
      </w:pPr>
      <w:r>
        <w:rPr>
          <w:rFonts w:hint="eastAsia" w:ascii="宋体" w:hAnsi="宋体" w:eastAsia="宋体" w:cs="宋体"/>
          <w:b/>
          <w:bCs w:val="0"/>
          <w:snapToGrid w:val="0"/>
          <w:color w:val="auto"/>
          <w:kern w:val="0"/>
          <w:sz w:val="24"/>
          <w:szCs w:val="22"/>
          <w:highlight w:val="none"/>
          <w:lang w:val="en-US" w:eastAsia="zh-CN" w:bidi="ar"/>
        </w:rPr>
        <w:t>第四条</w:t>
      </w:r>
      <w:r>
        <w:rPr>
          <w:rFonts w:hint="eastAsia" w:ascii="宋体" w:hAnsi="宋体" w:eastAsia="宋体" w:cs="宋体"/>
          <w:color w:val="auto"/>
          <w:kern w:val="0"/>
          <w:sz w:val="24"/>
          <w:szCs w:val="22"/>
          <w:highlight w:val="none"/>
          <w:lang w:val="en-US" w:eastAsia="zh-CN" w:bidi="ar"/>
        </w:rPr>
        <w:t xml:space="preserve">  </w:t>
      </w:r>
      <w:r>
        <w:rPr>
          <w:rFonts w:hint="eastAsia" w:ascii="宋体" w:hAnsi="宋体" w:eastAsia="宋体" w:cs="宋体"/>
          <w:snapToGrid w:val="0"/>
          <w:color w:val="auto"/>
          <w:kern w:val="0"/>
          <w:sz w:val="24"/>
          <w:szCs w:val="22"/>
          <w:highlight w:val="none"/>
          <w:lang w:val="en-US" w:eastAsia="zh-CN" w:bidi="ar"/>
        </w:rPr>
        <w:t>本协议自甲、乙双方签字盖章之日起生效。</w:t>
      </w:r>
    </w:p>
    <w:p w14:paraId="59BD7186">
      <w:pPr>
        <w:keepNext w:val="0"/>
        <w:keepLines w:val="0"/>
        <w:widowControl w:val="0"/>
        <w:suppressLineNumbers w:val="0"/>
        <w:adjustRightInd w:val="0"/>
        <w:snapToGrid w:val="0"/>
        <w:spacing w:before="0" w:beforeAutospacing="0" w:after="0" w:afterAutospacing="0" w:line="360" w:lineRule="auto"/>
        <w:ind w:left="0" w:right="11" w:firstLine="482" w:firstLineChars="200"/>
        <w:jc w:val="both"/>
        <w:rPr>
          <w:rFonts w:hint="eastAsia" w:ascii="宋体" w:hAnsi="宋体" w:eastAsia="宋体" w:cs="宋体"/>
          <w:color w:val="auto"/>
          <w:kern w:val="0"/>
          <w:sz w:val="24"/>
          <w:szCs w:val="22"/>
          <w:highlight w:val="none"/>
          <w:lang w:val="en-US"/>
        </w:rPr>
      </w:pPr>
      <w:r>
        <w:rPr>
          <w:rFonts w:hint="eastAsia" w:ascii="宋体" w:hAnsi="宋体" w:eastAsia="宋体" w:cs="宋体"/>
          <w:b/>
          <w:snapToGrid w:val="0"/>
          <w:color w:val="auto"/>
          <w:kern w:val="0"/>
          <w:sz w:val="24"/>
          <w:szCs w:val="22"/>
          <w:highlight w:val="none"/>
          <w:lang w:val="en-US" w:eastAsia="zh-CN" w:bidi="ar"/>
        </w:rPr>
        <w:t>第五条</w:t>
      </w:r>
      <w:r>
        <w:rPr>
          <w:rFonts w:hint="eastAsia" w:ascii="宋体" w:hAnsi="宋体" w:eastAsia="宋体" w:cs="宋体"/>
          <w:b/>
          <w:color w:val="auto"/>
          <w:kern w:val="0"/>
          <w:sz w:val="24"/>
          <w:szCs w:val="22"/>
          <w:highlight w:val="none"/>
          <w:lang w:val="en-US" w:eastAsia="zh-CN" w:bidi="ar"/>
        </w:rPr>
        <w:t xml:space="preserve">  </w:t>
      </w:r>
      <w:r>
        <w:rPr>
          <w:rFonts w:hint="eastAsia" w:ascii="宋体" w:hAnsi="宋体" w:eastAsia="宋体" w:cs="宋体"/>
          <w:snapToGrid w:val="0"/>
          <w:color w:val="auto"/>
          <w:kern w:val="0"/>
          <w:sz w:val="24"/>
          <w:szCs w:val="22"/>
          <w:highlight w:val="none"/>
          <w:lang w:val="en-US" w:eastAsia="zh-CN" w:bidi="ar"/>
        </w:rPr>
        <w:t>本协议一式玖份，甲方执叁份，乙方执六份，具有同等法律效力。</w:t>
      </w:r>
    </w:p>
    <w:p w14:paraId="12306812">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sz w:val="24"/>
          <w:szCs w:val="22"/>
          <w:highlight w:val="none"/>
          <w:lang w:val="en-US"/>
        </w:rPr>
      </w:pPr>
      <w:r>
        <w:rPr>
          <w:rFonts w:hint="eastAsia" w:ascii="宋体" w:hAnsi="宋体" w:eastAsia="宋体" w:cs="宋体"/>
          <w:color w:val="auto"/>
          <w:kern w:val="2"/>
          <w:sz w:val="24"/>
          <w:szCs w:val="22"/>
          <w:highlight w:val="none"/>
          <w:lang w:val="en-US" w:eastAsia="zh-CN" w:bidi="ar"/>
        </w:rPr>
        <w:t>（本页以下无正文）</w:t>
      </w:r>
    </w:p>
    <w:p w14:paraId="45A267DC">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sz w:val="24"/>
          <w:szCs w:val="22"/>
          <w:highlight w:val="none"/>
          <w:lang w:val="en-US"/>
        </w:rPr>
      </w:pPr>
    </w:p>
    <w:p w14:paraId="1589B038">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sz w:val="24"/>
          <w:szCs w:val="22"/>
          <w:highlight w:val="none"/>
          <w:lang w:val="en-US"/>
        </w:rPr>
      </w:pPr>
      <w:r>
        <w:rPr>
          <w:rFonts w:hint="eastAsia" w:ascii="宋体" w:hAnsi="宋体" w:eastAsia="宋体" w:cs="Times New Roman"/>
          <w:color w:val="auto"/>
          <w:kern w:val="2"/>
          <w:sz w:val="24"/>
          <w:szCs w:val="22"/>
          <w:highlight w:val="none"/>
          <w:lang w:val="en-US" w:eastAsia="zh-CN" w:bidi="ar"/>
        </w:rPr>
        <w:br w:type="page"/>
      </w:r>
      <w:r>
        <w:rPr>
          <w:rFonts w:hint="eastAsia" w:ascii="宋体" w:hAnsi="宋体" w:eastAsia="宋体" w:cs="宋体"/>
          <w:color w:val="auto"/>
          <w:kern w:val="2"/>
          <w:sz w:val="24"/>
          <w:szCs w:val="22"/>
          <w:highlight w:val="none"/>
          <w:lang w:val="en-US" w:eastAsia="zh-CN" w:bidi="ar"/>
        </w:rPr>
        <w:t>（本页无正文，为签署页）</w:t>
      </w:r>
    </w:p>
    <w:p w14:paraId="1F30D46C">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sz w:val="24"/>
          <w:szCs w:val="22"/>
          <w:highlight w:val="none"/>
          <w:lang w:val="en-US"/>
        </w:rPr>
      </w:pPr>
    </w:p>
    <w:p w14:paraId="7D352107">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sz w:val="24"/>
          <w:szCs w:val="22"/>
          <w:highlight w:val="none"/>
          <w:lang w:val="en-US"/>
        </w:rPr>
      </w:pPr>
    </w:p>
    <w:p w14:paraId="27D71D15">
      <w:pPr>
        <w:keepNext w:val="0"/>
        <w:keepLines w:val="0"/>
        <w:widowControl w:val="0"/>
        <w:suppressLineNumbers w:val="0"/>
        <w:adjustRightInd w:val="0"/>
        <w:snapToGrid w:val="0"/>
        <w:spacing w:before="0" w:beforeAutospacing="0" w:after="0" w:afterAutospacing="0" w:line="360" w:lineRule="auto"/>
        <w:ind w:left="0" w:right="11"/>
        <w:jc w:val="both"/>
        <w:rPr>
          <w:rFonts w:hint="eastAsia" w:ascii="宋体" w:hAnsi="宋体" w:eastAsia="宋体" w:cs="宋体"/>
          <w:color w:val="auto"/>
          <w:sz w:val="24"/>
          <w:szCs w:val="22"/>
          <w:highlight w:val="none"/>
          <w:lang w:val="en-US"/>
        </w:rPr>
      </w:pPr>
      <w:r>
        <w:rPr>
          <w:rFonts w:hint="eastAsia" w:ascii="宋体" w:hAnsi="宋体" w:eastAsia="宋体" w:cs="宋体"/>
          <w:color w:val="auto"/>
          <w:kern w:val="2"/>
          <w:sz w:val="24"/>
          <w:szCs w:val="22"/>
          <w:highlight w:val="none"/>
          <w:lang w:val="en-US" w:eastAsia="zh-CN" w:bidi="ar"/>
        </w:rPr>
        <w:t>甲方：</w:t>
      </w:r>
      <w:r>
        <w:rPr>
          <w:rFonts w:hint="default" w:ascii="宋体" w:hAnsi="宋体" w:eastAsia="宋体" w:cs="宋体"/>
          <w:color w:val="auto"/>
          <w:kern w:val="2"/>
          <w:sz w:val="24"/>
          <w:szCs w:val="22"/>
          <w:highlight w:val="none"/>
          <w:lang w:eastAsia="zh-CN" w:bidi="ar"/>
        </w:rPr>
        <w:t xml:space="preserve">                       </w:t>
      </w:r>
      <w:r>
        <w:rPr>
          <w:rFonts w:hint="eastAsia" w:ascii="宋体" w:hAnsi="宋体" w:eastAsia="宋体" w:cs="宋体"/>
          <w:b/>
          <w:bCs w:val="0"/>
          <w:color w:val="auto"/>
          <w:kern w:val="0"/>
          <w:sz w:val="24"/>
          <w:szCs w:val="22"/>
          <w:highlight w:val="none"/>
          <w:lang w:val="en-US" w:eastAsia="zh-CN" w:bidi="ar"/>
        </w:rPr>
        <w:t xml:space="preserve">     </w:t>
      </w:r>
      <w:r>
        <w:rPr>
          <w:rFonts w:hint="eastAsia" w:ascii="宋体" w:hAnsi="宋体" w:eastAsia="宋体" w:cs="宋体"/>
          <w:b/>
          <w:color w:val="auto"/>
          <w:spacing w:val="-10"/>
          <w:kern w:val="2"/>
          <w:sz w:val="24"/>
          <w:szCs w:val="22"/>
          <w:highlight w:val="none"/>
          <w:lang w:val="en-US" w:eastAsia="zh-CN" w:bidi="ar"/>
        </w:rPr>
        <w:t xml:space="preserve">   </w:t>
      </w:r>
      <w:r>
        <w:rPr>
          <w:rFonts w:hint="eastAsia" w:ascii="宋体" w:hAnsi="宋体" w:eastAsia="宋体" w:cs="宋体"/>
          <w:color w:val="auto"/>
          <w:kern w:val="2"/>
          <w:sz w:val="24"/>
          <w:szCs w:val="22"/>
          <w:highlight w:val="none"/>
          <w:lang w:val="en-US" w:eastAsia="zh-CN" w:bidi="ar"/>
        </w:rPr>
        <w:t>乙方：</w:t>
      </w:r>
      <w:r>
        <w:rPr>
          <w:rFonts w:hint="eastAsia" w:ascii="宋体" w:hAnsi="宋体" w:eastAsia="宋体" w:cs="宋体"/>
          <w:b/>
          <w:color w:val="auto"/>
          <w:spacing w:val="-10"/>
          <w:kern w:val="2"/>
          <w:sz w:val="24"/>
          <w:szCs w:val="22"/>
          <w:highlight w:val="none"/>
          <w:lang w:val="en-US" w:eastAsia="zh-CN" w:bidi="ar"/>
        </w:rPr>
        <w:t>广州市重点公共建设项目管理中心</w:t>
      </w:r>
    </w:p>
    <w:p w14:paraId="6708030E">
      <w:pPr>
        <w:keepNext w:val="0"/>
        <w:keepLines w:val="0"/>
        <w:widowControl w:val="0"/>
        <w:suppressLineNumbers w:val="0"/>
        <w:adjustRightInd w:val="0"/>
        <w:snapToGrid w:val="0"/>
        <w:spacing w:before="0" w:beforeAutospacing="0" w:after="0" w:afterAutospacing="0" w:line="360" w:lineRule="auto"/>
        <w:ind w:left="0" w:right="0" w:firstLine="1440" w:firstLineChars="600"/>
        <w:jc w:val="both"/>
        <w:rPr>
          <w:rFonts w:hint="eastAsia" w:ascii="宋体" w:hAnsi="宋体" w:eastAsia="宋体" w:cs="宋体"/>
          <w:color w:val="auto"/>
          <w:sz w:val="24"/>
          <w:szCs w:val="22"/>
          <w:highlight w:val="none"/>
          <w:lang w:val="en-US"/>
        </w:rPr>
      </w:pPr>
      <w:r>
        <w:rPr>
          <w:rFonts w:hint="eastAsia" w:ascii="宋体" w:hAnsi="宋体" w:eastAsia="宋体" w:cs="宋体"/>
          <w:color w:val="auto"/>
          <w:kern w:val="2"/>
          <w:sz w:val="24"/>
          <w:szCs w:val="22"/>
          <w:highlight w:val="none"/>
          <w:lang w:val="en-US" w:eastAsia="zh-CN" w:bidi="ar"/>
        </w:rPr>
        <w:t>（盖章）                                （盖章）</w:t>
      </w:r>
    </w:p>
    <w:p w14:paraId="4D6B2716">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4"/>
          <w:szCs w:val="22"/>
          <w:highlight w:val="none"/>
          <w:lang w:val="en-US"/>
        </w:rPr>
      </w:pPr>
    </w:p>
    <w:p w14:paraId="6F66DDE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4"/>
          <w:szCs w:val="22"/>
          <w:highlight w:val="none"/>
          <w:lang w:val="en-US"/>
        </w:rPr>
      </w:pPr>
      <w:r>
        <w:rPr>
          <w:rFonts w:hint="eastAsia" w:ascii="宋体" w:hAnsi="宋体" w:eastAsia="宋体" w:cs="宋体"/>
          <w:color w:val="auto"/>
          <w:kern w:val="2"/>
          <w:sz w:val="24"/>
          <w:szCs w:val="22"/>
          <w:highlight w:val="none"/>
          <w:lang w:val="en-US" w:eastAsia="zh-CN" w:bidi="ar"/>
        </w:rPr>
        <w:t>法定代表人                          法定代表人</w:t>
      </w:r>
    </w:p>
    <w:p w14:paraId="45D5D53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4"/>
          <w:szCs w:val="22"/>
          <w:highlight w:val="none"/>
          <w:lang w:val="en-US"/>
        </w:rPr>
      </w:pPr>
      <w:r>
        <w:rPr>
          <w:rFonts w:hint="eastAsia" w:ascii="宋体" w:hAnsi="宋体" w:eastAsia="宋体" w:cs="宋体"/>
          <w:color w:val="auto"/>
          <w:kern w:val="2"/>
          <w:sz w:val="24"/>
          <w:szCs w:val="22"/>
          <w:highlight w:val="none"/>
          <w:lang w:val="en-US" w:eastAsia="zh-CN" w:bidi="ar"/>
        </w:rPr>
        <w:t>或委托代理人：                      或委托代理人：</w:t>
      </w:r>
    </w:p>
    <w:p w14:paraId="2C8C7D9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4"/>
          <w:szCs w:val="22"/>
          <w:highlight w:val="none"/>
          <w:lang w:val="en-US"/>
        </w:rPr>
      </w:pPr>
    </w:p>
    <w:p w14:paraId="446D331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sz w:val="24"/>
          <w:szCs w:val="22"/>
          <w:highlight w:val="none"/>
          <w:lang w:val="en-US"/>
        </w:rPr>
      </w:pPr>
      <w:r>
        <w:rPr>
          <w:rFonts w:hint="eastAsia" w:ascii="宋体" w:hAnsi="宋体" w:eastAsia="宋体" w:cs="宋体"/>
          <w:color w:val="auto"/>
          <w:kern w:val="2"/>
          <w:sz w:val="24"/>
          <w:szCs w:val="22"/>
          <w:highlight w:val="none"/>
          <w:lang w:val="en-US" w:eastAsia="zh-CN" w:bidi="ar"/>
        </w:rPr>
        <w:t>地址：</w:t>
      </w:r>
      <w:r>
        <w:rPr>
          <w:rFonts w:hint="default" w:ascii="宋体" w:hAnsi="宋体" w:eastAsia="宋体" w:cs="宋体"/>
          <w:color w:val="auto"/>
          <w:kern w:val="2"/>
          <w:sz w:val="24"/>
          <w:szCs w:val="22"/>
          <w:highlight w:val="none"/>
          <w:lang w:eastAsia="zh-CN" w:bidi="ar"/>
        </w:rPr>
        <w:t xml:space="preserve">                       </w:t>
      </w:r>
      <w:r>
        <w:rPr>
          <w:rFonts w:hint="eastAsia" w:ascii="宋体" w:hAnsi="宋体" w:eastAsia="宋体" w:cs="宋体"/>
          <w:color w:val="auto"/>
          <w:spacing w:val="-10"/>
          <w:kern w:val="2"/>
          <w:sz w:val="24"/>
          <w:szCs w:val="22"/>
          <w:highlight w:val="none"/>
          <w:lang w:val="en-US" w:eastAsia="zh-CN" w:bidi="ar"/>
        </w:rPr>
        <w:t xml:space="preserve">        </w:t>
      </w:r>
      <w:r>
        <w:rPr>
          <w:rFonts w:hint="eastAsia" w:ascii="宋体" w:hAnsi="宋体" w:eastAsia="宋体" w:cs="宋体"/>
          <w:color w:val="auto"/>
          <w:kern w:val="2"/>
          <w:sz w:val="24"/>
          <w:szCs w:val="22"/>
          <w:highlight w:val="none"/>
          <w:lang w:val="en-US" w:eastAsia="zh-CN" w:bidi="ar"/>
        </w:rPr>
        <w:t>地址：</w:t>
      </w:r>
      <w:r>
        <w:rPr>
          <w:rFonts w:hint="eastAsia" w:ascii="宋体" w:hAnsi="宋体" w:eastAsia="宋体" w:cs="宋体"/>
          <w:color w:val="auto"/>
          <w:spacing w:val="-10"/>
          <w:kern w:val="2"/>
          <w:sz w:val="24"/>
          <w:szCs w:val="22"/>
          <w:highlight w:val="none"/>
          <w:lang w:val="en-US" w:eastAsia="zh-CN" w:bidi="ar"/>
        </w:rPr>
        <w:t>广州大学城内环东星运路1号</w:t>
      </w:r>
    </w:p>
    <w:p w14:paraId="2CD92E8F">
      <w:pPr>
        <w:keepNext w:val="0"/>
        <w:keepLines w:val="0"/>
        <w:widowControl w:val="0"/>
        <w:suppressLineNumbers w:val="0"/>
        <w:adjustRightInd w:val="0"/>
        <w:snapToGrid w:val="0"/>
        <w:spacing w:before="0" w:beforeAutospacing="0" w:after="0" w:afterAutospacing="0" w:line="360" w:lineRule="auto"/>
        <w:ind w:left="0" w:right="-334" w:rightChars="-159"/>
        <w:jc w:val="both"/>
        <w:rPr>
          <w:rFonts w:hint="eastAsia" w:ascii="宋体" w:hAnsi="宋体" w:eastAsia="宋体" w:cs="宋体"/>
          <w:color w:val="auto"/>
          <w:sz w:val="24"/>
          <w:szCs w:val="22"/>
          <w:highlight w:val="none"/>
          <w:lang w:val="en-US"/>
        </w:rPr>
      </w:pPr>
      <w:r>
        <w:rPr>
          <w:rFonts w:hint="eastAsia" w:ascii="宋体" w:hAnsi="宋体" w:eastAsia="宋体" w:cs="宋体"/>
          <w:color w:val="auto"/>
          <w:kern w:val="2"/>
          <w:sz w:val="24"/>
          <w:szCs w:val="22"/>
          <w:highlight w:val="none"/>
          <w:lang w:val="en-US" w:eastAsia="zh-CN" w:bidi="ar"/>
        </w:rPr>
        <w:t xml:space="preserve">邮政编码：                          邮政编码：510006  </w:t>
      </w:r>
      <w:r>
        <w:rPr>
          <w:rFonts w:hint="eastAsia" w:ascii="宋体" w:hAnsi="宋体" w:eastAsia="宋体" w:cs="宋体"/>
          <w:color w:val="auto"/>
          <w:kern w:val="2"/>
          <w:sz w:val="24"/>
          <w:szCs w:val="22"/>
          <w:highlight w:val="none"/>
          <w:lang w:val="en-US" w:eastAsia="zh-CN" w:bidi="ar"/>
        </w:rPr>
        <w:br w:type="textWrapping"/>
      </w:r>
      <w:r>
        <w:rPr>
          <w:rFonts w:hint="eastAsia" w:ascii="宋体" w:hAnsi="宋体" w:eastAsia="宋体" w:cs="宋体"/>
          <w:color w:val="auto"/>
          <w:kern w:val="2"/>
          <w:sz w:val="24"/>
          <w:szCs w:val="22"/>
          <w:highlight w:val="none"/>
          <w:lang w:val="en-US" w:eastAsia="zh-CN" w:bidi="ar"/>
        </w:rPr>
        <w:t>电话：</w:t>
      </w:r>
      <w:r>
        <w:rPr>
          <w:rFonts w:hint="eastAsia" w:ascii="宋体" w:hAnsi="宋体" w:eastAsia="宋体" w:cs="宋体"/>
          <w:snapToGrid w:val="0"/>
          <w:color w:val="auto"/>
          <w:kern w:val="0"/>
          <w:sz w:val="24"/>
          <w:szCs w:val="22"/>
          <w:highlight w:val="none"/>
          <w:lang w:val="en-US" w:eastAsia="zh-CN" w:bidi="ar"/>
        </w:rPr>
        <w:t xml:space="preserve"> </w:t>
      </w:r>
      <w:r>
        <w:rPr>
          <w:rFonts w:hint="eastAsia" w:ascii="宋体" w:hAnsi="宋体" w:eastAsia="宋体" w:cs="宋体"/>
          <w:color w:val="auto"/>
          <w:kern w:val="2"/>
          <w:sz w:val="24"/>
          <w:szCs w:val="22"/>
          <w:highlight w:val="none"/>
          <w:lang w:val="en-US" w:eastAsia="zh-CN" w:bidi="ar"/>
        </w:rPr>
        <w:t xml:space="preserve">                             电话： </w:t>
      </w:r>
    </w:p>
    <w:p w14:paraId="67FDAA31">
      <w:pPr>
        <w:keepNext w:val="0"/>
        <w:keepLines w:val="0"/>
        <w:widowControl w:val="0"/>
        <w:suppressLineNumbers w:val="0"/>
        <w:adjustRightInd w:val="0"/>
        <w:snapToGrid w:val="0"/>
        <w:spacing w:before="0" w:beforeAutospacing="0" w:after="0" w:afterAutospacing="0" w:line="360" w:lineRule="auto"/>
        <w:ind w:left="0" w:right="-235" w:rightChars="-112"/>
        <w:jc w:val="both"/>
        <w:rPr>
          <w:rFonts w:hint="eastAsia" w:ascii="宋体" w:hAnsi="宋体" w:eastAsia="宋体" w:cs="宋体"/>
          <w:strike w:val="0"/>
          <w:dstrike/>
          <w:color w:val="auto"/>
          <w:sz w:val="24"/>
          <w:szCs w:val="22"/>
          <w:highlight w:val="none"/>
          <w:lang w:val="en-US"/>
        </w:rPr>
      </w:pPr>
      <w:r>
        <w:rPr>
          <w:rFonts w:hint="eastAsia" w:ascii="宋体" w:hAnsi="宋体" w:eastAsia="宋体" w:cs="宋体"/>
          <w:color w:val="auto"/>
          <w:kern w:val="2"/>
          <w:sz w:val="24"/>
          <w:szCs w:val="22"/>
          <w:highlight w:val="none"/>
          <w:lang w:val="en-US" w:eastAsia="zh-CN" w:bidi="ar"/>
        </w:rPr>
        <w:t xml:space="preserve">传真：                              传真： </w:t>
      </w:r>
      <w:r>
        <w:rPr>
          <w:rFonts w:hint="eastAsia" w:ascii="宋体" w:hAnsi="宋体" w:eastAsia="宋体" w:cs="宋体"/>
          <w:color w:val="auto"/>
          <w:kern w:val="2"/>
          <w:sz w:val="24"/>
          <w:szCs w:val="22"/>
          <w:highlight w:val="none"/>
          <w:lang w:val="en-US" w:eastAsia="zh-CN" w:bidi="ar"/>
        </w:rPr>
        <w:br w:type="textWrapping"/>
      </w:r>
      <w:r>
        <w:rPr>
          <w:rFonts w:hint="eastAsia" w:ascii="宋体" w:hAnsi="宋体" w:eastAsia="宋体" w:cs="宋体"/>
          <w:color w:val="auto"/>
          <w:kern w:val="2"/>
          <w:sz w:val="24"/>
          <w:szCs w:val="22"/>
          <w:highlight w:val="none"/>
          <w:lang w:val="en-US" w:eastAsia="zh-CN" w:bidi="ar"/>
        </w:rPr>
        <w:t>签约日期：    年  月  日            签约日期：     年  月  日</w:t>
      </w:r>
    </w:p>
    <w:p w14:paraId="082A30A8">
      <w:pPr>
        <w:keepNext w:val="0"/>
        <w:keepLines w:val="0"/>
        <w:widowControl w:val="0"/>
        <w:suppressLineNumbers w:val="0"/>
        <w:adjustRightInd w:val="0"/>
        <w:snapToGrid w:val="0"/>
        <w:spacing w:before="0" w:beforeAutospacing="0" w:after="0" w:afterAutospacing="0" w:line="460" w:lineRule="exact"/>
        <w:ind w:left="5638" w:leftChars="-1" w:right="0" w:hanging="5640" w:hangingChars="2350"/>
        <w:jc w:val="both"/>
        <w:rPr>
          <w:rFonts w:hint="eastAsia" w:ascii="宋体" w:hAnsi="宋体" w:eastAsia="宋体" w:cs="宋体"/>
          <w:snapToGrid w:val="0"/>
          <w:color w:val="auto"/>
          <w:kern w:val="0"/>
          <w:sz w:val="24"/>
          <w:szCs w:val="22"/>
          <w:highlight w:val="none"/>
          <w:lang w:val="en-US"/>
        </w:rPr>
      </w:pPr>
    </w:p>
    <w:p w14:paraId="2C97CBD0">
      <w:pPr>
        <w:keepNext w:val="0"/>
        <w:keepLines w:val="0"/>
        <w:widowControl w:val="0"/>
        <w:suppressLineNumbers w:val="0"/>
        <w:spacing w:before="0" w:beforeAutospacing="0" w:after="0" w:afterAutospacing="0"/>
        <w:ind w:left="0" w:right="0"/>
        <w:jc w:val="center"/>
        <w:rPr>
          <w:rFonts w:hint="eastAsia" w:ascii="黑体" w:hAnsi="宋体" w:eastAsia="黑体" w:cs="黑体"/>
          <w:snapToGrid w:val="0"/>
          <w:color w:val="auto"/>
          <w:sz w:val="24"/>
          <w:szCs w:val="24"/>
          <w:highlight w:val="none"/>
          <w:lang w:val="en-US"/>
        </w:rPr>
      </w:pPr>
      <w:r>
        <w:rPr>
          <w:rFonts w:hint="eastAsia" w:ascii="Times New Roman" w:hAnsi="Times New Roman" w:eastAsia="宋体" w:cs="宋体"/>
          <w:snapToGrid w:val="0"/>
          <w:color w:val="auto"/>
          <w:kern w:val="2"/>
          <w:sz w:val="24"/>
          <w:szCs w:val="24"/>
          <w:highlight w:val="none"/>
          <w:lang w:val="en-US" w:eastAsia="zh-CN" w:bidi="ar"/>
        </w:rPr>
        <w:t>本协议签订于广东省广州市。</w:t>
      </w:r>
    </w:p>
    <w:p w14:paraId="588E2324">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bidi="ar"/>
        </w:rPr>
        <w:br w:type="page"/>
      </w:r>
      <w:r>
        <w:rPr>
          <w:rFonts w:hint="eastAsia" w:ascii="宋体" w:hAnsi="宋体" w:eastAsia="宋体" w:cs="宋体"/>
          <w:bCs/>
          <w:color w:val="auto"/>
          <w:kern w:val="0"/>
          <w:sz w:val="24"/>
          <w:szCs w:val="24"/>
          <w:highlight w:val="none"/>
          <w:lang w:val="en-US" w:eastAsia="zh-CN" w:bidi="ar"/>
        </w:rPr>
        <w:t>附件20：《赞助协议》及赞助承诺函</w:t>
      </w:r>
    </w:p>
    <w:p w14:paraId="26ECAFC3">
      <w:pPr>
        <w:pStyle w:val="2"/>
        <w:widowControl/>
        <w:ind w:left="0" w:firstLine="0"/>
        <w:rPr>
          <w:rFonts w:hint="default" w:ascii="Times New Roman" w:hAnsi="Times New Roman" w:cs="Times New Roman"/>
          <w:color w:val="auto"/>
          <w:kern w:val="2"/>
          <w:sz w:val="24"/>
          <w:szCs w:val="24"/>
          <w:highlight w:val="none"/>
        </w:rPr>
      </w:pPr>
      <w:r>
        <w:rPr>
          <w:rFonts w:hint="default" w:ascii="Times New Roman" w:hAnsi="Times New Roman" w:cs="Times New Roman"/>
          <w:color w:val="auto"/>
          <w:kern w:val="2"/>
          <w:sz w:val="21"/>
          <w:szCs w:val="21"/>
          <w:highlight w:val="none"/>
        </w:rPr>
        <w:br w:type="page"/>
      </w:r>
      <w:r>
        <w:rPr>
          <w:rFonts w:hint="eastAsia" w:ascii="宋体" w:hAnsi="宋体" w:eastAsia="宋体" w:cs="宋体"/>
          <w:color w:val="auto"/>
          <w:kern w:val="2"/>
          <w:sz w:val="24"/>
          <w:szCs w:val="24"/>
          <w:highlight w:val="none"/>
        </w:rPr>
        <w:t>附件</w:t>
      </w:r>
      <w:r>
        <w:rPr>
          <w:rFonts w:hint="default" w:ascii="Times New Roman" w:hAnsi="Times New Roman" w:eastAsia="宋体" w:cs="Times New Roman"/>
          <w:color w:val="auto"/>
          <w:kern w:val="2"/>
          <w:sz w:val="24"/>
          <w:szCs w:val="24"/>
          <w:highlight w:val="none"/>
        </w:rPr>
        <w:t>21</w:t>
      </w:r>
      <w:r>
        <w:rPr>
          <w:rFonts w:hint="eastAsia" w:ascii="宋体" w:hAnsi="宋体" w:eastAsia="宋体" w:cs="宋体"/>
          <w:color w:val="auto"/>
          <w:kern w:val="2"/>
          <w:sz w:val="24"/>
          <w:szCs w:val="24"/>
          <w:highlight w:val="none"/>
        </w:rPr>
        <w:t>：承包人营业执照（复印件）</w:t>
      </w:r>
    </w:p>
    <w:p w14:paraId="47E0DD4E">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825A60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424B09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4"/>
          <w:szCs w:val="24"/>
          <w:highlight w:val="none"/>
        </w:rPr>
      </w:pPr>
    </w:p>
    <w:p w14:paraId="48C6DC72">
      <w:pPr>
        <w:rPr>
          <w:color w:val="auto"/>
          <w:highlight w:val="none"/>
        </w:rPr>
      </w:pPr>
    </w:p>
    <w:p w14:paraId="64449A2D">
      <w:pPr>
        <w:rPr>
          <w:color w:val="auto"/>
          <w:highlight w:val="none"/>
        </w:rPr>
      </w:pPr>
    </w:p>
    <w:p w14:paraId="573C574C">
      <w:bookmarkStart w:id="107" w:name="_GoBack"/>
      <w:bookmarkEnd w:id="10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_x000B_">
    <w:altName w:val="Arial"/>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AdobeSongStd-Light">
    <w:altName w:val="Arial"/>
    <w:panose1 w:val="00000000000000000000"/>
    <w:charset w:val="00"/>
    <w:family w:val="auto"/>
    <w:pitch w:val="default"/>
    <w:sig w:usb0="00000000" w:usb1="00000000" w:usb2="00000000" w:usb3="00000000" w:csb0="0000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EB406"/>
    <w:multiLevelType w:val="multilevel"/>
    <w:tmpl w:val="D6FEB406"/>
    <w:lvl w:ilvl="0" w:tentative="0">
      <w:start w:val="2"/>
      <w:numFmt w:val="chineseCounting"/>
      <w:suff w:val="space"/>
      <w:lvlText w:val="第%1章"/>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DFF9B94D"/>
    <w:multiLevelType w:val="multilevel"/>
    <w:tmpl w:val="DFF9B94D"/>
    <w:lvl w:ilvl="0" w:tentative="0">
      <w:start w:val="1"/>
      <w:numFmt w:val="japaneseCounting"/>
      <w:lvlText w:val="第%1条"/>
      <w:lvlJc w:val="left"/>
      <w:pPr>
        <w:tabs>
          <w:tab w:val="left" w:pos="1695"/>
        </w:tabs>
        <w:ind w:left="1695" w:hanging="1125"/>
      </w:pPr>
      <w:rPr>
        <w:rFonts w:hint="eastAsia" w:ascii="宋体" w:hAnsi="宋体" w:eastAsia="宋体" w:cs="宋体"/>
      </w:rPr>
    </w:lvl>
    <w:lvl w:ilvl="1" w:tentative="0">
      <w:start w:val="1"/>
      <w:numFmt w:val="decimal"/>
      <w:lvlText w:val="%2、"/>
      <w:lvlJc w:val="left"/>
      <w:pPr>
        <w:tabs>
          <w:tab w:val="left" w:pos="1710"/>
        </w:tabs>
        <w:ind w:left="1710" w:hanging="720"/>
      </w:pPr>
      <w:rPr>
        <w:rFonts w:hint="eastAsia" w:ascii="宋体" w:hAnsi="宋体" w:eastAsia="宋体" w:cs="宋体"/>
      </w:rPr>
    </w:lvl>
    <w:lvl w:ilvl="2" w:tentative="0">
      <w:start w:val="4"/>
      <w:numFmt w:val="japaneseCounting"/>
      <w:lvlText w:val="第%3章"/>
      <w:lvlJc w:val="left"/>
      <w:pPr>
        <w:tabs>
          <w:tab w:val="left" w:pos="2535"/>
        </w:tabs>
        <w:ind w:left="2535" w:hanging="1125"/>
      </w:pPr>
      <w:rPr>
        <w:rFonts w:hint="eastAsia" w:ascii="宋体" w:hAnsi="宋体" w:eastAsia="宋体" w:cs="宋体"/>
      </w:rPr>
    </w:lvl>
    <w:lvl w:ilvl="3" w:tentative="0">
      <w:start w:val="1"/>
      <w:numFmt w:val="decimal"/>
      <w:lvlText w:val="%4."/>
      <w:lvlJc w:val="left"/>
      <w:pPr>
        <w:tabs>
          <w:tab w:val="left" w:pos="2250"/>
        </w:tabs>
        <w:ind w:left="2250" w:hanging="420"/>
      </w:pPr>
      <w:rPr>
        <w:rFonts w:hint="default" w:ascii="Times New Roman" w:hAnsi="Times New Roman" w:cs="Times New Roman"/>
      </w:rPr>
    </w:lvl>
    <w:lvl w:ilvl="4" w:tentative="0">
      <w:start w:val="1"/>
      <w:numFmt w:val="lowerLetter"/>
      <w:lvlText w:val="%5)"/>
      <w:lvlJc w:val="left"/>
      <w:pPr>
        <w:tabs>
          <w:tab w:val="left" w:pos="2670"/>
        </w:tabs>
        <w:ind w:left="2670" w:hanging="420"/>
      </w:pPr>
      <w:rPr>
        <w:rFonts w:hint="default" w:ascii="Times New Roman" w:hAnsi="Times New Roman" w:cs="Times New Roman"/>
      </w:rPr>
    </w:lvl>
    <w:lvl w:ilvl="5" w:tentative="0">
      <w:start w:val="1"/>
      <w:numFmt w:val="lowerRoman"/>
      <w:lvlText w:val="%6."/>
      <w:lvlJc w:val="right"/>
      <w:pPr>
        <w:tabs>
          <w:tab w:val="left" w:pos="3090"/>
        </w:tabs>
        <w:ind w:left="3090" w:hanging="420"/>
      </w:pPr>
      <w:rPr>
        <w:rFonts w:hint="default" w:ascii="Times New Roman" w:hAnsi="Times New Roman" w:cs="Times New Roman"/>
      </w:rPr>
    </w:lvl>
    <w:lvl w:ilvl="6" w:tentative="0">
      <w:start w:val="1"/>
      <w:numFmt w:val="decimal"/>
      <w:lvlText w:val="%7."/>
      <w:lvlJc w:val="left"/>
      <w:pPr>
        <w:tabs>
          <w:tab w:val="left" w:pos="3510"/>
        </w:tabs>
        <w:ind w:left="3510" w:hanging="420"/>
      </w:pPr>
      <w:rPr>
        <w:rFonts w:hint="default" w:ascii="Times New Roman" w:hAnsi="Times New Roman" w:cs="Times New Roman"/>
      </w:rPr>
    </w:lvl>
    <w:lvl w:ilvl="7" w:tentative="0">
      <w:start w:val="1"/>
      <w:numFmt w:val="lowerLetter"/>
      <w:lvlText w:val="%8)"/>
      <w:lvlJc w:val="left"/>
      <w:pPr>
        <w:tabs>
          <w:tab w:val="left" w:pos="3930"/>
        </w:tabs>
        <w:ind w:left="3930" w:hanging="420"/>
      </w:pPr>
      <w:rPr>
        <w:rFonts w:hint="default" w:ascii="Times New Roman" w:hAnsi="Times New Roman" w:cs="Times New Roman"/>
      </w:rPr>
    </w:lvl>
    <w:lvl w:ilvl="8" w:tentative="0">
      <w:start w:val="1"/>
      <w:numFmt w:val="lowerRoman"/>
      <w:lvlText w:val="%9."/>
      <w:lvlJc w:val="right"/>
      <w:pPr>
        <w:tabs>
          <w:tab w:val="left" w:pos="4350"/>
        </w:tabs>
        <w:ind w:left="4350" w:hanging="420"/>
      </w:pPr>
      <w:rPr>
        <w:rFonts w:hint="default" w:ascii="Times New Roman" w:hAnsi="Times New Roman" w:cs="Times New Roman"/>
      </w:rPr>
    </w:lvl>
  </w:abstractNum>
  <w:abstractNum w:abstractNumId="2">
    <w:nsid w:val="EC3EB15A"/>
    <w:multiLevelType w:val="multilevel"/>
    <w:tmpl w:val="EC3EB15A"/>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3">
    <w:nsid w:val="FCFFD37B"/>
    <w:multiLevelType w:val="multilevel"/>
    <w:tmpl w:val="FCFFD37B"/>
    <w:lvl w:ilvl="0" w:tentative="0">
      <w:start w:val="1"/>
      <w:numFmt w:val="bullet"/>
      <w:lvlText w:val=""/>
      <w:lvlJc w:val="left"/>
      <w:pPr>
        <w:tabs>
          <w:tab w:val="left" w:pos="855"/>
        </w:tabs>
        <w:ind w:left="855" w:hanging="420"/>
      </w:pPr>
      <w:rPr>
        <w:rFonts w:hint="default" w:ascii="Wingdings" w:hAnsi="Wingdings" w:cs="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4">
    <w:nsid w:val="7FBAEDD9"/>
    <w:multiLevelType w:val="multilevel"/>
    <w:tmpl w:val="7FBAEDD9"/>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54647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keepNext w:val="0"/>
      <w:keepLines w:val="0"/>
      <w:widowControl w:val="0"/>
      <w:suppressLineNumbers w:val="0"/>
      <w:spacing w:before="0" w:beforeAutospacing="0" w:after="0" w:afterAutospacing="0"/>
      <w:ind w:left="0" w:right="0" w:firstLine="420"/>
      <w:jc w:val="both"/>
    </w:pPr>
    <w:rPr>
      <w:rFonts w:hint="default" w:ascii="Times New Roman" w:hAnsi="Times New Roman" w:cs="Times New Roman"/>
      <w:kern w:val="2"/>
      <w:sz w:val="21"/>
      <w:szCs w:val="21"/>
      <w:lang w:val="en-US" w:eastAsia="zh-CN" w:bidi="ar"/>
    </w:rPr>
  </w:style>
  <w:style w:type="paragraph" w:styleId="3">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2024-09-12T03:33:57Z</dcterms:created>
  <dc:creator>SHERRY</dc:creator>
  <cp:lastModifiedBy>kobekakaxi薛</cp:lastModifiedBy>
  <dcterms:modified xsi:type="dcterms:W3CDTF">2024-09-12T03:34:54Z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643FD434A0064147AC1DF6FF49C3C5F6_12</vt:lpwstr>
  </property>
</Properties>
</file>