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68740">
      <w:pPr>
        <w:jc w:val="center"/>
        <w:rPr>
          <w:rStyle w:val="7"/>
          <w:rFonts w:ascii="楷体" w:hAnsi="楷体" w:eastAsia="楷体" w:cs="楷体"/>
          <w:b/>
          <w:bCs/>
          <w:color w:val="000000" w:themeColor="text1"/>
          <w:sz w:val="30"/>
          <w:szCs w:val="30"/>
          <w:highlight w:val="none"/>
          <w14:textFill>
            <w14:solidFill>
              <w14:schemeClr w14:val="tx1"/>
            </w14:solidFill>
          </w14:textFill>
        </w:rPr>
      </w:pPr>
      <w:r>
        <w:rPr>
          <w:rStyle w:val="7"/>
          <w:rFonts w:hint="eastAsia" w:ascii="楷体" w:hAnsi="楷体" w:eastAsia="楷体" w:cs="楷体"/>
          <w:color w:val="000000" w:themeColor="text1"/>
          <w:sz w:val="30"/>
          <w:szCs w:val="30"/>
          <w:highlight w:val="none"/>
          <w14:textFill>
            <w14:solidFill>
              <w14:schemeClr w14:val="tx1"/>
            </w14:solidFill>
          </w14:textFill>
        </w:rPr>
        <w:t xml:space="preserve">                                    合同编号：</w:t>
      </w:r>
    </w:p>
    <w:p w14:paraId="7769937A">
      <w:pPr>
        <w:spacing w:line="360" w:lineRule="auto"/>
        <w:jc w:val="center"/>
        <w:rPr>
          <w:rStyle w:val="7"/>
          <w:b/>
          <w:bCs/>
          <w:color w:val="000000" w:themeColor="text1"/>
          <w:sz w:val="48"/>
          <w:szCs w:val="48"/>
          <w:highlight w:val="none"/>
          <w14:textFill>
            <w14:solidFill>
              <w14:schemeClr w14:val="tx1"/>
            </w14:solidFill>
          </w14:textFill>
        </w:rPr>
      </w:pPr>
    </w:p>
    <w:p w14:paraId="219B8828">
      <w:pPr>
        <w:spacing w:line="360" w:lineRule="auto"/>
        <w:jc w:val="center"/>
        <w:rPr>
          <w:rFonts w:ascii="楷体" w:hAnsi="楷体" w:eastAsia="楷体" w:cs="楷体"/>
          <w:color w:val="000000" w:themeColor="text1"/>
          <w:sz w:val="20"/>
          <w:highlight w:val="none"/>
          <w14:textFill>
            <w14:solidFill>
              <w14:schemeClr w14:val="tx1"/>
            </w14:solidFill>
          </w14:textFill>
        </w:rPr>
      </w:pPr>
    </w:p>
    <w:p w14:paraId="77CF967E">
      <w:pPr>
        <w:rPr>
          <w:rFonts w:ascii="楷体" w:hAnsi="楷体" w:eastAsia="楷体" w:cs="楷体"/>
          <w:color w:val="000000" w:themeColor="text1"/>
          <w:sz w:val="20"/>
          <w:highlight w:val="none"/>
          <w14:textFill>
            <w14:solidFill>
              <w14:schemeClr w14:val="tx1"/>
            </w14:solidFill>
          </w14:textFill>
        </w:rPr>
      </w:pPr>
    </w:p>
    <w:p w14:paraId="5A5D017E">
      <w:pPr>
        <w:spacing w:line="360" w:lineRule="auto"/>
        <w:jc w:val="center"/>
        <w:rPr>
          <w:rFonts w:hint="default" w:ascii="楷体" w:hAnsi="楷体" w:eastAsia="楷体" w:cs="楷体"/>
          <w:color w:val="000000" w:themeColor="text1"/>
          <w:kern w:val="0"/>
          <w:sz w:val="44"/>
          <w:szCs w:val="44"/>
          <w:highlight w:val="none"/>
          <w:lang w:val="en-US" w:eastAsia="zh-CN"/>
          <w14:textFill>
            <w14:solidFill>
              <w14:schemeClr w14:val="tx1"/>
            </w14:solidFill>
          </w14:textFill>
        </w:rPr>
      </w:pPr>
      <w:r>
        <w:rPr>
          <w:rFonts w:hint="eastAsia" w:ascii="楷体" w:hAnsi="楷体" w:eastAsia="楷体" w:cs="楷体"/>
          <w:b/>
          <w:bCs/>
          <w:color w:val="000000" w:themeColor="text1"/>
          <w:kern w:val="0"/>
          <w:sz w:val="44"/>
          <w:szCs w:val="44"/>
          <w:highlight w:val="none"/>
          <w:lang w:val="en-US" w:eastAsia="zh-CN"/>
          <w14:textFill>
            <w14:solidFill>
              <w14:schemeClr w14:val="tx1"/>
            </w14:solidFill>
          </w14:textFill>
        </w:rPr>
        <w:t>工程</w:t>
      </w:r>
    </w:p>
    <w:p w14:paraId="1AD4ADEC">
      <w:pPr>
        <w:spacing w:line="360" w:lineRule="auto"/>
        <w:jc w:val="center"/>
        <w:rPr>
          <w:rFonts w:ascii="楷体" w:hAnsi="楷体" w:eastAsia="楷体" w:cs="楷体"/>
          <w:color w:val="000000" w:themeColor="text1"/>
          <w:kern w:val="0"/>
          <w:sz w:val="72"/>
          <w:szCs w:val="72"/>
          <w:highlight w:val="none"/>
          <w14:textFill>
            <w14:solidFill>
              <w14:schemeClr w14:val="tx1"/>
            </w14:solidFill>
          </w14:textFill>
        </w:rPr>
      </w:pPr>
    </w:p>
    <w:p w14:paraId="7546F988">
      <w:pPr>
        <w:spacing w:line="360" w:lineRule="auto"/>
        <w:jc w:val="center"/>
        <w:rPr>
          <w:rStyle w:val="7"/>
          <w:rFonts w:hint="eastAsia" w:ascii="楷体" w:hAnsi="楷体" w:eastAsia="楷体" w:cs="楷体"/>
          <w:b/>
          <w:bCs/>
          <w:color w:val="000000" w:themeColor="text1"/>
          <w:sz w:val="72"/>
          <w:szCs w:val="72"/>
          <w:highlight w:val="none"/>
          <w14:textFill>
            <w14:solidFill>
              <w14:schemeClr w14:val="tx1"/>
            </w14:solidFill>
          </w14:textFill>
        </w:rPr>
      </w:pPr>
    </w:p>
    <w:p w14:paraId="03375C93">
      <w:pPr>
        <w:spacing w:line="360" w:lineRule="auto"/>
        <w:jc w:val="center"/>
        <w:rPr>
          <w:rStyle w:val="7"/>
          <w:rFonts w:hint="eastAsia" w:ascii="楷体" w:hAnsi="楷体" w:eastAsia="楷体" w:cs="楷体"/>
          <w:b/>
          <w:bCs/>
          <w:color w:val="000000" w:themeColor="text1"/>
          <w:sz w:val="72"/>
          <w:szCs w:val="72"/>
          <w:highlight w:val="none"/>
          <w14:textFill>
            <w14:solidFill>
              <w14:schemeClr w14:val="tx1"/>
            </w14:solidFill>
          </w14:textFill>
        </w:rPr>
      </w:pPr>
    </w:p>
    <w:p w14:paraId="22BDAA04">
      <w:pPr>
        <w:spacing w:line="360" w:lineRule="auto"/>
        <w:jc w:val="center"/>
        <w:rPr>
          <w:rStyle w:val="7"/>
          <w:rFonts w:ascii="楷体" w:hAnsi="楷体" w:eastAsia="楷体" w:cs="楷体"/>
          <w:b/>
          <w:bCs/>
          <w:color w:val="000000" w:themeColor="text1"/>
          <w:sz w:val="72"/>
          <w:szCs w:val="72"/>
          <w:highlight w:val="none"/>
          <w14:textFill>
            <w14:solidFill>
              <w14:schemeClr w14:val="tx1"/>
            </w14:solidFill>
          </w14:textFill>
        </w:rPr>
      </w:pPr>
      <w:r>
        <w:rPr>
          <w:rStyle w:val="7"/>
          <w:rFonts w:hint="eastAsia" w:ascii="楷体" w:hAnsi="楷体" w:eastAsia="楷体" w:cs="楷体"/>
          <w:b/>
          <w:bCs/>
          <w:color w:val="000000" w:themeColor="text1"/>
          <w:sz w:val="72"/>
          <w:szCs w:val="72"/>
          <w:highlight w:val="none"/>
          <w14:textFill>
            <w14:solidFill>
              <w14:schemeClr w14:val="tx1"/>
            </w14:solidFill>
          </w14:textFill>
        </w:rPr>
        <w:t>建设工程监理合同</w:t>
      </w:r>
    </w:p>
    <w:p w14:paraId="54759A08">
      <w:pPr>
        <w:spacing w:line="360" w:lineRule="auto"/>
        <w:jc w:val="center"/>
        <w:rPr>
          <w:rStyle w:val="7"/>
          <w:rFonts w:ascii="楷体" w:hAnsi="楷体" w:eastAsia="楷体" w:cs="楷体"/>
          <w:bCs/>
          <w:color w:val="000000" w:themeColor="text1"/>
          <w:sz w:val="48"/>
          <w:szCs w:val="48"/>
          <w:highlight w:val="none"/>
          <w14:textFill>
            <w14:solidFill>
              <w14:schemeClr w14:val="tx1"/>
            </w14:solidFill>
          </w14:textFill>
        </w:rPr>
      </w:pPr>
    </w:p>
    <w:p w14:paraId="0FA8AB26">
      <w:pPr>
        <w:spacing w:line="360" w:lineRule="auto"/>
        <w:jc w:val="center"/>
        <w:rPr>
          <w:rStyle w:val="7"/>
          <w:rFonts w:ascii="楷体" w:hAnsi="楷体" w:eastAsia="楷体" w:cs="楷体"/>
          <w:b/>
          <w:bCs/>
          <w:color w:val="000000" w:themeColor="text1"/>
          <w:sz w:val="24"/>
          <w:highlight w:val="none"/>
          <w14:textFill>
            <w14:solidFill>
              <w14:schemeClr w14:val="tx1"/>
            </w14:solidFill>
          </w14:textFill>
        </w:rPr>
      </w:pPr>
    </w:p>
    <w:p w14:paraId="51D62C82">
      <w:pPr>
        <w:spacing w:line="360" w:lineRule="auto"/>
        <w:jc w:val="center"/>
        <w:rPr>
          <w:rStyle w:val="7"/>
          <w:rFonts w:ascii="楷体" w:hAnsi="楷体" w:eastAsia="楷体" w:cs="楷体"/>
          <w:b/>
          <w:bCs/>
          <w:color w:val="000000" w:themeColor="text1"/>
          <w:sz w:val="24"/>
          <w:highlight w:val="none"/>
          <w14:textFill>
            <w14:solidFill>
              <w14:schemeClr w14:val="tx1"/>
            </w14:solidFill>
          </w14:textFill>
        </w:rPr>
      </w:pPr>
    </w:p>
    <w:p w14:paraId="393346EA">
      <w:pPr>
        <w:spacing w:line="360" w:lineRule="auto"/>
        <w:jc w:val="center"/>
        <w:rPr>
          <w:rStyle w:val="7"/>
          <w:rFonts w:ascii="楷体" w:hAnsi="楷体" w:eastAsia="楷体" w:cs="楷体"/>
          <w:b/>
          <w:bCs/>
          <w:color w:val="000000" w:themeColor="text1"/>
          <w:sz w:val="24"/>
          <w:highlight w:val="none"/>
          <w14:textFill>
            <w14:solidFill>
              <w14:schemeClr w14:val="tx1"/>
            </w14:solidFill>
          </w14:textFill>
        </w:rPr>
      </w:pPr>
    </w:p>
    <w:p w14:paraId="2038CA0B">
      <w:pPr>
        <w:spacing w:line="360" w:lineRule="auto"/>
        <w:jc w:val="both"/>
        <w:rPr>
          <w:rStyle w:val="7"/>
          <w:rFonts w:ascii="楷体" w:hAnsi="楷体" w:eastAsia="楷体" w:cs="楷体"/>
          <w:b/>
          <w:bCs/>
          <w:color w:val="000000" w:themeColor="text1"/>
          <w:sz w:val="24"/>
          <w:highlight w:val="none"/>
          <w14:textFill>
            <w14:solidFill>
              <w14:schemeClr w14:val="tx1"/>
            </w14:solidFill>
          </w14:textFill>
        </w:rPr>
      </w:pPr>
    </w:p>
    <w:p w14:paraId="45A28789">
      <w:pPr>
        <w:spacing w:line="360" w:lineRule="auto"/>
        <w:jc w:val="center"/>
        <w:rPr>
          <w:rStyle w:val="7"/>
          <w:rFonts w:ascii="楷体" w:hAnsi="楷体" w:eastAsia="楷体" w:cs="楷体"/>
          <w:b/>
          <w:bCs/>
          <w:color w:val="000000" w:themeColor="text1"/>
          <w:sz w:val="24"/>
          <w:highlight w:val="none"/>
          <w14:textFill>
            <w14:solidFill>
              <w14:schemeClr w14:val="tx1"/>
            </w14:solidFill>
          </w14:textFill>
        </w:rPr>
      </w:pPr>
    </w:p>
    <w:p w14:paraId="2564B3D4">
      <w:pPr>
        <w:spacing w:line="360" w:lineRule="auto"/>
        <w:jc w:val="center"/>
        <w:rPr>
          <w:rStyle w:val="7"/>
          <w:rFonts w:ascii="楷体" w:hAnsi="楷体" w:eastAsia="楷体" w:cs="楷体"/>
          <w:b/>
          <w:bCs/>
          <w:color w:val="000000" w:themeColor="text1"/>
          <w:sz w:val="24"/>
          <w:highlight w:val="none"/>
          <w14:textFill>
            <w14:solidFill>
              <w14:schemeClr w14:val="tx1"/>
            </w14:solidFill>
          </w14:textFill>
        </w:rPr>
      </w:pPr>
    </w:p>
    <w:p w14:paraId="62F2A553">
      <w:pPr>
        <w:spacing w:line="360" w:lineRule="auto"/>
        <w:jc w:val="center"/>
        <w:rPr>
          <w:rStyle w:val="7"/>
          <w:rFonts w:hint="eastAsia" w:ascii="楷体" w:hAnsi="楷体" w:eastAsia="楷体" w:cs="楷体"/>
          <w:b/>
          <w:bCs/>
          <w:color w:val="000000" w:themeColor="text1"/>
          <w:sz w:val="24"/>
          <w:highlight w:val="none"/>
          <w14:textFill>
            <w14:solidFill>
              <w14:schemeClr w14:val="tx1"/>
            </w14:solidFill>
          </w14:textFill>
        </w:rPr>
      </w:pPr>
    </w:p>
    <w:p w14:paraId="5DC1EBAC">
      <w:pPr>
        <w:spacing w:line="360" w:lineRule="auto"/>
        <w:jc w:val="center"/>
        <w:rPr>
          <w:rStyle w:val="7"/>
          <w:rFonts w:ascii="楷体" w:hAnsi="楷体" w:eastAsia="楷体" w:cs="楷体"/>
          <w:b/>
          <w:bCs/>
          <w:color w:val="000000" w:themeColor="text1"/>
          <w:sz w:val="24"/>
          <w:highlight w:val="none"/>
          <w14:textFill>
            <w14:solidFill>
              <w14:schemeClr w14:val="tx1"/>
            </w14:solidFill>
          </w14:textFill>
        </w:rPr>
      </w:pPr>
    </w:p>
    <w:p w14:paraId="0ECD2725">
      <w:pPr>
        <w:spacing w:line="440" w:lineRule="exact"/>
        <w:ind w:firstLine="643" w:firstLineChars="200"/>
        <w:jc w:val="left"/>
        <w:rPr>
          <w:rStyle w:val="7"/>
          <w:rFonts w:ascii="楷体" w:hAnsi="楷体" w:eastAsia="楷体" w:cs="楷体"/>
          <w:color w:val="000000" w:themeColor="text1"/>
          <w:sz w:val="32"/>
          <w:szCs w:val="32"/>
          <w:highlight w:val="none"/>
          <w:u w:val="single" w:color="000000"/>
          <w14:textFill>
            <w14:solidFill>
              <w14:schemeClr w14:val="tx1"/>
            </w14:solidFill>
          </w14:textFill>
        </w:rPr>
      </w:pPr>
      <w:r>
        <w:rPr>
          <w:rStyle w:val="7"/>
          <w:rFonts w:hint="eastAsia" w:ascii="楷体" w:hAnsi="楷体" w:eastAsia="楷体" w:cs="楷体"/>
          <w:b/>
          <w:color w:val="000000" w:themeColor="text1"/>
          <w:sz w:val="32"/>
          <w:szCs w:val="32"/>
          <w:highlight w:val="none"/>
          <w14:textFill>
            <w14:solidFill>
              <w14:schemeClr w14:val="tx1"/>
            </w14:solidFill>
          </w14:textFill>
        </w:rPr>
        <w:t>委托人（全称）：</w:t>
      </w:r>
    </w:p>
    <w:p w14:paraId="13BE6937">
      <w:pPr>
        <w:snapToGrid w:val="0"/>
        <w:spacing w:line="400" w:lineRule="atLeast"/>
        <w:ind w:firstLine="643" w:firstLineChars="200"/>
        <w:rPr>
          <w:rStyle w:val="7"/>
          <w:rFonts w:ascii="楷体" w:hAnsi="楷体" w:eastAsia="楷体" w:cs="楷体"/>
          <w:b/>
          <w:color w:val="000000" w:themeColor="text1"/>
          <w:sz w:val="32"/>
          <w:szCs w:val="32"/>
          <w:highlight w:val="none"/>
          <w14:textFill>
            <w14:solidFill>
              <w14:schemeClr w14:val="tx1"/>
            </w14:solidFill>
          </w14:textFill>
        </w:rPr>
      </w:pPr>
    </w:p>
    <w:p w14:paraId="4212DD85">
      <w:pPr>
        <w:snapToGrid w:val="0"/>
        <w:spacing w:line="400" w:lineRule="atLeast"/>
        <w:ind w:firstLine="643" w:firstLineChars="200"/>
        <w:rPr>
          <w:rStyle w:val="7"/>
          <w:rFonts w:hint="eastAsia" w:ascii="楷体" w:hAnsi="楷体" w:eastAsia="楷体" w:cs="楷体"/>
          <w:b/>
          <w:color w:val="000000" w:themeColor="text1"/>
          <w:sz w:val="32"/>
          <w:szCs w:val="32"/>
          <w:highlight w:val="none"/>
          <w14:textFill>
            <w14:solidFill>
              <w14:schemeClr w14:val="tx1"/>
            </w14:solidFill>
          </w14:textFill>
        </w:rPr>
      </w:pPr>
    </w:p>
    <w:p w14:paraId="73F8207C">
      <w:pPr>
        <w:snapToGrid w:val="0"/>
        <w:spacing w:line="400" w:lineRule="atLeast"/>
        <w:ind w:firstLine="643" w:firstLineChars="200"/>
        <w:rPr>
          <w:rStyle w:val="7"/>
          <w:rFonts w:hint="eastAsia" w:ascii="楷体" w:hAnsi="楷体" w:eastAsia="楷体" w:cs="楷体"/>
          <w:b/>
          <w:bCs/>
          <w:color w:val="000000" w:themeColor="text1"/>
          <w:sz w:val="28"/>
          <w:szCs w:val="28"/>
          <w:highlight w:val="none"/>
          <w14:textFill>
            <w14:solidFill>
              <w14:schemeClr w14:val="tx1"/>
            </w14:solidFill>
          </w14:textFill>
        </w:rPr>
        <w:sectPr>
          <w:headerReference r:id="rId3" w:type="default"/>
          <w:footerReference r:id="rId4" w:type="default"/>
          <w:pgSz w:w="11906" w:h="16838"/>
          <w:pgMar w:top="1246" w:right="1418" w:bottom="1091" w:left="1418" w:header="623" w:footer="542" w:gutter="0"/>
          <w:pgNumType w:fmt="decimal" w:start="1"/>
          <w:cols w:space="720" w:num="1"/>
          <w:docGrid w:type="lines" w:linePitch="312" w:charSpace="0"/>
        </w:sectPr>
      </w:pPr>
      <w:r>
        <w:rPr>
          <w:rStyle w:val="7"/>
          <w:rFonts w:hint="eastAsia" w:ascii="楷体" w:hAnsi="楷体" w:eastAsia="楷体" w:cs="楷体"/>
          <w:b/>
          <w:color w:val="000000" w:themeColor="text1"/>
          <w:sz w:val="32"/>
          <w:szCs w:val="32"/>
          <w:highlight w:val="none"/>
          <w14:textFill>
            <w14:solidFill>
              <w14:schemeClr w14:val="tx1"/>
            </w14:solidFill>
          </w14:textFill>
        </w:rPr>
        <w:t>监理人（全称）：</w:t>
      </w:r>
      <w:r>
        <w:rPr>
          <w:rStyle w:val="7"/>
          <w:rFonts w:hint="eastAsia" w:ascii="楷体" w:hAnsi="楷体" w:eastAsia="楷体" w:cs="楷体"/>
          <w:b/>
          <w:color w:val="000000" w:themeColor="text1"/>
          <w:sz w:val="32"/>
          <w:szCs w:val="32"/>
          <w:highlight w:val="none"/>
          <w:u w:val="single" w:color="000000"/>
          <w:lang w:val="en-US" w:eastAsia="zh-CN"/>
          <w14:textFill>
            <w14:solidFill>
              <w14:schemeClr w14:val="tx1"/>
            </w14:solidFill>
          </w14:textFill>
        </w:rPr>
        <w:t xml:space="preserve">           </w:t>
      </w:r>
    </w:p>
    <w:p w14:paraId="6DE0E954">
      <w:pPr>
        <w:jc w:val="center"/>
        <w:rPr>
          <w:rFonts w:hint="default" w:ascii="楷体" w:hAnsi="楷体" w:eastAsia="楷体" w:cs="楷体"/>
          <w:color w:val="000000" w:themeColor="text1"/>
          <w:sz w:val="20"/>
          <w:highlight w:val="none"/>
          <w:lang w:val="en-US" w:eastAsia="zh-CN"/>
          <w14:textFill>
            <w14:solidFill>
              <w14:schemeClr w14:val="tx1"/>
            </w14:solidFill>
          </w14:textFill>
        </w:rPr>
      </w:pPr>
      <w:r>
        <w:rPr>
          <w:rStyle w:val="7"/>
          <w:rFonts w:hint="eastAsia" w:ascii="楷体" w:hAnsi="楷体" w:eastAsia="楷体" w:cs="楷体"/>
          <w:b/>
          <w:bCs/>
          <w:color w:val="000000" w:themeColor="text1"/>
          <w:sz w:val="28"/>
          <w:szCs w:val="28"/>
          <w:highlight w:val="none"/>
          <w14:textFill>
            <w14:solidFill>
              <w14:schemeClr w14:val="tx1"/>
            </w14:solidFill>
          </w14:textFill>
        </w:rPr>
        <w:t>第一部分  协议书</w:t>
      </w:r>
    </w:p>
    <w:p w14:paraId="0D4B9864">
      <w:pPr>
        <w:spacing w:line="240" w:lineRule="atLeast"/>
        <w:jc w:val="center"/>
        <w:rPr>
          <w:rStyle w:val="7"/>
          <w:rFonts w:ascii="楷体" w:hAnsi="楷体" w:eastAsia="楷体" w:cs="楷体"/>
          <w:b/>
          <w:color w:val="000000" w:themeColor="text1"/>
          <w:sz w:val="24"/>
          <w:highlight w:val="none"/>
          <w14:textFill>
            <w14:solidFill>
              <w14:schemeClr w14:val="tx1"/>
            </w14:solidFill>
          </w14:textFill>
        </w:rPr>
      </w:pPr>
    </w:p>
    <w:p w14:paraId="795F9EE9">
      <w:pPr>
        <w:spacing w:line="360" w:lineRule="auto"/>
        <w:ind w:firstLine="482" w:firstLineChars="200"/>
        <w:jc w:val="left"/>
        <w:rPr>
          <w:rStyle w:val="7"/>
          <w:rFonts w:ascii="楷体" w:hAnsi="楷体" w:eastAsia="楷体" w:cs="楷体"/>
          <w:color w:val="000000" w:themeColor="text1"/>
          <w:sz w:val="24"/>
          <w:highlight w:val="none"/>
          <w:u w:val="single" w:color="000000"/>
          <w14:textFill>
            <w14:solidFill>
              <w14:schemeClr w14:val="tx1"/>
            </w14:solidFill>
          </w14:textFill>
        </w:rPr>
      </w:pPr>
      <w:r>
        <w:rPr>
          <w:rStyle w:val="7"/>
          <w:rFonts w:hint="eastAsia" w:ascii="楷体" w:hAnsi="楷体" w:eastAsia="楷体" w:cs="楷体"/>
          <w:b/>
          <w:color w:val="000000" w:themeColor="text1"/>
          <w:sz w:val="24"/>
          <w:highlight w:val="none"/>
          <w14:textFill>
            <w14:solidFill>
              <w14:schemeClr w14:val="tx1"/>
            </w14:solidFill>
          </w14:textFill>
        </w:rPr>
        <w:t>委托人（全称）：</w:t>
      </w:r>
    </w:p>
    <w:p w14:paraId="283C56BE">
      <w:pPr>
        <w:snapToGrid w:val="0"/>
        <w:spacing w:line="360" w:lineRule="auto"/>
        <w:ind w:firstLine="482" w:firstLineChars="200"/>
        <w:rPr>
          <w:rStyle w:val="7"/>
          <w:rFonts w:hint="eastAsia" w:ascii="楷体" w:hAnsi="楷体" w:eastAsia="楷体" w:cs="楷体"/>
          <w:color w:val="000000" w:themeColor="text1"/>
          <w:sz w:val="24"/>
          <w:highlight w:val="none"/>
          <w:lang w:eastAsia="zh-CN"/>
          <w14:textFill>
            <w14:solidFill>
              <w14:schemeClr w14:val="tx1"/>
            </w14:solidFill>
          </w14:textFill>
        </w:rPr>
      </w:pPr>
      <w:r>
        <w:rPr>
          <w:rStyle w:val="7"/>
          <w:rFonts w:hint="eastAsia" w:ascii="楷体" w:hAnsi="楷体" w:eastAsia="楷体" w:cs="楷体"/>
          <w:b/>
          <w:color w:val="000000" w:themeColor="text1"/>
          <w:sz w:val="24"/>
          <w:highlight w:val="none"/>
          <w14:textFill>
            <w14:solidFill>
              <w14:schemeClr w14:val="tx1"/>
            </w14:solidFill>
          </w14:textFill>
        </w:rPr>
        <w:t>监理人（全称）：</w:t>
      </w:r>
      <w:r>
        <w:rPr>
          <w:rStyle w:val="7"/>
          <w:rFonts w:hint="eastAsia" w:ascii="楷体" w:hAnsi="楷体" w:eastAsia="楷体" w:cs="楷体"/>
          <w:b/>
          <w:color w:val="000000" w:themeColor="text1"/>
          <w:sz w:val="24"/>
          <w:highlight w:val="none"/>
          <w:u w:val="single" w:color="000000"/>
          <w:lang w:val="en-US" w:eastAsia="zh-CN"/>
          <w14:textFill>
            <w14:solidFill>
              <w14:schemeClr w14:val="tx1"/>
            </w14:solidFill>
          </w14:textFill>
        </w:rPr>
        <w:t xml:space="preserve"> </w:t>
      </w:r>
    </w:p>
    <w:p w14:paraId="2D58036B">
      <w:pPr>
        <w:snapToGrid w:val="0"/>
        <w:spacing w:line="360" w:lineRule="auto"/>
        <w:ind w:firstLine="480" w:firstLineChars="200"/>
        <w:rPr>
          <w:rStyle w:val="7"/>
          <w:rFonts w:ascii="楷体" w:hAnsi="楷体" w:eastAsia="楷体" w:cs="楷体"/>
          <w:color w:val="000000" w:themeColor="text1"/>
          <w:sz w:val="24"/>
          <w:highlight w:val="none"/>
          <w:u w:val="single" w:color="000000"/>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根据《中华人民共和国民法典》、《中华人民共和国建筑法》及其他有关法律、法规，遵循平等、自愿、公平和诚信的原则，双方就下述工程委托监理与相关服务事项协商一致，订立本合同。</w:t>
      </w:r>
    </w:p>
    <w:p w14:paraId="50E30E82">
      <w:pPr>
        <w:spacing w:line="360" w:lineRule="auto"/>
        <w:ind w:firstLine="477" w:firstLineChars="198"/>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color w:val="000000" w:themeColor="text1"/>
          <w:sz w:val="24"/>
          <w:highlight w:val="none"/>
          <w14:textFill>
            <w14:solidFill>
              <w14:schemeClr w14:val="tx1"/>
            </w14:solidFill>
          </w14:textFill>
        </w:rPr>
        <w:t>一、工程概况</w:t>
      </w:r>
    </w:p>
    <w:p w14:paraId="1F0A4597">
      <w:pPr>
        <w:snapToGrid w:val="0"/>
        <w:spacing w:line="360" w:lineRule="auto"/>
        <w:ind w:firstLine="475" w:firstLineChars="198"/>
        <w:rPr>
          <w:rStyle w:val="7"/>
          <w:rFonts w:hint="eastAsia" w:ascii="楷体" w:hAnsi="楷体" w:eastAsia="楷体" w:cs="楷体"/>
          <w:color w:val="000000" w:themeColor="text1"/>
          <w:sz w:val="24"/>
          <w:highlight w:val="none"/>
          <w:u w:val="singl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 工程名称：机场高新产业园市政道路配套工程规划二路（高信二路-规划五路）、规划三路、规划四路监理服务</w:t>
      </w:r>
    </w:p>
    <w:p w14:paraId="5B4E75D4">
      <w:pPr>
        <w:snapToGrid w:val="0"/>
        <w:spacing w:line="360" w:lineRule="auto"/>
        <w:ind w:firstLine="475" w:firstLineChars="198"/>
        <w:rPr>
          <w:rStyle w:val="7"/>
          <w:rFonts w:hint="eastAsia"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 工程地点：广州市花都区花东镇中部，机场第二高速西北侧、大广高速南侧，金谷南路东侧</w:t>
      </w:r>
    </w:p>
    <w:p w14:paraId="088ACD82">
      <w:pPr>
        <w:snapToGrid w:val="0"/>
        <w:spacing w:line="360" w:lineRule="auto"/>
        <w:ind w:firstLine="475" w:firstLineChars="198"/>
        <w:rPr>
          <w:rStyle w:val="7"/>
          <w:rFonts w:hint="eastAsia" w:ascii="楷体" w:hAnsi="楷体" w:eastAsia="楷体" w:cs="楷体"/>
          <w:color w:val="000000" w:themeColor="text1"/>
          <w:sz w:val="24"/>
          <w:highlight w:val="none"/>
          <w:lang w:eastAsia="zh-CN"/>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3. 工程规模</w:t>
      </w:r>
      <w:r>
        <w:rPr>
          <w:rStyle w:val="7"/>
          <w:rFonts w:hint="eastAsia" w:ascii="楷体" w:hAnsi="楷体" w:eastAsia="楷体" w:cs="楷体"/>
          <w:color w:val="000000" w:themeColor="text1"/>
          <w:sz w:val="24"/>
          <w:highlight w:val="none"/>
          <w:lang w:eastAsia="zh-CN"/>
          <w14:textFill>
            <w14:solidFill>
              <w14:schemeClr w14:val="tx1"/>
            </w14:solidFill>
          </w14:textFill>
        </w:rPr>
        <w:t>：新建城市道路总长978.992m，其中：</w:t>
      </w:r>
    </w:p>
    <w:p w14:paraId="32AA41A6">
      <w:pPr>
        <w:snapToGrid w:val="0"/>
        <w:spacing w:line="360" w:lineRule="auto"/>
        <w:ind w:firstLine="475" w:firstLineChars="198"/>
        <w:rPr>
          <w:rStyle w:val="7"/>
          <w:rFonts w:hint="eastAsia" w:ascii="楷体" w:hAnsi="楷体" w:eastAsia="楷体" w:cs="楷体"/>
          <w:color w:val="000000" w:themeColor="text1"/>
          <w:sz w:val="24"/>
          <w:highlight w:val="none"/>
          <w:lang w:eastAsia="zh-CN"/>
          <w14:textFill>
            <w14:solidFill>
              <w14:schemeClr w14:val="tx1"/>
            </w14:solidFill>
          </w14:textFill>
        </w:rPr>
      </w:pPr>
      <w:r>
        <w:rPr>
          <w:rStyle w:val="7"/>
          <w:rFonts w:hint="eastAsia" w:ascii="楷体" w:hAnsi="楷体" w:eastAsia="楷体" w:cs="楷体"/>
          <w:color w:val="000000" w:themeColor="text1"/>
          <w:sz w:val="24"/>
          <w:highlight w:val="none"/>
          <w:lang w:eastAsia="zh-CN"/>
          <w14:textFill>
            <w14:solidFill>
              <w14:schemeClr w14:val="tx1"/>
            </w14:solidFill>
          </w14:textFill>
        </w:rPr>
        <w:t>规划二路（高信二路~规划五路）：道路长度325.673m，道路宽度15m，双向 2 车道；</w:t>
      </w:r>
    </w:p>
    <w:p w14:paraId="009D0FB0">
      <w:pPr>
        <w:snapToGrid w:val="0"/>
        <w:spacing w:line="360" w:lineRule="auto"/>
        <w:ind w:firstLine="475" w:firstLineChars="198"/>
        <w:rPr>
          <w:rStyle w:val="7"/>
          <w:rFonts w:hint="eastAsia" w:ascii="楷体" w:hAnsi="楷体" w:eastAsia="楷体" w:cs="楷体"/>
          <w:color w:val="000000" w:themeColor="text1"/>
          <w:sz w:val="24"/>
          <w:highlight w:val="none"/>
          <w:lang w:eastAsia="zh-CN"/>
          <w14:textFill>
            <w14:solidFill>
              <w14:schemeClr w14:val="tx1"/>
            </w14:solidFill>
          </w14:textFill>
        </w:rPr>
      </w:pPr>
      <w:r>
        <w:rPr>
          <w:rStyle w:val="7"/>
          <w:rFonts w:hint="eastAsia" w:ascii="楷体" w:hAnsi="楷体" w:eastAsia="楷体" w:cs="楷体"/>
          <w:color w:val="000000" w:themeColor="text1"/>
          <w:sz w:val="24"/>
          <w:highlight w:val="none"/>
          <w:lang w:eastAsia="zh-CN"/>
          <w14:textFill>
            <w14:solidFill>
              <w14:schemeClr w14:val="tx1"/>
            </w14:solidFill>
          </w14:textFill>
        </w:rPr>
        <w:t>规划三路： 道路长度361.479m，道路宽度15m，双向 2 车道；</w:t>
      </w:r>
    </w:p>
    <w:p w14:paraId="1A3DF730">
      <w:pPr>
        <w:snapToGrid w:val="0"/>
        <w:spacing w:line="360" w:lineRule="auto"/>
        <w:ind w:firstLine="475" w:firstLineChars="198"/>
        <w:rPr>
          <w:rStyle w:val="7"/>
          <w:rFonts w:hint="eastAsia" w:ascii="楷体" w:hAnsi="楷体" w:eastAsia="楷体" w:cs="楷体"/>
          <w:color w:val="000000" w:themeColor="text1"/>
          <w:sz w:val="24"/>
          <w:highlight w:val="none"/>
          <w:lang w:eastAsia="zh-CN"/>
          <w14:textFill>
            <w14:solidFill>
              <w14:schemeClr w14:val="tx1"/>
            </w14:solidFill>
          </w14:textFill>
        </w:rPr>
      </w:pPr>
      <w:r>
        <w:rPr>
          <w:rStyle w:val="7"/>
          <w:rFonts w:hint="eastAsia" w:ascii="楷体" w:hAnsi="楷体" w:eastAsia="楷体" w:cs="楷体"/>
          <w:color w:val="000000" w:themeColor="text1"/>
          <w:sz w:val="24"/>
          <w:highlight w:val="none"/>
          <w:lang w:eastAsia="zh-CN"/>
          <w14:textFill>
            <w14:solidFill>
              <w14:schemeClr w14:val="tx1"/>
            </w14:solidFill>
          </w14:textFill>
        </w:rPr>
        <w:t>规划四路：道路长度291.840m，道路宽度15m，双向 2 车道。</w:t>
      </w:r>
    </w:p>
    <w:p w14:paraId="62F7CDD8">
      <w:pPr>
        <w:snapToGrid w:val="0"/>
        <w:spacing w:line="360" w:lineRule="auto"/>
        <w:ind w:firstLine="475" w:firstLineChars="198"/>
        <w:rPr>
          <w:rStyle w:val="7"/>
          <w:rFonts w:hint="eastAsia" w:ascii="楷体" w:hAnsi="楷体" w:eastAsia="楷体" w:cs="楷体"/>
          <w:color w:val="000000" w:themeColor="text1"/>
          <w:sz w:val="24"/>
          <w:highlight w:val="none"/>
          <w:lang w:eastAsia="zh-CN"/>
          <w14:textFill>
            <w14:solidFill>
              <w14:schemeClr w14:val="tx1"/>
            </w14:solidFill>
          </w14:textFill>
        </w:rPr>
      </w:pPr>
      <w:r>
        <w:rPr>
          <w:rStyle w:val="7"/>
          <w:rFonts w:hint="eastAsia" w:ascii="楷体" w:hAnsi="楷体" w:eastAsia="楷体" w:cs="楷体"/>
          <w:color w:val="000000" w:themeColor="text1"/>
          <w:sz w:val="24"/>
          <w:highlight w:val="none"/>
          <w:lang w:eastAsia="zh-CN"/>
          <w14:textFill>
            <w14:solidFill>
              <w14:schemeClr w14:val="tx1"/>
            </w14:solidFill>
          </w14:textFill>
        </w:rPr>
        <w:t>道路等级均为城市支路，设计行车速度为20km/h，道路红线宽度均为 15m，水泥混凝土路面，DN300~DN1800排水管；项目建设内容包含道路工程、交通工程、给排水工程、照明工程、电力管沟工程（含规划五路的电力管沟工程）等。具体建设规模以政府主管部门批准和实际实施为准。本项目总投资约3357.817万元，其中，工程费用约2626.170万元，工程建设其他费用约487.859万元，预备费约243.788万元。</w:t>
      </w:r>
    </w:p>
    <w:p w14:paraId="132E1086">
      <w:pPr>
        <w:snapToGrid w:val="0"/>
        <w:spacing w:line="360" w:lineRule="auto"/>
        <w:ind w:firstLine="475" w:firstLineChars="1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4. 工程</w:t>
      </w:r>
      <w:r>
        <w:rPr>
          <w:rStyle w:val="7"/>
          <w:rFonts w:hint="eastAsia" w:ascii="楷体" w:hAnsi="楷体" w:eastAsia="楷体" w:cs="楷体"/>
          <w:color w:val="000000" w:themeColor="text1"/>
          <w:kern w:val="0"/>
          <w:sz w:val="24"/>
          <w:highlight w:val="none"/>
          <w14:textFill>
            <w14:solidFill>
              <w14:schemeClr w14:val="tx1"/>
            </w14:solidFill>
          </w14:textFill>
        </w:rPr>
        <w:t>概算投资额或建筑安装工程费</w:t>
      </w:r>
      <w:r>
        <w:rPr>
          <w:rStyle w:val="7"/>
          <w:rFonts w:hint="eastAsia" w:ascii="楷体" w:hAnsi="楷体" w:eastAsia="楷体" w:cs="楷体"/>
          <w:color w:val="000000" w:themeColor="text1"/>
          <w:sz w:val="24"/>
          <w:highlight w:val="none"/>
          <w14:textFill>
            <w14:solidFill>
              <w14:schemeClr w14:val="tx1"/>
            </w14:solidFill>
          </w14:textFill>
        </w:rPr>
        <w:t>：</w:t>
      </w:r>
      <w:r>
        <w:rPr>
          <w:rStyle w:val="7"/>
          <w:rFonts w:hint="eastAsia" w:ascii="楷体" w:hAnsi="楷体" w:eastAsia="楷体" w:cs="楷体"/>
          <w:color w:val="000000" w:themeColor="text1"/>
          <w:kern w:val="0"/>
          <w:sz w:val="24"/>
          <w:highlight w:val="none"/>
          <w:lang w:val="en-US" w:eastAsia="zh-CN"/>
          <w14:textFill>
            <w14:solidFill>
              <w14:schemeClr w14:val="tx1"/>
            </w14:solidFill>
          </w14:textFill>
        </w:rPr>
        <w:t>约</w:t>
      </w:r>
      <w:r>
        <w:rPr>
          <w:rStyle w:val="7"/>
          <w:rFonts w:hint="eastAsia" w:ascii="楷体" w:hAnsi="楷体" w:eastAsia="楷体" w:cs="楷体"/>
          <w:color w:val="000000" w:themeColor="text1"/>
          <w:kern w:val="0"/>
          <w:sz w:val="24"/>
          <w:highlight w:val="none"/>
          <w:u w:val="single"/>
          <w:lang w:val="en-US" w:eastAsia="zh-CN"/>
          <w14:textFill>
            <w14:solidFill>
              <w14:schemeClr w14:val="tx1"/>
            </w14:solidFill>
          </w14:textFill>
        </w:rPr>
        <w:t xml:space="preserve">       </w:t>
      </w:r>
      <w:r>
        <w:rPr>
          <w:rStyle w:val="7"/>
          <w:rFonts w:hint="eastAsia" w:ascii="楷体" w:hAnsi="楷体" w:eastAsia="楷体" w:cs="楷体"/>
          <w:color w:val="000000" w:themeColor="text1"/>
          <w:kern w:val="0"/>
          <w:sz w:val="24"/>
          <w:highlight w:val="none"/>
          <w:lang w:val="en-US" w:eastAsia="zh-CN"/>
          <w14:textFill>
            <w14:solidFill>
              <w14:schemeClr w14:val="tx1"/>
            </w14:solidFill>
          </w14:textFill>
        </w:rPr>
        <w:t>万</w:t>
      </w:r>
      <w:r>
        <w:rPr>
          <w:rStyle w:val="7"/>
          <w:rFonts w:hint="eastAsia" w:ascii="楷体" w:hAnsi="楷体" w:eastAsia="楷体" w:cs="楷体"/>
          <w:color w:val="000000" w:themeColor="text1"/>
          <w:kern w:val="0"/>
          <w:sz w:val="24"/>
          <w:highlight w:val="none"/>
          <w14:textFill>
            <w14:solidFill>
              <w14:schemeClr w14:val="tx1"/>
            </w14:solidFill>
          </w14:textFill>
        </w:rPr>
        <w:t>元。</w:t>
      </w:r>
    </w:p>
    <w:p w14:paraId="5681E347">
      <w:pPr>
        <w:spacing w:line="360" w:lineRule="auto"/>
        <w:ind w:firstLine="477" w:firstLineChars="198"/>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color w:val="000000" w:themeColor="text1"/>
          <w:sz w:val="24"/>
          <w:highlight w:val="none"/>
          <w14:textFill>
            <w14:solidFill>
              <w14:schemeClr w14:val="tx1"/>
            </w14:solidFill>
          </w14:textFill>
        </w:rPr>
        <w:t>二、词语限定</w:t>
      </w:r>
    </w:p>
    <w:p w14:paraId="75109255">
      <w:pPr>
        <w:snapToGrid w:val="0"/>
        <w:spacing w:line="360" w:lineRule="auto"/>
        <w:ind w:firstLine="475" w:firstLineChars="1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协议书中相关词语的含义与通用条件中的定义与解释相同。</w:t>
      </w:r>
    </w:p>
    <w:p w14:paraId="7A246535">
      <w:pPr>
        <w:spacing w:line="360" w:lineRule="auto"/>
        <w:ind w:firstLine="477" w:firstLineChars="198"/>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color w:val="000000" w:themeColor="text1"/>
          <w:sz w:val="24"/>
          <w:highlight w:val="none"/>
          <w14:textFill>
            <w14:solidFill>
              <w14:schemeClr w14:val="tx1"/>
            </w14:solidFill>
          </w14:textFill>
        </w:rPr>
        <w:t>三、组成本合同的文件</w:t>
      </w:r>
    </w:p>
    <w:p w14:paraId="2A84E803">
      <w:pPr>
        <w:snapToGrid w:val="0"/>
        <w:spacing w:line="360" w:lineRule="auto"/>
        <w:ind w:firstLine="475" w:firstLineChars="1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 协议书；</w:t>
      </w:r>
    </w:p>
    <w:p w14:paraId="611CF505">
      <w:pPr>
        <w:snapToGrid w:val="0"/>
        <w:spacing w:line="360" w:lineRule="auto"/>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w:t>
      </w:r>
      <w:r>
        <w:rPr>
          <w:rStyle w:val="7"/>
          <w:rFonts w:hint="eastAsia" w:ascii="楷体" w:hAnsi="楷体" w:eastAsia="楷体" w:cs="楷体"/>
          <w:color w:val="000000" w:themeColor="text1"/>
          <w:sz w:val="24"/>
          <w:highlight w:val="none"/>
          <w:lang w:val="en-US" w:eastAsia="zh-CN"/>
          <w14:textFill>
            <w14:solidFill>
              <w14:schemeClr w14:val="tx1"/>
            </w14:solidFill>
          </w14:textFill>
        </w:rPr>
        <w:t>2</w:t>
      </w:r>
      <w:r>
        <w:rPr>
          <w:rStyle w:val="7"/>
          <w:rFonts w:hint="eastAsia" w:ascii="楷体" w:hAnsi="楷体" w:eastAsia="楷体" w:cs="楷体"/>
          <w:color w:val="000000" w:themeColor="text1"/>
          <w:sz w:val="24"/>
          <w:highlight w:val="none"/>
          <w14:textFill>
            <w14:solidFill>
              <w14:schemeClr w14:val="tx1"/>
            </w14:solidFill>
          </w14:textFill>
        </w:rPr>
        <w:t>. 专用条件；</w:t>
      </w:r>
    </w:p>
    <w:p w14:paraId="0EE3DBD4">
      <w:pPr>
        <w:snapToGrid w:val="0"/>
        <w:spacing w:line="360" w:lineRule="auto"/>
        <w:ind w:firstLine="475" w:firstLineChars="198"/>
        <w:rPr>
          <w:rStyle w:val="7"/>
          <w:rFonts w:ascii="楷体" w:hAnsi="楷体" w:eastAsia="楷体" w:cs="楷体"/>
          <w:color w:val="000000" w:themeColor="text1"/>
          <w:sz w:val="48"/>
          <w:highlight w:val="none"/>
          <w14:textFill>
            <w14:solidFill>
              <w14:schemeClr w14:val="tx1"/>
            </w14:solidFill>
          </w14:textFill>
        </w:rPr>
      </w:pPr>
      <w:r>
        <w:rPr>
          <w:rStyle w:val="7"/>
          <w:rFonts w:hint="eastAsia" w:ascii="楷体" w:hAnsi="楷体" w:eastAsia="楷体" w:cs="楷体"/>
          <w:color w:val="000000" w:themeColor="text1"/>
          <w:sz w:val="24"/>
          <w:highlight w:val="none"/>
          <w:lang w:val="en-US" w:eastAsia="zh-CN"/>
          <w14:textFill>
            <w14:solidFill>
              <w14:schemeClr w14:val="tx1"/>
            </w14:solidFill>
          </w14:textFill>
        </w:rPr>
        <w:t>3</w:t>
      </w:r>
      <w:r>
        <w:rPr>
          <w:rStyle w:val="7"/>
          <w:rFonts w:hint="eastAsia" w:ascii="楷体" w:hAnsi="楷体" w:eastAsia="楷体" w:cs="楷体"/>
          <w:color w:val="000000" w:themeColor="text1"/>
          <w:sz w:val="24"/>
          <w:highlight w:val="none"/>
          <w14:textFill>
            <w14:solidFill>
              <w14:schemeClr w14:val="tx1"/>
            </w14:solidFill>
          </w14:textFill>
        </w:rPr>
        <w:t>. 通用条件；</w:t>
      </w:r>
    </w:p>
    <w:p w14:paraId="5883D2FB">
      <w:pPr>
        <w:snapToGrid w:val="0"/>
        <w:spacing w:line="360" w:lineRule="auto"/>
        <w:ind w:firstLine="475" w:firstLineChars="1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本合同签订后，双方依法签订的补充协议也是本合同文件的组成部分。</w:t>
      </w:r>
    </w:p>
    <w:p w14:paraId="3410C7DA">
      <w:pPr>
        <w:spacing w:line="360" w:lineRule="auto"/>
        <w:ind w:firstLine="477" w:firstLineChars="198"/>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color w:val="000000" w:themeColor="text1"/>
          <w:sz w:val="24"/>
          <w:highlight w:val="none"/>
          <w14:textFill>
            <w14:solidFill>
              <w14:schemeClr w14:val="tx1"/>
            </w14:solidFill>
          </w14:textFill>
        </w:rPr>
        <w:t>四、签约酬金</w:t>
      </w:r>
    </w:p>
    <w:p w14:paraId="54054102">
      <w:pPr>
        <w:snapToGrid w:val="0"/>
        <w:spacing w:line="360" w:lineRule="auto"/>
        <w:ind w:firstLine="480" w:firstLineChars="200"/>
        <w:rPr>
          <w:rStyle w:val="7"/>
          <w:rFonts w:hint="eastAsia" w:ascii="楷体" w:hAnsi="楷体" w:eastAsia="楷体" w:cs="楷体"/>
          <w:color w:val="000000" w:themeColor="text1"/>
          <w:sz w:val="24"/>
          <w:szCs w:val="22"/>
          <w:highlight w:val="none"/>
          <w:u w:val="single" w:color="000000"/>
          <w:lang w:eastAsia="zh-CN"/>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监理酬金：</w:t>
      </w: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以委托人实际开工之日或项目报建总监锁定之日起（以先发生为准）至竣工验收合格</w:t>
      </w:r>
      <w:r>
        <w:rPr>
          <w:rStyle w:val="7"/>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且总监解锁之日</w:t>
      </w: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止</w:t>
      </w:r>
      <w:r>
        <w:rPr>
          <w:rStyle w:val="7"/>
          <w:rFonts w:hint="eastAsia" w:ascii="楷体" w:hAnsi="楷体" w:eastAsia="楷体" w:cs="楷体"/>
          <w:color w:val="000000" w:themeColor="text1"/>
          <w:sz w:val="24"/>
          <w:szCs w:val="22"/>
          <w:highlight w:val="none"/>
          <w:u w:val="single" w:color="000000"/>
          <w:lang w:eastAsia="zh-CN"/>
          <w14:textFill>
            <w14:solidFill>
              <w14:schemeClr w14:val="tx1"/>
            </w14:solidFill>
          </w14:textFill>
        </w:rPr>
        <w:t>，</w:t>
      </w: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按</w:t>
      </w:r>
      <w:r>
        <w:rPr>
          <w:rStyle w:val="7"/>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 xml:space="preserve">     </w:t>
      </w: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收取监理费</w:t>
      </w:r>
      <w:r>
        <w:rPr>
          <w:rStyle w:val="7"/>
          <w:rFonts w:hint="eastAsia" w:ascii="楷体" w:hAnsi="楷体" w:eastAsia="楷体" w:cs="楷体"/>
          <w:color w:val="000000" w:themeColor="text1"/>
          <w:sz w:val="24"/>
          <w:szCs w:val="22"/>
          <w:highlight w:val="none"/>
          <w:u w:val="single" w:color="000000"/>
          <w:lang w:eastAsia="zh-CN"/>
          <w14:textFill>
            <w14:solidFill>
              <w14:schemeClr w14:val="tx1"/>
            </w14:solidFill>
          </w14:textFill>
        </w:rPr>
        <w:t>。</w:t>
      </w:r>
    </w:p>
    <w:p w14:paraId="5F086765">
      <w:pPr>
        <w:snapToGrid w:val="0"/>
        <w:spacing w:line="360" w:lineRule="auto"/>
        <w:ind w:firstLine="480" w:firstLineChars="200"/>
        <w:rPr>
          <w:rStyle w:val="7"/>
          <w:rFonts w:hint="default" w:ascii="楷体" w:hAnsi="楷体" w:eastAsia="楷体" w:cs="楷体"/>
          <w:color w:val="000000" w:themeColor="text1"/>
          <w:sz w:val="24"/>
          <w:szCs w:val="22"/>
          <w:highlight w:val="none"/>
          <w:u w:val="single" w:color="000000"/>
          <w:lang w:val="en-US" w:eastAsia="zh-CN"/>
          <w14:textFill>
            <w14:solidFill>
              <w14:schemeClr w14:val="tx1"/>
            </w14:solidFill>
          </w14:textFill>
        </w:rPr>
      </w:pP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支付方式：</w:t>
      </w:r>
      <w:r>
        <w:rPr>
          <w:rStyle w:val="7"/>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 xml:space="preserve">              预付款为：   </w:t>
      </w:r>
    </w:p>
    <w:p w14:paraId="1457A240">
      <w:pPr>
        <w:snapToGrid w:val="0"/>
        <w:spacing w:line="360" w:lineRule="auto"/>
        <w:ind w:firstLine="480" w:firstLineChars="200"/>
        <w:rPr>
          <w:rStyle w:val="7"/>
          <w:rFonts w:hint="eastAsia" w:ascii="楷体" w:hAnsi="楷体" w:eastAsia="楷体" w:cs="楷体"/>
          <w:color w:val="000000" w:themeColor="text1"/>
          <w:sz w:val="24"/>
          <w:szCs w:val="22"/>
          <w:highlight w:val="none"/>
          <w:u w:val="single" w:color="000000"/>
          <w14:textFill>
            <w14:solidFill>
              <w14:schemeClr w14:val="tx1"/>
            </w14:solidFill>
          </w14:textFill>
        </w:rPr>
      </w:pPr>
      <w:r>
        <w:rPr>
          <w:rStyle w:val="7"/>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根据施工进度</w:t>
      </w: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每满一个月后7天内，由委托人向监理人</w:t>
      </w:r>
      <w:r>
        <w:rPr>
          <w:rStyle w:val="7"/>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办理</w:t>
      </w: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支付，监理人需提供等额增值税发票。</w:t>
      </w:r>
    </w:p>
    <w:p w14:paraId="06B88791">
      <w:pPr>
        <w:spacing w:line="360" w:lineRule="auto"/>
        <w:ind w:firstLine="477" w:firstLineChars="198"/>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color w:val="000000" w:themeColor="text1"/>
          <w:sz w:val="24"/>
          <w:highlight w:val="none"/>
          <w14:textFill>
            <w14:solidFill>
              <w14:schemeClr w14:val="tx1"/>
            </w14:solidFill>
          </w14:textFill>
        </w:rPr>
        <w:t>五、期限</w:t>
      </w:r>
    </w:p>
    <w:p w14:paraId="167AEA13">
      <w:pPr>
        <w:snapToGrid w:val="0"/>
        <w:spacing w:line="360" w:lineRule="auto"/>
        <w:ind w:firstLine="600" w:firstLineChars="250"/>
        <w:jc w:val="left"/>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 xml:space="preserve">1. </w:t>
      </w:r>
      <w:r>
        <w:rPr>
          <w:rStyle w:val="7"/>
          <w:rFonts w:hint="eastAsia" w:ascii="楷体" w:hAnsi="楷体" w:eastAsia="楷体" w:cs="楷体"/>
          <w:color w:val="000000" w:themeColor="text1"/>
          <w:sz w:val="24"/>
          <w:highlight w:val="none"/>
          <w14:textFill>
            <w14:solidFill>
              <w14:schemeClr w14:val="tx1"/>
            </w14:solidFill>
          </w14:textFill>
        </w:rPr>
        <w:t>监理期限：</w:t>
      </w:r>
      <w:r>
        <w:rPr>
          <w:rStyle w:val="7"/>
          <w:rFonts w:hint="eastAsia" w:ascii="楷体" w:hAnsi="楷体" w:eastAsia="楷体" w:cs="楷体"/>
          <w:color w:val="000000" w:themeColor="text1"/>
          <w:sz w:val="24"/>
          <w:szCs w:val="22"/>
          <w:highlight w:val="none"/>
          <w:u w:val="single"/>
          <w14:textFill>
            <w14:solidFill>
              <w14:schemeClr w14:val="tx1"/>
            </w14:solidFill>
          </w14:textFill>
        </w:rPr>
        <w:t>以委</w:t>
      </w: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托人实际开工之日或项目报建总监锁定之日起（以先发生为准）至竣工验收合格</w:t>
      </w:r>
      <w:r>
        <w:rPr>
          <w:rStyle w:val="7"/>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且总监解锁之日</w:t>
      </w: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止。</w:t>
      </w:r>
    </w:p>
    <w:p w14:paraId="1BA26CA7">
      <w:pPr>
        <w:spacing w:line="360" w:lineRule="auto"/>
        <w:ind w:firstLine="477" w:firstLineChars="198"/>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color w:val="000000" w:themeColor="text1"/>
          <w:sz w:val="24"/>
          <w:highlight w:val="none"/>
          <w14:textFill>
            <w14:solidFill>
              <w14:schemeClr w14:val="tx1"/>
            </w14:solidFill>
          </w14:textFill>
        </w:rPr>
        <w:t>六、双方承诺</w:t>
      </w:r>
    </w:p>
    <w:p w14:paraId="609913DB">
      <w:pPr>
        <w:spacing w:line="400" w:lineRule="atLeast"/>
        <w:ind w:firstLine="475" w:firstLineChars="198"/>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 监理人向委托人承诺，按照本合同约定</w:t>
      </w:r>
      <w:r>
        <w:rPr>
          <w:rStyle w:val="7"/>
          <w:rFonts w:hint="eastAsia" w:ascii="楷体" w:hAnsi="楷体" w:eastAsia="楷体" w:cs="楷体"/>
          <w:color w:val="000000" w:themeColor="text1"/>
          <w:kern w:val="0"/>
          <w:sz w:val="24"/>
          <w:highlight w:val="none"/>
          <w14:textFill>
            <w14:solidFill>
              <w14:schemeClr w14:val="tx1"/>
            </w14:solidFill>
          </w14:textFill>
        </w:rPr>
        <w:t>提供</w:t>
      </w:r>
      <w:r>
        <w:rPr>
          <w:rStyle w:val="7"/>
          <w:rFonts w:hint="eastAsia" w:ascii="楷体" w:hAnsi="楷体" w:eastAsia="楷体" w:cs="楷体"/>
          <w:color w:val="000000" w:themeColor="text1"/>
          <w:sz w:val="24"/>
          <w:highlight w:val="none"/>
          <w14:textFill>
            <w14:solidFill>
              <w14:schemeClr w14:val="tx1"/>
            </w14:solidFill>
          </w14:textFill>
        </w:rPr>
        <w:t>监理与相关服务。</w:t>
      </w:r>
    </w:p>
    <w:p w14:paraId="52C3DE6A">
      <w:pPr>
        <w:spacing w:line="400" w:lineRule="atLeast"/>
        <w:ind w:firstLine="475" w:firstLineChars="1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 委托人向监理人承诺，按照本合同约定派遣相应的人员，提供</w:t>
      </w:r>
      <w:r>
        <w:rPr>
          <w:rStyle w:val="7"/>
          <w:rFonts w:hint="eastAsia" w:ascii="楷体" w:hAnsi="楷体" w:eastAsia="楷体" w:cs="楷体"/>
          <w:bCs/>
          <w:color w:val="000000" w:themeColor="text1"/>
          <w:sz w:val="24"/>
          <w:highlight w:val="none"/>
          <w14:textFill>
            <w14:solidFill>
              <w14:schemeClr w14:val="tx1"/>
            </w14:solidFill>
          </w14:textFill>
        </w:rPr>
        <w:t>房屋、资料</w:t>
      </w:r>
      <w:r>
        <w:rPr>
          <w:rStyle w:val="7"/>
          <w:rFonts w:hint="eastAsia" w:ascii="楷体" w:hAnsi="楷体" w:eastAsia="楷体" w:cs="楷体"/>
          <w:color w:val="000000" w:themeColor="text1"/>
          <w:sz w:val="24"/>
          <w:highlight w:val="none"/>
          <w14:textFill>
            <w14:solidFill>
              <w14:schemeClr w14:val="tx1"/>
            </w14:solidFill>
          </w14:textFill>
        </w:rPr>
        <w:t>、设备，并按本合同约定支付酬金。</w:t>
      </w:r>
    </w:p>
    <w:p w14:paraId="12C68977">
      <w:pPr>
        <w:spacing w:line="400" w:lineRule="atLeast"/>
        <w:ind w:firstLine="477" w:firstLineChars="198"/>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color w:val="000000" w:themeColor="text1"/>
          <w:sz w:val="24"/>
          <w:highlight w:val="none"/>
          <w14:textFill>
            <w14:solidFill>
              <w14:schemeClr w14:val="tx1"/>
            </w14:solidFill>
          </w14:textFill>
        </w:rPr>
        <w:t>七、合同订立</w:t>
      </w:r>
    </w:p>
    <w:p w14:paraId="57414FF2">
      <w:pPr>
        <w:snapToGrid w:val="0"/>
        <w:spacing w:line="400" w:lineRule="atLeast"/>
        <w:ind w:firstLine="475" w:firstLineChars="1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 订立时间：</w:t>
      </w:r>
      <w:r>
        <w:rPr>
          <w:rStyle w:val="7"/>
          <w:rFonts w:hint="eastAsia" w:ascii="楷体" w:hAnsi="楷体" w:eastAsia="楷体" w:cs="楷体"/>
          <w:color w:val="000000" w:themeColor="text1"/>
          <w:sz w:val="24"/>
          <w:highlight w:val="none"/>
          <w:lang w:val="en-US" w:eastAsia="zh-CN"/>
          <w14:textFill>
            <w14:solidFill>
              <w14:schemeClr w14:val="tx1"/>
            </w14:solidFill>
          </w14:textFill>
        </w:rPr>
        <w:t xml:space="preserve">   </w:t>
      </w:r>
      <w:r>
        <w:rPr>
          <w:rStyle w:val="7"/>
          <w:rFonts w:hint="eastAsia" w:ascii="楷体" w:hAnsi="楷体" w:eastAsia="楷体" w:cs="楷体"/>
          <w:color w:val="000000" w:themeColor="text1"/>
          <w:sz w:val="24"/>
          <w:highlight w:val="none"/>
          <w14:textFill>
            <w14:solidFill>
              <w14:schemeClr w14:val="tx1"/>
            </w14:solidFill>
          </w14:textFill>
        </w:rPr>
        <w:t>年  月  日。</w:t>
      </w:r>
    </w:p>
    <w:p w14:paraId="7372E741">
      <w:pPr>
        <w:snapToGrid w:val="0"/>
        <w:spacing w:line="400" w:lineRule="atLeast"/>
        <w:ind w:firstLine="475" w:firstLineChars="1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 订立地点：</w:t>
      </w:r>
      <w:r>
        <w:rPr>
          <w:rStyle w:val="7"/>
          <w:rFonts w:hint="eastAsia" w:ascii="楷体" w:hAnsi="楷体" w:eastAsia="楷体" w:cs="楷体"/>
          <w:color w:val="000000" w:themeColor="text1"/>
          <w:sz w:val="24"/>
          <w:highlight w:val="none"/>
          <w:u w:val="single" w:color="auto"/>
          <w:lang w:val="en-US" w:eastAsia="zh-CN"/>
          <w14:textFill>
            <w14:solidFill>
              <w14:schemeClr w14:val="tx1"/>
            </w14:solidFill>
          </w14:textFill>
        </w:rPr>
        <w:t xml:space="preserve">    </w:t>
      </w:r>
      <w:r>
        <w:rPr>
          <w:rStyle w:val="7"/>
          <w:rFonts w:hint="eastAsia" w:ascii="楷体" w:hAnsi="楷体" w:eastAsia="楷体" w:cs="楷体"/>
          <w:b/>
          <w:color w:val="000000" w:themeColor="text1"/>
          <w:sz w:val="24"/>
          <w:highlight w:val="none"/>
          <w:u w:val="single" w:color="auto"/>
          <w14:textFill>
            <w14:solidFill>
              <w14:schemeClr w14:val="tx1"/>
            </w14:solidFill>
          </w14:textFill>
        </w:rPr>
        <w:t xml:space="preserve"> </w:t>
      </w:r>
      <w:r>
        <w:rPr>
          <w:rStyle w:val="7"/>
          <w:rFonts w:hint="eastAsia" w:ascii="楷体" w:hAnsi="楷体" w:eastAsia="楷体" w:cs="楷体"/>
          <w:color w:val="000000" w:themeColor="text1"/>
          <w:sz w:val="24"/>
          <w:highlight w:val="none"/>
          <w14:textFill>
            <w14:solidFill>
              <w14:schemeClr w14:val="tx1"/>
            </w14:solidFill>
          </w14:textFill>
        </w:rPr>
        <w:t>。</w:t>
      </w:r>
    </w:p>
    <w:p w14:paraId="4924860B">
      <w:pPr>
        <w:snapToGrid w:val="0"/>
        <w:spacing w:line="400" w:lineRule="atLeast"/>
        <w:ind w:firstLine="475" w:firstLineChars="1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3. 本合同一式</w:t>
      </w:r>
      <w:r>
        <w:rPr>
          <w:rStyle w:val="7"/>
          <w:rFonts w:hint="eastAsia" w:ascii="楷体" w:hAnsi="楷体" w:eastAsia="楷体" w:cs="楷体"/>
          <w:color w:val="000000" w:themeColor="text1"/>
          <w:sz w:val="24"/>
          <w:highlight w:val="none"/>
          <w:lang w:val="en-US" w:eastAsia="zh-CN"/>
          <w14:textFill>
            <w14:solidFill>
              <w14:schemeClr w14:val="tx1"/>
            </w14:solidFill>
          </w14:textFill>
        </w:rPr>
        <w:t xml:space="preserve"> </w:t>
      </w:r>
      <w:r>
        <w:rPr>
          <w:rStyle w:val="7"/>
          <w:rFonts w:hint="eastAsia" w:ascii="楷体" w:hAnsi="楷体" w:eastAsia="楷体" w:cs="楷体"/>
          <w:color w:val="000000" w:themeColor="text1"/>
          <w:sz w:val="24"/>
          <w:highlight w:val="none"/>
          <w:u w:val="single" w:color="auto"/>
          <w:lang w:val="en-US" w:eastAsia="zh-CN"/>
          <w14:textFill>
            <w14:solidFill>
              <w14:schemeClr w14:val="tx1"/>
            </w14:solidFill>
          </w14:textFill>
        </w:rPr>
        <w:t xml:space="preserve">  </w:t>
      </w:r>
      <w:r>
        <w:rPr>
          <w:rStyle w:val="7"/>
          <w:rFonts w:hint="eastAsia" w:ascii="楷体" w:hAnsi="楷体" w:eastAsia="楷体" w:cs="楷体"/>
          <w:color w:val="000000" w:themeColor="text1"/>
          <w:sz w:val="24"/>
          <w:highlight w:val="none"/>
          <w:u w:val="single" w:color="auto"/>
          <w14:textFill>
            <w14:solidFill>
              <w14:schemeClr w14:val="tx1"/>
            </w14:solidFill>
          </w14:textFill>
        </w:rPr>
        <w:t xml:space="preserve"> </w:t>
      </w:r>
      <w:r>
        <w:rPr>
          <w:rStyle w:val="7"/>
          <w:rFonts w:hint="eastAsia" w:ascii="楷体" w:hAnsi="楷体" w:eastAsia="楷体" w:cs="楷体"/>
          <w:color w:val="000000" w:themeColor="text1"/>
          <w:sz w:val="24"/>
          <w:highlight w:val="none"/>
          <w14:textFill>
            <w14:solidFill>
              <w14:schemeClr w14:val="tx1"/>
            </w14:solidFill>
          </w14:textFill>
        </w:rPr>
        <w:t>份，具有同等法律效力，双方各执</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w:t>
      </w:r>
      <w:r>
        <w:rPr>
          <w:rStyle w:val="7"/>
          <w:rFonts w:hint="eastAsia" w:ascii="楷体" w:hAnsi="楷体" w:eastAsia="楷体" w:cs="楷体"/>
          <w:color w:val="000000" w:themeColor="text1"/>
          <w:sz w:val="24"/>
          <w:highlight w:val="none"/>
          <w:u w:val="single" w:color="000000"/>
          <w:lang w:val="en-US" w:eastAsia="zh-CN"/>
          <w14:textFill>
            <w14:solidFill>
              <w14:schemeClr w14:val="tx1"/>
            </w14:solidFill>
          </w14:textFill>
        </w:rPr>
        <w:t xml:space="preserve">  </w:t>
      </w:r>
      <w:r>
        <w:rPr>
          <w:rStyle w:val="7"/>
          <w:rFonts w:hint="eastAsia" w:ascii="楷体" w:hAnsi="楷体" w:eastAsia="楷体" w:cs="楷体"/>
          <w:color w:val="000000" w:themeColor="text1"/>
          <w:sz w:val="24"/>
          <w:highlight w:val="none"/>
          <w14:textFill>
            <w14:solidFill>
              <w14:schemeClr w14:val="tx1"/>
            </w14:solidFill>
          </w14:textFill>
        </w:rPr>
        <w:t>份。</w:t>
      </w:r>
    </w:p>
    <w:p w14:paraId="2B9F22DE">
      <w:pPr>
        <w:snapToGrid w:val="0"/>
        <w:spacing w:line="400" w:lineRule="atLeast"/>
        <w:ind w:firstLine="420" w:firstLineChars="175"/>
        <w:rPr>
          <w:rStyle w:val="7"/>
          <w:rFonts w:ascii="楷体" w:hAnsi="楷体" w:eastAsia="楷体" w:cs="楷体"/>
          <w:color w:val="000000" w:themeColor="text1"/>
          <w:sz w:val="24"/>
          <w:highlight w:val="none"/>
          <w14:textFill>
            <w14:solidFill>
              <w14:schemeClr w14:val="tx1"/>
            </w14:solidFill>
          </w14:textFill>
        </w:rPr>
      </w:pPr>
    </w:p>
    <w:tbl>
      <w:tblPr>
        <w:tblStyle w:val="5"/>
        <w:tblW w:w="93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8"/>
        <w:gridCol w:w="457"/>
        <w:gridCol w:w="4643"/>
      </w:tblGrid>
      <w:tr w14:paraId="53FF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4288" w:type="dxa"/>
            <w:tcBorders>
              <w:tl2br w:val="nil"/>
              <w:tr2bl w:val="nil"/>
            </w:tcBorders>
            <w:vAlign w:val="center"/>
          </w:tcPr>
          <w:p w14:paraId="45610302">
            <w:pPr>
              <w:widowControl w:val="0"/>
              <w:spacing w:line="360" w:lineRule="auto"/>
              <w:textAlignment w:val="auto"/>
              <w:rPr>
                <w:color w:val="000000" w:themeColor="text1"/>
                <w:sz w:val="28"/>
                <w:szCs w:val="28"/>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委托人：（签章）</w:t>
            </w:r>
          </w:p>
          <w:p w14:paraId="0C91FBA1">
            <w:pPr>
              <w:widowControl w:val="0"/>
              <w:tabs>
                <w:tab w:val="left" w:pos="1605"/>
              </w:tabs>
              <w:snapToGrid w:val="0"/>
              <w:spacing w:line="360" w:lineRule="auto"/>
              <w:rPr>
                <w:rFonts w:ascii="楷体" w:hAnsi="楷体" w:eastAsia="楷体" w:cs="宋体"/>
                <w:color w:val="000000" w:themeColor="text1"/>
                <w:sz w:val="24"/>
                <w:highlight w:val="none"/>
                <w14:textFill>
                  <w14:solidFill>
                    <w14:schemeClr w14:val="tx1"/>
                  </w14:solidFill>
                </w14:textFill>
              </w:rPr>
            </w:pPr>
          </w:p>
        </w:tc>
        <w:tc>
          <w:tcPr>
            <w:tcW w:w="457" w:type="dxa"/>
            <w:tcBorders>
              <w:tl2br w:val="nil"/>
              <w:tr2bl w:val="nil"/>
            </w:tcBorders>
            <w:vAlign w:val="center"/>
          </w:tcPr>
          <w:p w14:paraId="526B71FF">
            <w:pPr>
              <w:widowControl w:val="0"/>
              <w:tabs>
                <w:tab w:val="left" w:pos="1605"/>
              </w:tabs>
              <w:snapToGrid w:val="0"/>
              <w:spacing w:line="360" w:lineRule="auto"/>
              <w:jc w:val="left"/>
              <w:rPr>
                <w:rFonts w:ascii="楷体" w:hAnsi="楷体" w:eastAsia="楷体" w:cs="宋体"/>
                <w:b/>
                <w:color w:val="000000" w:themeColor="text1"/>
                <w:sz w:val="24"/>
                <w:highlight w:val="none"/>
                <w:u w:val="single" w:color="000000"/>
                <w14:textFill>
                  <w14:solidFill>
                    <w14:schemeClr w14:val="tx1"/>
                  </w14:solidFill>
                </w14:textFill>
              </w:rPr>
            </w:pPr>
          </w:p>
        </w:tc>
        <w:tc>
          <w:tcPr>
            <w:tcW w:w="4643" w:type="dxa"/>
            <w:tcBorders>
              <w:tl2br w:val="nil"/>
              <w:tr2bl w:val="nil"/>
            </w:tcBorders>
            <w:vAlign w:val="top"/>
          </w:tcPr>
          <w:p w14:paraId="3658A577">
            <w:pPr>
              <w:widowControl w:val="0"/>
              <w:tabs>
                <w:tab w:val="left" w:pos="1605"/>
              </w:tabs>
              <w:snapToGrid w:val="0"/>
              <w:spacing w:line="36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监理人：（签章）</w:t>
            </w:r>
            <w:r>
              <w:rPr>
                <w:rStyle w:val="7"/>
                <w:rFonts w:hint="eastAsia" w:ascii="楷体" w:hAnsi="楷体" w:eastAsia="楷体" w:cs="楷体"/>
                <w:b/>
                <w:color w:val="000000" w:themeColor="text1"/>
                <w:sz w:val="24"/>
                <w:highlight w:val="none"/>
                <w:u w:val="single" w:color="000000"/>
                <w:lang w:val="en-US" w:eastAsia="zh-CN"/>
                <w14:textFill>
                  <w14:solidFill>
                    <w14:schemeClr w14:val="tx1"/>
                  </w14:solidFill>
                </w14:textFill>
              </w:rPr>
              <w:t xml:space="preserve"> </w:t>
            </w:r>
          </w:p>
        </w:tc>
      </w:tr>
      <w:tr w14:paraId="1714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vAlign w:val="top"/>
          </w:tcPr>
          <w:p w14:paraId="6108D6BD">
            <w:pPr>
              <w:widowControl w:val="0"/>
              <w:tabs>
                <w:tab w:val="left" w:pos="1605"/>
              </w:tabs>
              <w:snapToGrid w:val="0"/>
              <w:spacing w:line="48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 xml:space="preserve">住  所： </w:t>
            </w:r>
            <w:r>
              <w:rPr>
                <w:rFonts w:hint="eastAsia" w:ascii="楷体" w:hAnsi="楷体" w:eastAsia="楷体" w:cs="宋体"/>
                <w:color w:val="000000" w:themeColor="text1"/>
                <w:sz w:val="24"/>
                <w:highlight w:val="none"/>
                <w:u w:val="single"/>
                <w14:textFill>
                  <w14:solidFill>
                    <w14:schemeClr w14:val="tx1"/>
                  </w14:solidFill>
                </w14:textFill>
              </w:rPr>
              <w:t xml:space="preserve">                               </w:t>
            </w:r>
            <w:r>
              <w:rPr>
                <w:rFonts w:hint="eastAsia" w:ascii="楷体" w:hAnsi="楷体" w:eastAsia="楷体" w:cs="宋体"/>
                <w:color w:val="000000" w:themeColor="text1"/>
                <w:sz w:val="24"/>
                <w:highlight w:val="none"/>
                <w14:textFill>
                  <w14:solidFill>
                    <w14:schemeClr w14:val="tx1"/>
                  </w14:solidFill>
                </w14:textFill>
              </w:rPr>
              <w:t xml:space="preserve"> </w:t>
            </w:r>
          </w:p>
        </w:tc>
        <w:tc>
          <w:tcPr>
            <w:tcW w:w="457" w:type="dxa"/>
            <w:tcBorders>
              <w:tl2br w:val="nil"/>
              <w:tr2bl w:val="nil"/>
            </w:tcBorders>
            <w:vAlign w:val="center"/>
          </w:tcPr>
          <w:p w14:paraId="7184CBEA">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p>
        </w:tc>
        <w:tc>
          <w:tcPr>
            <w:tcW w:w="4643" w:type="dxa"/>
            <w:tcBorders>
              <w:tl2br w:val="nil"/>
              <w:tr2bl w:val="nil"/>
            </w:tcBorders>
            <w:vAlign w:val="top"/>
          </w:tcPr>
          <w:p w14:paraId="7B5223A4">
            <w:pPr>
              <w:widowControl w:val="0"/>
              <w:tabs>
                <w:tab w:val="left" w:pos="1605"/>
              </w:tabs>
              <w:snapToGrid w:val="0"/>
              <w:spacing w:line="36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住所：</w:t>
            </w:r>
            <w:r>
              <w:rPr>
                <w:rFonts w:hint="eastAsia" w:ascii="楷体" w:hAnsi="楷体" w:eastAsia="楷体" w:cs="宋体"/>
                <w:b/>
                <w:color w:val="000000" w:themeColor="text1"/>
                <w:sz w:val="24"/>
                <w:highlight w:val="none"/>
                <w:u w:val="single"/>
                <w:lang w:val="en-US" w:eastAsia="zh-CN"/>
                <w14:textFill>
                  <w14:solidFill>
                    <w14:schemeClr w14:val="tx1"/>
                  </w14:solidFill>
                </w14:textFill>
              </w:rPr>
              <w:t xml:space="preserve"> </w:t>
            </w:r>
            <w:r>
              <w:rPr>
                <w:rFonts w:hint="eastAsia" w:ascii="楷体" w:hAnsi="楷体" w:eastAsia="楷体" w:cs="宋体"/>
                <w:b/>
                <w:color w:val="000000" w:themeColor="text1"/>
                <w:sz w:val="24"/>
                <w:highlight w:val="none"/>
                <w:u w:val="single" w:color="000000"/>
                <w14:textFill>
                  <w14:solidFill>
                    <w14:schemeClr w14:val="tx1"/>
                  </w14:solidFill>
                </w14:textFill>
              </w:rPr>
              <w:t xml:space="preserve">  </w:t>
            </w:r>
          </w:p>
        </w:tc>
      </w:tr>
      <w:tr w14:paraId="560A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vAlign w:val="center"/>
          </w:tcPr>
          <w:p w14:paraId="24FD75DC">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法定代表人或其授权</w:t>
            </w:r>
          </w:p>
          <w:p w14:paraId="3241BAEF">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的代理人：</w:t>
            </w:r>
            <w:r>
              <w:rPr>
                <w:rFonts w:hint="eastAsia" w:ascii="楷体" w:hAnsi="楷体" w:eastAsia="楷体" w:cs="宋体"/>
                <w:color w:val="000000" w:themeColor="text1"/>
                <w:sz w:val="24"/>
                <w:highlight w:val="none"/>
                <w:u w:val="single" w:color="000000"/>
                <w14:textFill>
                  <w14:solidFill>
                    <w14:schemeClr w14:val="tx1"/>
                  </w14:solidFill>
                </w14:textFill>
              </w:rPr>
              <w:t xml:space="preserve">         </w:t>
            </w:r>
            <w:r>
              <w:rPr>
                <w:rFonts w:hint="eastAsia" w:ascii="楷体" w:hAnsi="楷体" w:eastAsia="楷体" w:cs="宋体"/>
                <w:color w:val="000000" w:themeColor="text1"/>
                <w:sz w:val="24"/>
                <w:highlight w:val="none"/>
                <w:u w:val="single" w:color="000000"/>
                <w:lang w:eastAsia="zh-CN"/>
                <w14:textFill>
                  <w14:solidFill>
                    <w14:schemeClr w14:val="tx1"/>
                  </w14:solidFill>
                </w14:textFill>
              </w:rPr>
              <w:t>（</w:t>
            </w:r>
            <w:r>
              <w:rPr>
                <w:rFonts w:hint="eastAsia" w:ascii="楷体" w:hAnsi="楷体" w:eastAsia="楷体" w:cs="宋体"/>
                <w:color w:val="000000" w:themeColor="text1"/>
                <w:sz w:val="24"/>
                <w:highlight w:val="none"/>
                <w:u w:val="single" w:color="000000"/>
                <w14:textFill>
                  <w14:solidFill>
                    <w14:schemeClr w14:val="tx1"/>
                  </w14:solidFill>
                </w14:textFill>
              </w:rPr>
              <w:t>签字或盖章）</w:t>
            </w:r>
            <w:r>
              <w:rPr>
                <w:rFonts w:hint="eastAsia" w:ascii="楷体" w:hAnsi="楷体" w:eastAsia="楷体" w:cs="宋体"/>
                <w:color w:val="000000" w:themeColor="text1"/>
                <w:sz w:val="24"/>
                <w:highlight w:val="none"/>
                <w14:textFill>
                  <w14:solidFill>
                    <w14:schemeClr w14:val="tx1"/>
                  </w14:solidFill>
                </w14:textFill>
              </w:rPr>
              <w:t xml:space="preserve"> </w:t>
            </w:r>
          </w:p>
        </w:tc>
        <w:tc>
          <w:tcPr>
            <w:tcW w:w="457" w:type="dxa"/>
            <w:tcBorders>
              <w:tl2br w:val="nil"/>
              <w:tr2bl w:val="nil"/>
            </w:tcBorders>
            <w:vAlign w:val="center"/>
          </w:tcPr>
          <w:p w14:paraId="36BC3D05">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p>
        </w:tc>
        <w:tc>
          <w:tcPr>
            <w:tcW w:w="4643" w:type="dxa"/>
            <w:tcBorders>
              <w:tl2br w:val="nil"/>
              <w:tr2bl w:val="nil"/>
            </w:tcBorders>
            <w:vAlign w:val="top"/>
          </w:tcPr>
          <w:p w14:paraId="2D405B0F">
            <w:pPr>
              <w:widowControl w:val="0"/>
              <w:tabs>
                <w:tab w:val="left" w:pos="1605"/>
              </w:tabs>
              <w:snapToGrid w:val="0"/>
              <w:spacing w:line="48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法定代表人或其授权</w:t>
            </w:r>
          </w:p>
          <w:p w14:paraId="16CB7F4B">
            <w:pPr>
              <w:widowControl w:val="0"/>
              <w:tabs>
                <w:tab w:val="left" w:pos="1605"/>
              </w:tabs>
              <w:snapToGrid w:val="0"/>
              <w:spacing w:line="48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的代理人：</w:t>
            </w:r>
            <w:r>
              <w:rPr>
                <w:rFonts w:hint="eastAsia" w:ascii="楷体" w:hAnsi="楷体" w:eastAsia="楷体" w:cs="宋体"/>
                <w:color w:val="000000" w:themeColor="text1"/>
                <w:sz w:val="24"/>
                <w:highlight w:val="none"/>
                <w:u w:val="single" w:color="000000"/>
                <w14:textFill>
                  <w14:solidFill>
                    <w14:schemeClr w14:val="tx1"/>
                  </w14:solidFill>
                </w14:textFill>
              </w:rPr>
              <w:t xml:space="preserve">           （签字或盖章）</w:t>
            </w:r>
            <w:r>
              <w:rPr>
                <w:rFonts w:hint="eastAsia" w:ascii="楷体" w:hAnsi="楷体" w:eastAsia="楷体" w:cs="宋体"/>
                <w:color w:val="000000" w:themeColor="text1"/>
                <w:sz w:val="24"/>
                <w:highlight w:val="none"/>
                <w14:textFill>
                  <w14:solidFill>
                    <w14:schemeClr w14:val="tx1"/>
                  </w14:solidFill>
                </w14:textFill>
              </w:rPr>
              <w:t xml:space="preserve"> </w:t>
            </w:r>
          </w:p>
        </w:tc>
      </w:tr>
      <w:tr w14:paraId="727D5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vAlign w:val="top"/>
          </w:tcPr>
          <w:p w14:paraId="3AB88488">
            <w:pPr>
              <w:widowControl w:val="0"/>
              <w:tabs>
                <w:tab w:val="left" w:pos="1605"/>
              </w:tabs>
              <w:snapToGrid w:val="0"/>
              <w:spacing w:line="36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开户银行：</w:t>
            </w:r>
            <w:r>
              <w:rPr>
                <w:rFonts w:hint="eastAsia" w:ascii="楷体" w:hAnsi="楷体" w:eastAsia="楷体" w:cs="宋体"/>
                <w:color w:val="000000" w:themeColor="text1"/>
                <w:sz w:val="24"/>
                <w:highlight w:val="none"/>
                <w:u w:val="single"/>
                <w14:textFill>
                  <w14:solidFill>
                    <w14:schemeClr w14:val="tx1"/>
                  </w14:solidFill>
                </w14:textFill>
              </w:rPr>
              <w:t xml:space="preserve">                            </w:t>
            </w:r>
          </w:p>
        </w:tc>
        <w:tc>
          <w:tcPr>
            <w:tcW w:w="457" w:type="dxa"/>
            <w:tcBorders>
              <w:tl2br w:val="nil"/>
              <w:tr2bl w:val="nil"/>
            </w:tcBorders>
            <w:vAlign w:val="center"/>
          </w:tcPr>
          <w:p w14:paraId="6D4F66CF">
            <w:pPr>
              <w:widowControl w:val="0"/>
              <w:tabs>
                <w:tab w:val="left" w:pos="1605"/>
              </w:tabs>
              <w:snapToGrid w:val="0"/>
              <w:spacing w:line="360" w:lineRule="auto"/>
              <w:rPr>
                <w:rFonts w:ascii="楷体" w:hAnsi="楷体" w:eastAsia="楷体" w:cs="宋体"/>
                <w:color w:val="000000" w:themeColor="text1"/>
                <w:sz w:val="24"/>
                <w:highlight w:val="none"/>
                <w14:textFill>
                  <w14:solidFill>
                    <w14:schemeClr w14:val="tx1"/>
                  </w14:solidFill>
                </w14:textFill>
              </w:rPr>
            </w:pPr>
          </w:p>
        </w:tc>
        <w:tc>
          <w:tcPr>
            <w:tcW w:w="4643" w:type="dxa"/>
            <w:tcBorders>
              <w:tl2br w:val="nil"/>
              <w:tr2bl w:val="nil"/>
            </w:tcBorders>
            <w:vAlign w:val="top"/>
          </w:tcPr>
          <w:p w14:paraId="025E66FE">
            <w:pPr>
              <w:widowControl w:val="0"/>
              <w:tabs>
                <w:tab w:val="left" w:pos="1605"/>
              </w:tabs>
              <w:snapToGrid w:val="0"/>
              <w:spacing w:line="360" w:lineRule="auto"/>
              <w:jc w:val="both"/>
              <w:rPr>
                <w:rFonts w:hint="eastAsia" w:ascii="楷体" w:hAnsi="楷体" w:eastAsia="楷体" w:cs="宋体"/>
                <w:color w:val="000000" w:themeColor="text1"/>
                <w:sz w:val="24"/>
                <w:highlight w:val="none"/>
                <w:lang w:eastAsia="zh-CN"/>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开户银行：</w:t>
            </w:r>
            <w:r>
              <w:rPr>
                <w:rFonts w:hint="eastAsia" w:ascii="楷体" w:hAnsi="楷体" w:eastAsia="楷体" w:cs="宋体"/>
                <w:b/>
                <w:color w:val="000000" w:themeColor="text1"/>
                <w:sz w:val="24"/>
                <w:highlight w:val="none"/>
                <w:u w:val="single"/>
                <w:lang w:val="en-US" w:eastAsia="zh-CN"/>
                <w14:textFill>
                  <w14:solidFill>
                    <w14:schemeClr w14:val="tx1"/>
                  </w14:solidFill>
                </w14:textFill>
              </w:rPr>
              <w:t xml:space="preserve"> </w:t>
            </w:r>
          </w:p>
        </w:tc>
      </w:tr>
      <w:tr w14:paraId="4478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vAlign w:val="top"/>
          </w:tcPr>
          <w:p w14:paraId="10FEAD58">
            <w:pPr>
              <w:widowControl w:val="0"/>
              <w:tabs>
                <w:tab w:val="left" w:pos="1605"/>
              </w:tabs>
              <w:snapToGrid w:val="0"/>
              <w:spacing w:line="48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帐  号：</w:t>
            </w:r>
            <w:r>
              <w:rPr>
                <w:rFonts w:hint="eastAsia" w:ascii="楷体" w:hAnsi="楷体" w:eastAsia="楷体" w:cs="宋体"/>
                <w:color w:val="000000" w:themeColor="text1"/>
                <w:sz w:val="24"/>
                <w:highlight w:val="none"/>
                <w:u w:val="single"/>
                <w14:textFill>
                  <w14:solidFill>
                    <w14:schemeClr w14:val="tx1"/>
                  </w14:solidFill>
                </w14:textFill>
              </w:rPr>
              <w:t xml:space="preserve">                               </w:t>
            </w:r>
          </w:p>
        </w:tc>
        <w:tc>
          <w:tcPr>
            <w:tcW w:w="457" w:type="dxa"/>
            <w:tcBorders>
              <w:tl2br w:val="nil"/>
              <w:tr2bl w:val="nil"/>
            </w:tcBorders>
            <w:vAlign w:val="center"/>
          </w:tcPr>
          <w:p w14:paraId="6A225271">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p>
        </w:tc>
        <w:tc>
          <w:tcPr>
            <w:tcW w:w="4643" w:type="dxa"/>
            <w:tcBorders>
              <w:tl2br w:val="nil"/>
              <w:tr2bl w:val="nil"/>
            </w:tcBorders>
            <w:vAlign w:val="top"/>
          </w:tcPr>
          <w:p w14:paraId="34893701">
            <w:pPr>
              <w:widowControl w:val="0"/>
              <w:tabs>
                <w:tab w:val="left" w:pos="1605"/>
              </w:tabs>
              <w:snapToGrid w:val="0"/>
              <w:spacing w:line="480" w:lineRule="auto"/>
              <w:jc w:val="both"/>
              <w:rPr>
                <w:rFonts w:hint="eastAsia" w:ascii="楷体" w:hAnsi="楷体" w:eastAsia="楷体" w:cs="宋体"/>
                <w:color w:val="000000" w:themeColor="text1"/>
                <w:sz w:val="24"/>
                <w:highlight w:val="none"/>
                <w:lang w:eastAsia="zh-CN"/>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帐  号：</w:t>
            </w:r>
            <w:r>
              <w:rPr>
                <w:rFonts w:hint="eastAsia" w:ascii="楷体" w:hAnsi="楷体" w:eastAsia="楷体" w:cs="宋体"/>
                <w:b/>
                <w:color w:val="000000" w:themeColor="text1"/>
                <w:sz w:val="24"/>
                <w:highlight w:val="none"/>
                <w:u w:val="single"/>
                <w:lang w:val="en-US" w:eastAsia="zh-CN"/>
                <w14:textFill>
                  <w14:solidFill>
                    <w14:schemeClr w14:val="tx1"/>
                  </w14:solidFill>
                </w14:textFill>
              </w:rPr>
              <w:t xml:space="preserve"> </w:t>
            </w:r>
          </w:p>
        </w:tc>
      </w:tr>
      <w:tr w14:paraId="21B2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vAlign w:val="top"/>
          </w:tcPr>
          <w:p w14:paraId="61C4757B">
            <w:pPr>
              <w:widowControl w:val="0"/>
              <w:tabs>
                <w:tab w:val="left" w:pos="1605"/>
              </w:tabs>
              <w:snapToGrid w:val="0"/>
              <w:spacing w:line="48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邮  编：</w:t>
            </w:r>
            <w:r>
              <w:rPr>
                <w:rFonts w:hint="eastAsia" w:ascii="楷体" w:hAnsi="楷体" w:eastAsia="楷体" w:cs="宋体"/>
                <w:color w:val="000000" w:themeColor="text1"/>
                <w:sz w:val="24"/>
                <w:highlight w:val="none"/>
                <w:u w:val="single"/>
                <w14:textFill>
                  <w14:solidFill>
                    <w14:schemeClr w14:val="tx1"/>
                  </w14:solidFill>
                </w14:textFill>
              </w:rPr>
              <w:t xml:space="preserve">                             </w:t>
            </w:r>
          </w:p>
        </w:tc>
        <w:tc>
          <w:tcPr>
            <w:tcW w:w="457" w:type="dxa"/>
            <w:tcBorders>
              <w:tl2br w:val="nil"/>
              <w:tr2bl w:val="nil"/>
            </w:tcBorders>
            <w:vAlign w:val="center"/>
          </w:tcPr>
          <w:p w14:paraId="1B5639E1">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p>
        </w:tc>
        <w:tc>
          <w:tcPr>
            <w:tcW w:w="4643" w:type="dxa"/>
            <w:tcBorders>
              <w:tl2br w:val="nil"/>
              <w:tr2bl w:val="nil"/>
            </w:tcBorders>
            <w:vAlign w:val="top"/>
          </w:tcPr>
          <w:p w14:paraId="3FF96DDE">
            <w:pPr>
              <w:widowControl w:val="0"/>
              <w:tabs>
                <w:tab w:val="left" w:pos="1605"/>
              </w:tabs>
              <w:snapToGrid w:val="0"/>
              <w:spacing w:line="480" w:lineRule="auto"/>
              <w:jc w:val="both"/>
              <w:rPr>
                <w:rFonts w:hint="eastAsia" w:ascii="楷体" w:hAnsi="楷体" w:eastAsia="楷体" w:cs="宋体"/>
                <w:color w:val="000000" w:themeColor="text1"/>
                <w:sz w:val="24"/>
                <w:highlight w:val="none"/>
                <w:lang w:eastAsia="zh-CN"/>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邮  编：</w:t>
            </w:r>
            <w:r>
              <w:rPr>
                <w:rFonts w:hint="eastAsia" w:ascii="楷体" w:hAnsi="楷体" w:eastAsia="楷体" w:cs="宋体"/>
                <w:b/>
                <w:color w:val="000000" w:themeColor="text1"/>
                <w:sz w:val="24"/>
                <w:highlight w:val="none"/>
                <w:u w:val="single" w:color="000000"/>
                <w:lang w:val="en-US" w:eastAsia="zh-CN"/>
                <w14:textFill>
                  <w14:solidFill>
                    <w14:schemeClr w14:val="tx1"/>
                  </w14:solidFill>
                </w14:textFill>
              </w:rPr>
              <w:t xml:space="preserve"> </w:t>
            </w:r>
          </w:p>
        </w:tc>
      </w:tr>
      <w:tr w14:paraId="79FF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88" w:type="dxa"/>
            <w:tcBorders>
              <w:tl2br w:val="nil"/>
              <w:tr2bl w:val="nil"/>
            </w:tcBorders>
            <w:vAlign w:val="top"/>
          </w:tcPr>
          <w:p w14:paraId="3DCA36A4">
            <w:pPr>
              <w:widowControl w:val="0"/>
              <w:tabs>
                <w:tab w:val="left" w:pos="1605"/>
              </w:tabs>
              <w:snapToGrid w:val="0"/>
              <w:spacing w:line="48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电  话：</w:t>
            </w:r>
            <w:r>
              <w:rPr>
                <w:rFonts w:hint="eastAsia" w:ascii="楷体" w:hAnsi="楷体" w:eastAsia="楷体" w:cs="宋体"/>
                <w:color w:val="000000" w:themeColor="text1"/>
                <w:sz w:val="24"/>
                <w:highlight w:val="none"/>
                <w:u w:val="single"/>
                <w14:textFill>
                  <w14:solidFill>
                    <w14:schemeClr w14:val="tx1"/>
                  </w14:solidFill>
                </w14:textFill>
              </w:rPr>
              <w:t xml:space="preserve">                             </w:t>
            </w:r>
          </w:p>
        </w:tc>
        <w:tc>
          <w:tcPr>
            <w:tcW w:w="457" w:type="dxa"/>
            <w:tcBorders>
              <w:tl2br w:val="nil"/>
              <w:tr2bl w:val="nil"/>
            </w:tcBorders>
            <w:vAlign w:val="center"/>
          </w:tcPr>
          <w:p w14:paraId="5F82871E">
            <w:pPr>
              <w:widowControl w:val="0"/>
              <w:tabs>
                <w:tab w:val="left" w:pos="1605"/>
              </w:tabs>
              <w:snapToGrid w:val="0"/>
              <w:spacing w:line="480" w:lineRule="auto"/>
              <w:rPr>
                <w:rFonts w:ascii="楷体" w:hAnsi="楷体" w:eastAsia="楷体" w:cs="宋体"/>
                <w:color w:val="000000" w:themeColor="text1"/>
                <w:sz w:val="24"/>
                <w:highlight w:val="none"/>
                <w14:textFill>
                  <w14:solidFill>
                    <w14:schemeClr w14:val="tx1"/>
                  </w14:solidFill>
                </w14:textFill>
              </w:rPr>
            </w:pPr>
          </w:p>
        </w:tc>
        <w:tc>
          <w:tcPr>
            <w:tcW w:w="4643" w:type="dxa"/>
            <w:tcBorders>
              <w:tl2br w:val="nil"/>
              <w:tr2bl w:val="nil"/>
            </w:tcBorders>
            <w:vAlign w:val="top"/>
          </w:tcPr>
          <w:p w14:paraId="473654F2">
            <w:pPr>
              <w:widowControl w:val="0"/>
              <w:tabs>
                <w:tab w:val="left" w:pos="1605"/>
              </w:tabs>
              <w:snapToGrid w:val="0"/>
              <w:spacing w:line="480" w:lineRule="auto"/>
              <w:jc w:val="both"/>
              <w:rPr>
                <w:rFonts w:ascii="楷体" w:hAnsi="楷体" w:eastAsia="楷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4"/>
                <w:highlight w:val="none"/>
                <w14:textFill>
                  <w14:solidFill>
                    <w14:schemeClr w14:val="tx1"/>
                  </w14:solidFill>
                </w14:textFill>
              </w:rPr>
              <w:t>电  话：</w:t>
            </w:r>
            <w:r>
              <w:rPr>
                <w:rFonts w:hint="eastAsia" w:ascii="楷体" w:hAnsi="楷体" w:eastAsia="楷体" w:cs="宋体"/>
                <w:b/>
                <w:color w:val="000000" w:themeColor="text1"/>
                <w:sz w:val="24"/>
                <w:highlight w:val="none"/>
                <w:u w:val="single"/>
                <w:lang w:val="en-US" w:eastAsia="zh-CN"/>
                <w14:textFill>
                  <w14:solidFill>
                    <w14:schemeClr w14:val="tx1"/>
                  </w14:solidFill>
                </w14:textFill>
              </w:rPr>
              <w:t xml:space="preserve"> </w:t>
            </w:r>
            <w:r>
              <w:rPr>
                <w:rFonts w:hint="eastAsia" w:ascii="楷体" w:hAnsi="楷体" w:eastAsia="楷体" w:cs="宋体"/>
                <w:b/>
                <w:color w:val="000000" w:themeColor="text1"/>
                <w:sz w:val="24"/>
                <w:highlight w:val="none"/>
                <w:u w:val="single"/>
                <w14:textFill>
                  <w14:solidFill>
                    <w14:schemeClr w14:val="tx1"/>
                  </w14:solidFill>
                </w14:textFill>
              </w:rPr>
              <w:t xml:space="preserve"> </w:t>
            </w:r>
            <w:r>
              <w:rPr>
                <w:rFonts w:hint="eastAsia" w:ascii="楷体" w:hAnsi="楷体" w:eastAsia="楷体" w:cs="楷体"/>
                <w:color w:val="000000" w:themeColor="text1"/>
                <w:sz w:val="24"/>
                <w:highlight w:val="none"/>
                <w:u w:val="single"/>
                <w14:textFill>
                  <w14:solidFill>
                    <w14:schemeClr w14:val="tx1"/>
                  </w14:solidFill>
                </w14:textFill>
              </w:rPr>
              <w:t xml:space="preserve"> </w:t>
            </w:r>
          </w:p>
        </w:tc>
      </w:tr>
    </w:tbl>
    <w:p w14:paraId="201C3A37">
      <w:pPr>
        <w:snapToGrid w:val="0"/>
        <w:spacing w:line="400" w:lineRule="atLeast"/>
        <w:rPr>
          <w:rStyle w:val="7"/>
          <w:rFonts w:ascii="楷体" w:hAnsi="楷体" w:eastAsia="楷体" w:cs="楷体"/>
          <w:color w:val="000000" w:themeColor="text1"/>
          <w:sz w:val="24"/>
          <w:highlight w:val="none"/>
          <w14:textFill>
            <w14:solidFill>
              <w14:schemeClr w14:val="tx1"/>
            </w14:solidFill>
          </w14:textFill>
        </w:rPr>
      </w:pPr>
    </w:p>
    <w:p w14:paraId="38F2854E">
      <w:pPr>
        <w:tabs>
          <w:tab w:val="left" w:pos="3120"/>
        </w:tabs>
        <w:spacing w:line="360" w:lineRule="auto"/>
        <w:ind w:firstLine="1687" w:firstLineChars="600"/>
        <w:rPr>
          <w:rStyle w:val="7"/>
          <w:rFonts w:ascii="楷体" w:hAnsi="楷体" w:eastAsia="楷体" w:cs="楷体"/>
          <w:b/>
          <w:bCs/>
          <w:color w:val="000000" w:themeColor="text1"/>
          <w:sz w:val="28"/>
          <w:szCs w:val="28"/>
          <w:highlight w:val="none"/>
          <w14:textFill>
            <w14:solidFill>
              <w14:schemeClr w14:val="tx1"/>
            </w14:solidFill>
          </w14:textFill>
        </w:rPr>
      </w:pPr>
    </w:p>
    <w:p w14:paraId="3C4BB54E">
      <w:pPr>
        <w:tabs>
          <w:tab w:val="left" w:pos="3120"/>
        </w:tabs>
        <w:spacing w:line="360" w:lineRule="auto"/>
        <w:ind w:firstLine="1687" w:firstLineChars="600"/>
        <w:rPr>
          <w:rStyle w:val="7"/>
          <w:rFonts w:ascii="楷体" w:hAnsi="楷体" w:eastAsia="楷体" w:cs="楷体"/>
          <w:b/>
          <w:bCs/>
          <w:color w:val="000000" w:themeColor="text1"/>
          <w:sz w:val="28"/>
          <w:szCs w:val="28"/>
          <w:highlight w:val="none"/>
          <w14:textFill>
            <w14:solidFill>
              <w14:schemeClr w14:val="tx1"/>
            </w14:solidFill>
          </w14:textFill>
        </w:rPr>
      </w:pPr>
    </w:p>
    <w:p w14:paraId="3867EEFD">
      <w:pPr>
        <w:jc w:val="center"/>
        <w:rPr>
          <w:rStyle w:val="7"/>
          <w:rFonts w:ascii="楷体" w:hAnsi="楷体" w:eastAsia="楷体" w:cs="楷体"/>
          <w:b/>
          <w:color w:val="000000" w:themeColor="text1"/>
          <w:sz w:val="28"/>
          <w:szCs w:val="28"/>
          <w:highlight w:val="none"/>
          <w14:textFill>
            <w14:solidFill>
              <w14:schemeClr w14:val="tx1"/>
            </w14:solidFill>
          </w14:textFill>
        </w:rPr>
      </w:pPr>
      <w:r>
        <w:rPr>
          <w:rStyle w:val="7"/>
          <w:rFonts w:hint="eastAsia" w:ascii="楷体" w:hAnsi="楷体" w:eastAsia="楷体" w:cs="楷体"/>
          <w:b/>
          <w:bCs/>
          <w:color w:val="000000" w:themeColor="text1"/>
          <w:sz w:val="28"/>
          <w:szCs w:val="28"/>
          <w:highlight w:val="none"/>
          <w14:textFill>
            <w14:solidFill>
              <w14:schemeClr w14:val="tx1"/>
            </w14:solidFill>
          </w14:textFill>
        </w:rPr>
        <w:t>第二</w:t>
      </w:r>
      <w:r>
        <w:rPr>
          <w:rStyle w:val="7"/>
          <w:rFonts w:hint="eastAsia" w:ascii="楷体" w:hAnsi="楷体" w:eastAsia="楷体" w:cs="楷体"/>
          <w:b/>
          <w:color w:val="000000" w:themeColor="text1"/>
          <w:sz w:val="28"/>
          <w:szCs w:val="28"/>
          <w:highlight w:val="none"/>
          <w14:textFill>
            <w14:solidFill>
              <w14:schemeClr w14:val="tx1"/>
            </w14:solidFill>
          </w14:textFill>
        </w:rPr>
        <w:t>部分  通用条件</w:t>
      </w:r>
    </w:p>
    <w:p w14:paraId="0536318E">
      <w:pPr>
        <w:spacing w:line="280" w:lineRule="exact"/>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color w:val="000000" w:themeColor="text1"/>
          <w:sz w:val="24"/>
          <w:highlight w:val="none"/>
          <w14:textFill>
            <w14:solidFill>
              <w14:schemeClr w14:val="tx1"/>
            </w14:solidFill>
          </w14:textFill>
        </w:rPr>
        <w:t>1. 定义与解释</w:t>
      </w:r>
    </w:p>
    <w:p w14:paraId="030D5F8C">
      <w:pPr>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1.1 </w:t>
      </w:r>
      <w:r>
        <w:rPr>
          <w:rStyle w:val="7"/>
          <w:rFonts w:hint="eastAsia" w:ascii="楷体" w:hAnsi="楷体" w:eastAsia="楷体" w:cs="楷体"/>
          <w:bCs/>
          <w:color w:val="000000" w:themeColor="text1"/>
          <w:sz w:val="24"/>
          <w:highlight w:val="none"/>
          <w14:textFill>
            <w14:solidFill>
              <w14:schemeClr w14:val="tx1"/>
            </w14:solidFill>
          </w14:textFill>
        </w:rPr>
        <w:t>定义</w:t>
      </w:r>
    </w:p>
    <w:p w14:paraId="5356E879">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除根据上下文另有其意义外，组成本合同的全部文件中的下列名词和用语应具有本款所赋予的含义：</w:t>
      </w:r>
    </w:p>
    <w:p w14:paraId="44F7115E">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1.1.1 “工程”是指按照本合同约定实施监理与相关服务的建设工程。</w:t>
      </w:r>
    </w:p>
    <w:p w14:paraId="3D4EBFDC">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1.1.2 “委托人”是指本合同中委托监理与相关服务的一方，及其合法的继承人或受让人。</w:t>
      </w:r>
    </w:p>
    <w:p w14:paraId="543D97A7">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1.1.3 “监理人”是指本合同中提供监理与相关服务的一方，及其合法的继承人。</w:t>
      </w:r>
    </w:p>
    <w:p w14:paraId="71E01981">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1.1.4 “承包人”是指在工程范围内与委托人签订勘察、设计、施工等有关合同的当事人，及其合法的继承人。</w:t>
      </w:r>
    </w:p>
    <w:p w14:paraId="0C72F5EF">
      <w:pPr>
        <w:pStyle w:val="8"/>
        <w:spacing w:line="280" w:lineRule="exact"/>
        <w:ind w:firstLine="480" w:firstLineChars="200"/>
        <w:rPr>
          <w:rStyle w:val="7"/>
          <w:rFonts w:ascii="楷体" w:hAnsi="楷体" w:eastAsia="楷体" w:cs="楷体"/>
          <w:color w:val="000000" w:themeColor="text1"/>
          <w:highlight w:val="none"/>
          <w14:textFill>
            <w14:solidFill>
              <w14:schemeClr w14:val="tx1"/>
            </w14:solidFill>
          </w14:textFill>
        </w:rPr>
      </w:pPr>
      <w:r>
        <w:rPr>
          <w:rStyle w:val="7"/>
          <w:rFonts w:hint="eastAsia" w:ascii="楷体" w:hAnsi="楷体" w:eastAsia="楷体" w:cs="楷体"/>
          <w:color w:val="000000" w:themeColor="text1"/>
          <w:highlight w:val="none"/>
          <w14:textFill>
            <w14:solidFill>
              <w14:schemeClr w14:val="tx1"/>
            </w14:solidFill>
          </w14:textFill>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DDC0870">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1.1.6 “相关服务”是指监理人受委托人的委托 ，按照本合同约定，在勘察、设计、保修等阶段提供的服务活动。</w:t>
      </w:r>
    </w:p>
    <w:p w14:paraId="7A3D8649">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1.1.7 “正常工作”指本合同订立时通用条件和专用条件中约定的监理人的工作。</w:t>
      </w:r>
    </w:p>
    <w:p w14:paraId="0B7FF6F3">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1.1.8 “附加工作”是指本合同约定的正常工作以外监理人的工作。</w:t>
      </w:r>
    </w:p>
    <w:p w14:paraId="0FF3C2F8">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1.1.9 “项目监理机构”是指监理人派驻工程负责履行本合同的组织机构。</w:t>
      </w:r>
    </w:p>
    <w:p w14:paraId="23E155CE">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1.1.10 “总监理工程师”是指由监理人的法定代表人书面授权，全面负责履行本合同、主持项目监理机构工作的注册监理工程师。</w:t>
      </w:r>
    </w:p>
    <w:p w14:paraId="58C837E4">
      <w:pPr>
        <w:snapToGrid w:val="0"/>
        <w:spacing w:line="280" w:lineRule="exact"/>
        <w:ind w:firstLine="475" w:firstLineChars="1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1.1.11 “酬金”是指监理人履行本合同义务，委托人按照本合同约定给付监理人的金额。</w:t>
      </w:r>
    </w:p>
    <w:p w14:paraId="7A71F71B">
      <w:pPr>
        <w:snapToGrid w:val="0"/>
        <w:spacing w:line="280" w:lineRule="exact"/>
        <w:ind w:firstLine="475" w:firstLineChars="1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1.1.12 “正常工作</w:t>
      </w:r>
      <w:r>
        <w:rPr>
          <w:rStyle w:val="7"/>
          <w:rFonts w:hint="eastAsia" w:ascii="楷体" w:hAnsi="楷体" w:eastAsia="楷体" w:cs="楷体"/>
          <w:color w:val="000000" w:themeColor="text1"/>
          <w:kern w:val="0"/>
          <w:sz w:val="24"/>
          <w:highlight w:val="none"/>
          <w14:textFill>
            <w14:solidFill>
              <w14:schemeClr w14:val="tx1"/>
            </w14:solidFill>
          </w14:textFill>
        </w:rPr>
        <w:t>酬金”</w:t>
      </w:r>
      <w:r>
        <w:rPr>
          <w:rStyle w:val="7"/>
          <w:rFonts w:hint="eastAsia" w:ascii="楷体" w:hAnsi="楷体" w:eastAsia="楷体" w:cs="楷体"/>
          <w:color w:val="000000" w:themeColor="text1"/>
          <w:sz w:val="24"/>
          <w:highlight w:val="none"/>
          <w14:textFill>
            <w14:solidFill>
              <w14:schemeClr w14:val="tx1"/>
            </w14:solidFill>
          </w14:textFill>
        </w:rPr>
        <w:t>是指监理人完成正常工作，委托人应给付监理人并在协议书中载明的签约</w:t>
      </w:r>
      <w:r>
        <w:rPr>
          <w:rStyle w:val="7"/>
          <w:rFonts w:hint="eastAsia" w:ascii="楷体" w:hAnsi="楷体" w:eastAsia="楷体" w:cs="楷体"/>
          <w:color w:val="000000" w:themeColor="text1"/>
          <w:kern w:val="0"/>
          <w:sz w:val="24"/>
          <w:highlight w:val="none"/>
          <w14:textFill>
            <w14:solidFill>
              <w14:schemeClr w14:val="tx1"/>
            </w14:solidFill>
          </w14:textFill>
        </w:rPr>
        <w:t>酬金额</w:t>
      </w:r>
      <w:r>
        <w:rPr>
          <w:rStyle w:val="7"/>
          <w:rFonts w:hint="eastAsia" w:ascii="楷体" w:hAnsi="楷体" w:eastAsia="楷体" w:cs="楷体"/>
          <w:color w:val="000000" w:themeColor="text1"/>
          <w:sz w:val="24"/>
          <w:highlight w:val="none"/>
          <w14:textFill>
            <w14:solidFill>
              <w14:schemeClr w14:val="tx1"/>
            </w14:solidFill>
          </w14:textFill>
        </w:rPr>
        <w:t>。</w:t>
      </w:r>
    </w:p>
    <w:p w14:paraId="3571EB23">
      <w:pPr>
        <w:snapToGrid w:val="0"/>
        <w:spacing w:line="280" w:lineRule="exact"/>
        <w:ind w:firstLine="475" w:firstLineChars="1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1.1.13 “附加工作酬金”是指监理人完成附加工作，委托人应给付监理人的金额。</w:t>
      </w:r>
    </w:p>
    <w:p w14:paraId="39B0DAB5">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1.1.14 “一方”是指委托人或监理人；“双方”是指委托人和监理人；“第三方”是指除委托人和监理人以外的有关方。</w:t>
      </w:r>
    </w:p>
    <w:p w14:paraId="25188F36">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1.1.15 “书面形式”是指合同书、信件和数据电文（包括电报、电传、传真、电子数据交换和电子邮件）等可以有形地表现所载内容的形式。</w:t>
      </w:r>
    </w:p>
    <w:p w14:paraId="435E5163">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1.1.16 “天”是指第一天零时至第二天零时的时间。</w:t>
      </w:r>
    </w:p>
    <w:p w14:paraId="0DA1511F">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1.1.17“月”是指按公历从一个月中任何一天开始的一个公历月时间。</w:t>
      </w:r>
    </w:p>
    <w:p w14:paraId="7E5636E6">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51809300">
      <w:pPr>
        <w:snapToGrid w:val="0"/>
        <w:spacing w:line="280" w:lineRule="exact"/>
        <w:ind w:left="210" w:leftChars="1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bCs/>
          <w:color w:val="000000" w:themeColor="text1"/>
          <w:sz w:val="24"/>
          <w:highlight w:val="none"/>
          <w14:textFill>
            <w14:solidFill>
              <w14:schemeClr w14:val="tx1"/>
            </w14:solidFill>
          </w14:textFill>
        </w:rPr>
        <w:t xml:space="preserve">1.2 </w:t>
      </w:r>
      <w:r>
        <w:rPr>
          <w:rStyle w:val="7"/>
          <w:rFonts w:hint="eastAsia" w:ascii="楷体" w:hAnsi="楷体" w:eastAsia="楷体" w:cs="楷体"/>
          <w:color w:val="000000" w:themeColor="text1"/>
          <w:sz w:val="24"/>
          <w:highlight w:val="none"/>
          <w14:textFill>
            <w14:solidFill>
              <w14:schemeClr w14:val="tx1"/>
            </w14:solidFill>
          </w14:textFill>
        </w:rPr>
        <w:t>解释</w:t>
      </w:r>
    </w:p>
    <w:p w14:paraId="1BB9044B">
      <w:pPr>
        <w:tabs>
          <w:tab w:val="left" w:pos="6140"/>
        </w:tabs>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1.2.1本合同使用中文书写、解释和说明。如专用条件约定使用两种及以上语言文字时，应以中文为准。</w:t>
      </w:r>
    </w:p>
    <w:p w14:paraId="200A89D0">
      <w:pPr>
        <w:tabs>
          <w:tab w:val="left" w:pos="6140"/>
        </w:tabs>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1.2.2 组成本合同的下列文件彼此应能相互解释、互为说明。除专用条件另有约定外，本合同文件的解释顺序如下：</w:t>
      </w:r>
    </w:p>
    <w:p w14:paraId="399AF577">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（1）协议书；</w:t>
      </w:r>
    </w:p>
    <w:p w14:paraId="76F3502F">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（2）中标通知书（适用于招标工程）或委托书（适用于非招标工程）；</w:t>
      </w:r>
    </w:p>
    <w:p w14:paraId="747D0BCA">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（3）专用条件；</w:t>
      </w:r>
    </w:p>
    <w:p w14:paraId="49B3AF25">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（4）通用条件；</w:t>
      </w:r>
    </w:p>
    <w:p w14:paraId="7F6E3711">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（5）投标文件（适用于招标工程）或监理与相关服务建议书（适用于非招标工程）。</w:t>
      </w:r>
    </w:p>
    <w:p w14:paraId="6331070A">
      <w:pPr>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双方签订的补充协议与其他文件发生矛盾或歧义时，属于同一类内容的文件，应以最新签署的为准。</w:t>
      </w:r>
    </w:p>
    <w:p w14:paraId="2075F403">
      <w:pPr>
        <w:spacing w:line="280" w:lineRule="exact"/>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color w:val="000000" w:themeColor="text1"/>
          <w:sz w:val="24"/>
          <w:highlight w:val="none"/>
          <w14:textFill>
            <w14:solidFill>
              <w14:schemeClr w14:val="tx1"/>
            </w14:solidFill>
          </w14:textFill>
        </w:rPr>
        <w:t>2. 监理人的义务</w:t>
      </w:r>
    </w:p>
    <w:p w14:paraId="2EA25085">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2.1 监理的范围和工作内容</w:t>
      </w:r>
    </w:p>
    <w:p w14:paraId="62CF6A6F">
      <w:pPr>
        <w:snapToGrid w:val="0"/>
        <w:spacing w:line="280" w:lineRule="exact"/>
        <w:ind w:left="420" w:left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2.1.1 监理范围在专用条件中约定。</w:t>
      </w:r>
    </w:p>
    <w:p w14:paraId="3D6E13A7">
      <w:pPr>
        <w:snapToGrid w:val="0"/>
        <w:spacing w:line="280" w:lineRule="exact"/>
        <w:ind w:left="420" w:left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2.1.2 除专用条件另有约定外，监理工作内容包括：</w:t>
      </w:r>
    </w:p>
    <w:p w14:paraId="65796028">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（1）收到工程设计文件后编制监理规划，并在第一次工地会议7天前报委托人。根据有关规定和监理工作需要，编制监理实施细则；</w:t>
      </w:r>
    </w:p>
    <w:p w14:paraId="02F83C03">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（2）熟悉工程设计文件，并参加由委托人主持的图纸会审和设计交底会议；</w:t>
      </w:r>
    </w:p>
    <w:p w14:paraId="55D09D65">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（3）参加由委托人主持的第一次工地会议；主持监理例会并根据工程需要主持或参加专题会议；</w:t>
      </w:r>
    </w:p>
    <w:p w14:paraId="17D92158">
      <w:pPr>
        <w:snapToGrid w:val="0"/>
        <w:spacing w:line="280" w:lineRule="exact"/>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（4）审查施工承包人提交的施工组织设计，重点审查其中的质量安全技术措施、专项施工方案与工程建设强制性标准的符合性；</w:t>
      </w:r>
    </w:p>
    <w:p w14:paraId="70DDCDB1">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（5）检查施工承包人工程质量、安全生产管理制度及组织机构和人员资格； </w:t>
      </w:r>
    </w:p>
    <w:p w14:paraId="041483E9">
      <w:pPr>
        <w:snapToGrid w:val="0"/>
        <w:spacing w:line="280" w:lineRule="exact"/>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（6）检查施工承包人专职安全生产管理人员的配备情况；</w:t>
      </w:r>
    </w:p>
    <w:p w14:paraId="25D31578">
      <w:pPr>
        <w:snapToGrid w:val="0"/>
        <w:spacing w:line="280" w:lineRule="exact"/>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（7）审查施工承包人提交的施工进度计划，核查承包人对施工进度计划的调整；</w:t>
      </w:r>
    </w:p>
    <w:p w14:paraId="4A802F97">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（8）检查施工承包人的试验室；</w:t>
      </w:r>
    </w:p>
    <w:p w14:paraId="3A0420A3">
      <w:pPr>
        <w:snapToGrid w:val="0"/>
        <w:spacing w:line="280" w:lineRule="exact"/>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（9）审核施工分包人资质条件；</w:t>
      </w:r>
    </w:p>
    <w:p w14:paraId="70926E21">
      <w:pPr>
        <w:spacing w:line="280" w:lineRule="exact"/>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（10）查验施工承包人的施工测量放线成果；</w:t>
      </w:r>
    </w:p>
    <w:p w14:paraId="3BA6933D">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（11）审查工程开工条件，对条件具备的签发开工令；</w:t>
      </w:r>
    </w:p>
    <w:p w14:paraId="299B4B0C">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（12）审查施工承包人报送的工程材料、构配件、设备质量证明文件的有效性和符合性，并按规定对用于工程的材料采取平行检验或见证取样方式进行抽检；</w:t>
      </w:r>
    </w:p>
    <w:p w14:paraId="390E9F5D">
      <w:pPr>
        <w:snapToGrid w:val="0"/>
        <w:spacing w:line="280" w:lineRule="exact"/>
        <w:ind w:left="-97" w:leftChars="-46"/>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（13）审核施工承包人提交的工程款支付申请，签发或出具工程款支付证书，并报委托人审核、批准；</w:t>
      </w:r>
    </w:p>
    <w:p w14:paraId="450FAB54">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（14）在巡视、旁站和检验过程中，发现工程质量、施工安全存在事故隐患的，要求施工承包人整改并报委托人；</w:t>
      </w:r>
    </w:p>
    <w:p w14:paraId="576AB4CE">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（15）经委托人同意，签发工程暂停令和复工令；</w:t>
      </w:r>
    </w:p>
    <w:p w14:paraId="5F792896">
      <w:pPr>
        <w:snapToGrid w:val="0"/>
        <w:spacing w:line="280" w:lineRule="exact"/>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（16）审查施工承包人提交的采用新材料、新工艺、新技术、新设备的论证材料及相关验收标准；</w:t>
      </w:r>
    </w:p>
    <w:p w14:paraId="3C241161">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（17）验收隐蔽工程、分部分项工程；</w:t>
      </w:r>
    </w:p>
    <w:p w14:paraId="79CAEF1C">
      <w:pPr>
        <w:snapToGrid w:val="0"/>
        <w:spacing w:line="280" w:lineRule="exact"/>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（18）审查施工承包人提交的工程变更申请，协调处理施工进度调整、费用索赔、合同争议等事项；</w:t>
      </w:r>
    </w:p>
    <w:p w14:paraId="0013E2BE">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（19）审查施工承包人提交的竣工验收申请，编写工程质量评估报告；</w:t>
      </w:r>
    </w:p>
    <w:p w14:paraId="59DB211D">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（20）参加工程竣工验收，签署竣工验收意见；</w:t>
      </w:r>
    </w:p>
    <w:p w14:paraId="53373D3A">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（21）审查施工承包人提交的竣工结算申请并报委托人；</w:t>
      </w:r>
    </w:p>
    <w:p w14:paraId="4588859E">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（22）编制、整理工程监理归档文件并报委托人。</w:t>
      </w:r>
    </w:p>
    <w:p w14:paraId="03CA86F8">
      <w:pPr>
        <w:spacing w:line="280" w:lineRule="exact"/>
        <w:ind w:left="420" w:leftChars="200" w:firstLine="120" w:firstLineChars="5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2.1.3 相关服务的范围和内容在专用条件中约定。</w:t>
      </w:r>
    </w:p>
    <w:p w14:paraId="1FFFA438">
      <w:pPr>
        <w:spacing w:line="280" w:lineRule="exact"/>
        <w:ind w:firstLine="240" w:firstLine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2.2 </w:t>
      </w:r>
      <w:r>
        <w:rPr>
          <w:rStyle w:val="7"/>
          <w:rFonts w:hint="eastAsia" w:ascii="楷体" w:hAnsi="楷体" w:eastAsia="楷体" w:cs="楷体"/>
          <w:bCs/>
          <w:color w:val="000000" w:themeColor="text1"/>
          <w:sz w:val="24"/>
          <w:highlight w:val="none"/>
          <w14:textFill>
            <w14:solidFill>
              <w14:schemeClr w14:val="tx1"/>
            </w14:solidFill>
          </w14:textFill>
        </w:rPr>
        <w:t>监理与相关服务依据</w:t>
      </w:r>
    </w:p>
    <w:p w14:paraId="73D0FE1D">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2.2.1 监理依据包括：</w:t>
      </w:r>
    </w:p>
    <w:p w14:paraId="7EDB5385">
      <w:pPr>
        <w:snapToGrid w:val="0"/>
        <w:spacing w:line="280" w:lineRule="exact"/>
        <w:ind w:firstLine="600" w:firstLineChars="25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（1）适用的法律、行政法规及部门规章；</w:t>
      </w:r>
    </w:p>
    <w:p w14:paraId="477B4B36">
      <w:pPr>
        <w:snapToGrid w:val="0"/>
        <w:spacing w:line="280" w:lineRule="exact"/>
        <w:ind w:firstLine="600" w:firstLineChars="25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（2）与工程有关的标准；</w:t>
      </w:r>
    </w:p>
    <w:p w14:paraId="0A67DC44">
      <w:pPr>
        <w:snapToGrid w:val="0"/>
        <w:spacing w:line="280" w:lineRule="exact"/>
        <w:ind w:firstLine="600" w:firstLineChars="25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（3）工程设计及有关文件；</w:t>
      </w:r>
    </w:p>
    <w:p w14:paraId="2C28C2C9">
      <w:pPr>
        <w:snapToGrid w:val="0"/>
        <w:spacing w:line="280" w:lineRule="exact"/>
        <w:ind w:firstLine="600" w:firstLineChars="25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（4）本合同及委托人与第三方签订的与实施工程有关的其他合同。</w:t>
      </w:r>
    </w:p>
    <w:p w14:paraId="4EB7A044">
      <w:pPr>
        <w:spacing w:line="280" w:lineRule="exact"/>
        <w:ind w:left="210" w:leftChars="100" w:firstLine="480" w:firstLineChars="2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bCs/>
          <w:color w:val="000000" w:themeColor="text1"/>
          <w:sz w:val="24"/>
          <w:highlight w:val="none"/>
          <w14:textFill>
            <w14:solidFill>
              <w14:schemeClr w14:val="tx1"/>
            </w14:solidFill>
          </w14:textFill>
        </w:rPr>
        <w:t>双方根据工程的行业和地域特点，在专用条件中具体约定监理依据。</w:t>
      </w:r>
    </w:p>
    <w:p w14:paraId="304D1A45">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2.2.2 相关服务依据在专用条件中约定。</w:t>
      </w:r>
    </w:p>
    <w:p w14:paraId="28A6861D">
      <w:pPr>
        <w:spacing w:line="280" w:lineRule="exact"/>
        <w:ind w:firstLine="240" w:firstLine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2.3 项目监理机构和人员</w:t>
      </w:r>
    </w:p>
    <w:p w14:paraId="3B1AB255">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2.3.1 监理人应组建满足工作需要的项目监理机构，配备必要的检测设备。项目监理机构的主要人员应具有相应的资格条件。</w:t>
      </w:r>
    </w:p>
    <w:p w14:paraId="67C8ABA3">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2.3.2本合同履行过程中，总监理工程师及重要岗位监理人员应保持相对稳定，以保证监理工作正常进行。</w:t>
      </w:r>
    </w:p>
    <w:p w14:paraId="0B4E86AB">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3E082D22">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2.3.4 监理人应及时更换有下列情形之一的监理人员：</w:t>
      </w:r>
    </w:p>
    <w:p w14:paraId="5466E3EC">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（1）严重过失行为的；</w:t>
      </w:r>
    </w:p>
    <w:p w14:paraId="5DF10EB9">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（2）有违法行为不能履行职责的；</w:t>
      </w:r>
    </w:p>
    <w:p w14:paraId="4F242705">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（3）涉嫌犯罪的；</w:t>
      </w:r>
    </w:p>
    <w:p w14:paraId="46281A87">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（4）不能胜任岗位职责的；</w:t>
      </w:r>
    </w:p>
    <w:p w14:paraId="565A165D">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（5）严重违反职业道德的；</w:t>
      </w:r>
    </w:p>
    <w:p w14:paraId="564CDFB0">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（6）专用条件约定的其他情形。</w:t>
      </w:r>
    </w:p>
    <w:p w14:paraId="5D0D01D5">
      <w:pPr>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2.3.5 委托人可要求监理人更换不能胜任本职工作的项目监理机构人员。</w:t>
      </w:r>
    </w:p>
    <w:p w14:paraId="732F7D13">
      <w:pPr>
        <w:spacing w:line="280" w:lineRule="exact"/>
        <w:ind w:left="210" w:left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2.4 履行职责</w:t>
      </w:r>
    </w:p>
    <w:p w14:paraId="38FDE6D6">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监理人应遵循职业道德准则和行为规范，严格按照法律法规、工程建设有关标准及本合同履行职责。</w:t>
      </w:r>
    </w:p>
    <w:p w14:paraId="2958076C">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2.4.1 在监理与相关服务范围内，委托人和承包人提出的意见和要求，监理人应及时提出处置意见。当委托人与承包人之间发生合同争议时，监理人应协助委托人、承包人协商解决。</w:t>
      </w:r>
    </w:p>
    <w:p w14:paraId="7B6D1E5F">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2.4.2 当委托人与承包人之间的合同争议提交仲裁机构仲裁或人民法院审理时，监理人应提供必要的证明资料。</w:t>
      </w:r>
    </w:p>
    <w:p w14:paraId="6B27CABE">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2.4.3 监理人应在专用条件约定的授权范围内，处理委托人与承包人所签订合同的变更事宜。如果变更超过授权范围，应以书面形式报委托人批准。</w:t>
      </w:r>
    </w:p>
    <w:p w14:paraId="33850182">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在紧急情况下，为了保护财产和人身安全，监理人所发出的指令未能事先报委托人批准时，应在发出指令后的24小时内以书面形式报委托人。</w:t>
      </w:r>
    </w:p>
    <w:p w14:paraId="2B9F38B9">
      <w:pPr>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2.4.4 除专用条件另有约定外，监理人发现承包人的人员不能胜任本职工作的，有权要求承包人予以调换。</w:t>
      </w:r>
    </w:p>
    <w:p w14:paraId="321DCB5C">
      <w:pPr>
        <w:spacing w:line="280" w:lineRule="exact"/>
        <w:ind w:left="210" w:left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2.5 提交报告</w:t>
      </w:r>
    </w:p>
    <w:p w14:paraId="659E6046">
      <w:pPr>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监理人应按专用条件约定的种类、时间和份数向委托人提交监理与相关服务的报告。</w:t>
      </w:r>
    </w:p>
    <w:p w14:paraId="7DF86463">
      <w:pPr>
        <w:spacing w:line="280" w:lineRule="exact"/>
        <w:ind w:left="210" w:left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2.6 文件资料</w:t>
      </w:r>
    </w:p>
    <w:p w14:paraId="6662EF52">
      <w:pPr>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在本合同履行期内，监理人应在现场保留工作所用的图纸、报告及记录监理工</w:t>
      </w:r>
      <w:r>
        <w:rPr>
          <w:rStyle w:val="7"/>
          <w:rFonts w:hint="eastAsia" w:ascii="楷体" w:hAnsi="楷体" w:eastAsia="楷体" w:cs="楷体"/>
          <w:color w:val="000000" w:themeColor="text1"/>
          <w:sz w:val="24"/>
          <w:highlight w:val="none"/>
          <w14:textFill>
            <w14:solidFill>
              <w14:schemeClr w14:val="tx1"/>
            </w14:solidFill>
          </w14:textFill>
        </w:rPr>
        <w:t>作的相关文件。工程竣工后，应当按照档案管理规定将监理有关文件归档。</w:t>
      </w:r>
    </w:p>
    <w:p w14:paraId="1C819B5C">
      <w:pPr>
        <w:spacing w:line="280" w:lineRule="exact"/>
        <w:ind w:left="210" w:left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2.7 使用委托人的财产</w:t>
      </w:r>
    </w:p>
    <w:p w14:paraId="3F7D2079">
      <w:pPr>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监理人无偿使用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15543F2">
      <w:pPr>
        <w:spacing w:line="280" w:lineRule="exact"/>
        <w:rPr>
          <w:rStyle w:val="7"/>
          <w:rFonts w:ascii="楷体" w:hAnsi="楷体" w:eastAsia="楷体" w:cs="楷体"/>
          <w:b/>
          <w:color w:val="000000" w:themeColor="text1"/>
          <w:kern w:val="0"/>
          <w:sz w:val="24"/>
          <w:highlight w:val="none"/>
          <w14:textFill>
            <w14:solidFill>
              <w14:schemeClr w14:val="tx1"/>
            </w14:solidFill>
          </w14:textFill>
        </w:rPr>
      </w:pPr>
      <w:r>
        <w:rPr>
          <w:rStyle w:val="7"/>
          <w:rFonts w:hint="eastAsia" w:ascii="楷体" w:hAnsi="楷体" w:eastAsia="楷体" w:cs="楷体"/>
          <w:b/>
          <w:color w:val="000000" w:themeColor="text1"/>
          <w:kern w:val="0"/>
          <w:sz w:val="24"/>
          <w:highlight w:val="none"/>
          <w14:textFill>
            <w14:solidFill>
              <w14:schemeClr w14:val="tx1"/>
            </w14:solidFill>
          </w14:textFill>
        </w:rPr>
        <w:t>3．委托人的义务</w:t>
      </w:r>
    </w:p>
    <w:p w14:paraId="0ACBC9DC">
      <w:pPr>
        <w:spacing w:line="280" w:lineRule="exact"/>
        <w:ind w:left="210" w:left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3.1 告知</w:t>
      </w:r>
    </w:p>
    <w:p w14:paraId="4B601488">
      <w:pPr>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委托人应在委托人与承包人签订的合同中明确监理人、总监理工程师和授予项目监理机构的权限。如有变更，应及时通知承包人。</w:t>
      </w:r>
    </w:p>
    <w:p w14:paraId="4A01D7C8">
      <w:pPr>
        <w:spacing w:line="280" w:lineRule="exact"/>
        <w:ind w:left="210" w:left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3.2 提供资料</w:t>
      </w:r>
    </w:p>
    <w:p w14:paraId="191C36AA">
      <w:pPr>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委托人应按照合同约定，无偿向监理人提供工程有关的资料。</w:t>
      </w:r>
      <w:r>
        <w:rPr>
          <w:rStyle w:val="7"/>
          <w:rFonts w:hint="eastAsia" w:ascii="楷体" w:hAnsi="楷体" w:eastAsia="楷体" w:cs="楷体"/>
          <w:color w:val="000000" w:themeColor="text1"/>
          <w:sz w:val="24"/>
          <w:highlight w:val="none"/>
          <w14:textFill>
            <w14:solidFill>
              <w14:schemeClr w14:val="tx1"/>
            </w14:solidFill>
          </w14:textFill>
        </w:rPr>
        <w:t>在本合同履行过程中，委托人应及时向监理人提供最新的与工程有关的资料。</w:t>
      </w:r>
    </w:p>
    <w:p w14:paraId="28FE66F0">
      <w:pPr>
        <w:spacing w:line="280" w:lineRule="exact"/>
        <w:ind w:left="210" w:left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3.3 提供工作条件</w:t>
      </w:r>
    </w:p>
    <w:p w14:paraId="29DA94A5">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委托人应为监理人完成监理与相关服务提供必要的条件。</w:t>
      </w:r>
    </w:p>
    <w:p w14:paraId="098CC6D4">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 xml:space="preserve">3.3.1 </w:t>
      </w:r>
      <w:r>
        <w:rPr>
          <w:rStyle w:val="7"/>
          <w:rFonts w:hint="eastAsia" w:ascii="楷体" w:hAnsi="楷体" w:eastAsia="楷体" w:cs="楷体"/>
          <w:color w:val="000000" w:themeColor="text1"/>
          <w:sz w:val="24"/>
          <w:highlight w:val="none"/>
          <w14:textFill>
            <w14:solidFill>
              <w14:schemeClr w14:val="tx1"/>
            </w14:solidFill>
          </w14:textFill>
        </w:rPr>
        <w:t>委托人应按照合同约定，派遣相应的人员，提供房屋、设备，供监理人</w:t>
      </w:r>
      <w:r>
        <w:rPr>
          <w:rStyle w:val="7"/>
          <w:rFonts w:hint="eastAsia" w:ascii="楷体" w:hAnsi="楷体" w:eastAsia="楷体" w:cs="楷体"/>
          <w:color w:val="000000" w:themeColor="text1"/>
          <w:kern w:val="0"/>
          <w:sz w:val="24"/>
          <w:highlight w:val="none"/>
          <w14:textFill>
            <w14:solidFill>
              <w14:schemeClr w14:val="tx1"/>
            </w14:solidFill>
          </w14:textFill>
        </w:rPr>
        <w:t>无偿</w:t>
      </w:r>
      <w:r>
        <w:rPr>
          <w:rStyle w:val="7"/>
          <w:rFonts w:hint="eastAsia" w:ascii="楷体" w:hAnsi="楷体" w:eastAsia="楷体" w:cs="楷体"/>
          <w:color w:val="000000" w:themeColor="text1"/>
          <w:sz w:val="24"/>
          <w:highlight w:val="none"/>
          <w14:textFill>
            <w14:solidFill>
              <w14:schemeClr w14:val="tx1"/>
            </w14:solidFill>
          </w14:textFill>
        </w:rPr>
        <w:t>使用。</w:t>
      </w:r>
    </w:p>
    <w:p w14:paraId="0D89A262">
      <w:pPr>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 xml:space="preserve">3.3.2 </w:t>
      </w:r>
      <w:r>
        <w:rPr>
          <w:rStyle w:val="7"/>
          <w:rFonts w:hint="eastAsia" w:ascii="楷体" w:hAnsi="楷体" w:eastAsia="楷体" w:cs="楷体"/>
          <w:color w:val="000000" w:themeColor="text1"/>
          <w:sz w:val="24"/>
          <w:highlight w:val="none"/>
          <w14:textFill>
            <w14:solidFill>
              <w14:schemeClr w14:val="tx1"/>
            </w14:solidFill>
          </w14:textFill>
        </w:rPr>
        <w:t>委托人应负责协调工程建设中所有外部关系，为监理人履行本合同提供必要的外部条件。</w:t>
      </w:r>
    </w:p>
    <w:p w14:paraId="51C8BDB6">
      <w:pPr>
        <w:snapToGrid w:val="0"/>
        <w:spacing w:line="280" w:lineRule="exact"/>
        <w:ind w:left="210" w:left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3.4 委托人代表</w:t>
      </w:r>
    </w:p>
    <w:p w14:paraId="4C0E9BBB">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委托人应授权一名熟悉工程情况的代表，负责与监理人联系。委托人应在双方签订本合同后7天内，将委托人代表的姓名和职责书面告知监理人。当委托人更换委托人代表时，应提前7天通知监理人。</w:t>
      </w:r>
    </w:p>
    <w:p w14:paraId="05AF9476">
      <w:pPr>
        <w:snapToGrid w:val="0"/>
        <w:spacing w:line="280" w:lineRule="exact"/>
        <w:ind w:left="210" w:left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3.5 委托人意见或要求</w:t>
      </w:r>
    </w:p>
    <w:p w14:paraId="7B2FC111">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在本合同约定的监理与相关服务工作范围内，委托人对承包人的任何意见或要求应通知监理人，由监理人向承包人发出相应指令。</w:t>
      </w:r>
    </w:p>
    <w:p w14:paraId="03299561">
      <w:pPr>
        <w:snapToGrid w:val="0"/>
        <w:spacing w:line="280" w:lineRule="exact"/>
        <w:ind w:left="210" w:left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3.6 答复</w:t>
      </w:r>
    </w:p>
    <w:p w14:paraId="44CA4376">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委托人应在专用条件约定的时间内，对监理人以书面形式提交并要求作出决定的事宜，给予书面答复。逾期未答复的，视为委托人认可。</w:t>
      </w:r>
    </w:p>
    <w:p w14:paraId="1B569355">
      <w:pPr>
        <w:snapToGrid w:val="0"/>
        <w:spacing w:line="280" w:lineRule="exact"/>
        <w:ind w:left="210" w:left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3.7 支付</w:t>
      </w:r>
    </w:p>
    <w:p w14:paraId="02613066">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委托人应按本合同约定，向监理人支付酬金。</w:t>
      </w:r>
    </w:p>
    <w:p w14:paraId="026023FD">
      <w:pPr>
        <w:snapToGrid w:val="0"/>
        <w:spacing w:line="280" w:lineRule="exact"/>
        <w:rPr>
          <w:rStyle w:val="7"/>
          <w:rFonts w:ascii="楷体" w:hAnsi="楷体" w:eastAsia="楷体" w:cs="楷体"/>
          <w:b/>
          <w:bCs/>
          <w:color w:val="000000" w:themeColor="text1"/>
          <w:sz w:val="24"/>
          <w:highlight w:val="none"/>
          <w14:textFill>
            <w14:solidFill>
              <w14:schemeClr w14:val="tx1"/>
            </w14:solidFill>
          </w14:textFill>
        </w:rPr>
      </w:pPr>
      <w:r>
        <w:rPr>
          <w:rStyle w:val="7"/>
          <w:rFonts w:hint="eastAsia" w:ascii="楷体" w:hAnsi="楷体" w:eastAsia="楷体" w:cs="楷体"/>
          <w:b/>
          <w:bCs/>
          <w:color w:val="000000" w:themeColor="text1"/>
          <w:sz w:val="24"/>
          <w:highlight w:val="none"/>
          <w14:textFill>
            <w14:solidFill>
              <w14:schemeClr w14:val="tx1"/>
            </w14:solidFill>
          </w14:textFill>
        </w:rPr>
        <w:t>4. 违约责任</w:t>
      </w:r>
    </w:p>
    <w:p w14:paraId="73CC79BE">
      <w:pPr>
        <w:spacing w:line="280" w:lineRule="exact"/>
        <w:ind w:left="210" w:left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4.1 监理人的违约责任</w:t>
      </w:r>
    </w:p>
    <w:p w14:paraId="547F6425">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监理人未履行本合同义务的，应承担相应的责任。</w:t>
      </w:r>
    </w:p>
    <w:p w14:paraId="1A10F66E">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4.1.1 因监理人违反本合同约定</w:t>
      </w:r>
      <w:r>
        <w:rPr>
          <w:rStyle w:val="7"/>
          <w:rFonts w:hint="eastAsia" w:ascii="楷体" w:hAnsi="楷体" w:eastAsia="楷体" w:cs="楷体"/>
          <w:color w:val="000000" w:themeColor="text1"/>
          <w:sz w:val="24"/>
          <w:highlight w:val="none"/>
          <w14:textFill>
            <w14:solidFill>
              <w14:schemeClr w14:val="tx1"/>
            </w14:solidFill>
          </w14:textFill>
        </w:rPr>
        <w:t>给委托人造成损失的，监理人应当赔偿委托人损失</w:t>
      </w:r>
      <w:r>
        <w:rPr>
          <w:rStyle w:val="7"/>
          <w:rFonts w:hint="eastAsia" w:ascii="楷体" w:hAnsi="楷体" w:eastAsia="楷体" w:cs="楷体"/>
          <w:color w:val="000000" w:themeColor="text1"/>
          <w:kern w:val="0"/>
          <w:sz w:val="24"/>
          <w:highlight w:val="none"/>
          <w14:textFill>
            <w14:solidFill>
              <w14:schemeClr w14:val="tx1"/>
            </w14:solidFill>
          </w14:textFill>
        </w:rPr>
        <w:t>。赔偿金额的确定方法在专用条件中约定。监理人承担部分赔偿责任的，其承担赔偿金额由双方协商确定。</w:t>
      </w:r>
    </w:p>
    <w:p w14:paraId="4C779495">
      <w:pPr>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4.1.2 监理人向委托人的索赔不成立时，监理人应赔偿委托人由此发生的费用。</w:t>
      </w:r>
    </w:p>
    <w:p w14:paraId="7D27AE0D">
      <w:pPr>
        <w:snapToGrid w:val="0"/>
        <w:spacing w:line="280" w:lineRule="exact"/>
        <w:ind w:firstLine="240" w:firstLine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4.2 委托人的违约责任</w:t>
      </w:r>
    </w:p>
    <w:p w14:paraId="32E47A79">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委托人未履行本合同义务的，应承担相应的责任。</w:t>
      </w:r>
    </w:p>
    <w:p w14:paraId="623C8157">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4.2.1 委托人违反本合同约定造成监理人损失的，委托人应予以赔偿。</w:t>
      </w:r>
    </w:p>
    <w:p w14:paraId="25A3B4F8">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4.2.2 委托人向监理人的索赔不成立时，应赔偿监理人由此引起的费用。</w:t>
      </w:r>
    </w:p>
    <w:p w14:paraId="4E6FE01D">
      <w:pPr>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4.2.3 </w:t>
      </w:r>
      <w:r>
        <w:rPr>
          <w:rStyle w:val="7"/>
          <w:rFonts w:hint="eastAsia" w:ascii="楷体" w:hAnsi="楷体" w:eastAsia="楷体" w:cs="楷体"/>
          <w:color w:val="000000" w:themeColor="text1"/>
          <w:kern w:val="0"/>
          <w:sz w:val="24"/>
          <w:highlight w:val="none"/>
          <w14:textFill>
            <w14:solidFill>
              <w14:schemeClr w14:val="tx1"/>
            </w14:solidFill>
          </w14:textFill>
        </w:rPr>
        <w:t>委托人未能按期支付</w:t>
      </w:r>
      <w:r>
        <w:rPr>
          <w:rStyle w:val="7"/>
          <w:rFonts w:hint="eastAsia" w:ascii="楷体" w:hAnsi="楷体" w:eastAsia="楷体" w:cs="楷体"/>
          <w:color w:val="000000" w:themeColor="text1"/>
          <w:sz w:val="24"/>
          <w:highlight w:val="none"/>
          <w14:textFill>
            <w14:solidFill>
              <w14:schemeClr w14:val="tx1"/>
            </w14:solidFill>
          </w14:textFill>
        </w:rPr>
        <w:t>酬金</w:t>
      </w:r>
      <w:r>
        <w:rPr>
          <w:rStyle w:val="7"/>
          <w:rFonts w:hint="eastAsia" w:ascii="楷体" w:hAnsi="楷体" w:eastAsia="楷体" w:cs="楷体"/>
          <w:color w:val="000000" w:themeColor="text1"/>
          <w:kern w:val="0"/>
          <w:sz w:val="24"/>
          <w:highlight w:val="none"/>
          <w14:textFill>
            <w14:solidFill>
              <w14:schemeClr w14:val="tx1"/>
            </w14:solidFill>
          </w14:textFill>
        </w:rPr>
        <w:t>超过28天，应按专用条件约定支付逾期付款利息。</w:t>
      </w:r>
    </w:p>
    <w:p w14:paraId="192C4486">
      <w:pPr>
        <w:spacing w:line="280" w:lineRule="exact"/>
        <w:ind w:firstLine="240" w:firstLine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4.3 除外责任</w:t>
      </w:r>
    </w:p>
    <w:p w14:paraId="5038710D">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因非监理人的原因，且监理人无过错，发生工程质量事故、安全事故、工期延误等造成的损失，监理人不承担赔偿责任。</w:t>
      </w:r>
    </w:p>
    <w:p w14:paraId="412398BF">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因不可抗力导致本合同全部或部分不能履行时，双方各自承担其因此而造成的损失、损害。</w:t>
      </w:r>
    </w:p>
    <w:p w14:paraId="557F8A6B">
      <w:pPr>
        <w:snapToGrid w:val="0"/>
        <w:spacing w:line="280" w:lineRule="exact"/>
        <w:rPr>
          <w:rStyle w:val="7"/>
          <w:rFonts w:ascii="楷体" w:hAnsi="楷体" w:eastAsia="楷体" w:cs="楷体"/>
          <w:b/>
          <w:bCs/>
          <w:color w:val="000000" w:themeColor="text1"/>
          <w:sz w:val="24"/>
          <w:highlight w:val="none"/>
          <w14:textFill>
            <w14:solidFill>
              <w14:schemeClr w14:val="tx1"/>
            </w14:solidFill>
          </w14:textFill>
        </w:rPr>
      </w:pPr>
      <w:r>
        <w:rPr>
          <w:rStyle w:val="7"/>
          <w:rFonts w:hint="eastAsia" w:ascii="楷体" w:hAnsi="楷体" w:eastAsia="楷体" w:cs="楷体"/>
          <w:b/>
          <w:bCs/>
          <w:color w:val="000000" w:themeColor="text1"/>
          <w:sz w:val="24"/>
          <w:highlight w:val="none"/>
          <w14:textFill>
            <w14:solidFill>
              <w14:schemeClr w14:val="tx1"/>
            </w14:solidFill>
          </w14:textFill>
        </w:rPr>
        <w:t>5. 支付</w:t>
      </w:r>
    </w:p>
    <w:p w14:paraId="1572F36C">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5.1 </w:t>
      </w:r>
      <w:r>
        <w:rPr>
          <w:rStyle w:val="7"/>
          <w:rFonts w:hint="eastAsia" w:ascii="楷体" w:hAnsi="楷体" w:eastAsia="楷体" w:cs="楷体"/>
          <w:bCs/>
          <w:color w:val="000000" w:themeColor="text1"/>
          <w:sz w:val="24"/>
          <w:highlight w:val="none"/>
          <w14:textFill>
            <w14:solidFill>
              <w14:schemeClr w14:val="tx1"/>
            </w14:solidFill>
          </w14:textFill>
        </w:rPr>
        <w:t>支付货币</w:t>
      </w:r>
    </w:p>
    <w:p w14:paraId="42615258">
      <w:pPr>
        <w:snapToGrid w:val="0"/>
        <w:spacing w:line="280" w:lineRule="exact"/>
        <w:ind w:firstLine="480" w:firstLineChars="2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除专用条件另有约定外，酬金均以人民币支付。涉及外币支付的，所采用的货币种类、比例和汇率在专用条件中约定。</w:t>
      </w:r>
    </w:p>
    <w:p w14:paraId="59C1E8F2">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5.2 支付申请</w:t>
      </w:r>
    </w:p>
    <w:p w14:paraId="5F8154B6">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监理人应在本合同约定的每次应付款时间的7天前，向委托人提交支付申请书。支付申请书应当说明当期应付款总额，并列出当期应支付的款项及其金额。</w:t>
      </w:r>
    </w:p>
    <w:p w14:paraId="6B0FA452">
      <w:pPr>
        <w:snapToGrid w:val="0"/>
        <w:spacing w:line="280" w:lineRule="exact"/>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5.3 支付酬金</w:t>
      </w:r>
    </w:p>
    <w:p w14:paraId="7DF186D4">
      <w:pPr>
        <w:snapToGrid w:val="0"/>
        <w:spacing w:line="280" w:lineRule="exact"/>
        <w:ind w:firstLine="48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支付的酬金包括正常工作酬金、附加工作酬金、合理化建议奖励金额及费用。</w:t>
      </w:r>
    </w:p>
    <w:p w14:paraId="62C7C8AC">
      <w:pPr>
        <w:snapToGrid w:val="0"/>
        <w:spacing w:line="280" w:lineRule="exact"/>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5.4 </w:t>
      </w:r>
      <w:r>
        <w:rPr>
          <w:rStyle w:val="7"/>
          <w:rFonts w:hint="eastAsia" w:ascii="楷体" w:hAnsi="楷体" w:eastAsia="楷体" w:cs="楷体"/>
          <w:bCs/>
          <w:color w:val="000000" w:themeColor="text1"/>
          <w:sz w:val="24"/>
          <w:highlight w:val="none"/>
          <w14:textFill>
            <w14:solidFill>
              <w14:schemeClr w14:val="tx1"/>
            </w14:solidFill>
          </w14:textFill>
        </w:rPr>
        <w:t>有争议部分的付款</w:t>
      </w:r>
    </w:p>
    <w:p w14:paraId="2DE71071">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委托人对监理人提交的支付申请书有异议时，应当在收到监理人提交的支付申请书后7天内，以书面形式向监理人发出异议通知。无异议部分的款项应按期支付，有异议部分的款项按第7条约定办理。</w:t>
      </w:r>
    </w:p>
    <w:p w14:paraId="0072BC9B">
      <w:pPr>
        <w:snapToGrid w:val="0"/>
        <w:spacing w:line="280" w:lineRule="exact"/>
        <w:rPr>
          <w:rStyle w:val="7"/>
          <w:rFonts w:ascii="楷体" w:hAnsi="楷体" w:eastAsia="楷体" w:cs="楷体"/>
          <w:b/>
          <w:bCs/>
          <w:color w:val="000000" w:themeColor="text1"/>
          <w:sz w:val="24"/>
          <w:highlight w:val="none"/>
          <w14:textFill>
            <w14:solidFill>
              <w14:schemeClr w14:val="tx1"/>
            </w14:solidFill>
          </w14:textFill>
        </w:rPr>
      </w:pPr>
      <w:r>
        <w:rPr>
          <w:rStyle w:val="7"/>
          <w:rFonts w:hint="eastAsia" w:ascii="楷体" w:hAnsi="楷体" w:eastAsia="楷体" w:cs="楷体"/>
          <w:b/>
          <w:bCs/>
          <w:color w:val="000000" w:themeColor="text1"/>
          <w:sz w:val="24"/>
          <w:highlight w:val="none"/>
          <w14:textFill>
            <w14:solidFill>
              <w14:schemeClr w14:val="tx1"/>
            </w14:solidFill>
          </w14:textFill>
        </w:rPr>
        <w:t>6. 合同生效、变更、暂停、解除与终止</w:t>
      </w:r>
    </w:p>
    <w:p w14:paraId="0054A6E9">
      <w:pPr>
        <w:spacing w:line="280" w:lineRule="exact"/>
        <w:ind w:left="210" w:leftChars="1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6.1生效</w:t>
      </w:r>
    </w:p>
    <w:p w14:paraId="5448F766">
      <w:pPr>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除法律另有规定或者专用条件另有约定外，委托人和监理人的法定代表人或其授权代理人在协议书上签字并盖单位章后本合同生效。</w:t>
      </w:r>
    </w:p>
    <w:p w14:paraId="2B4225FF">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6.2</w:t>
      </w:r>
      <w:r>
        <w:rPr>
          <w:rStyle w:val="7"/>
          <w:rFonts w:hint="eastAsia" w:ascii="楷体" w:hAnsi="楷体" w:eastAsia="楷体" w:cs="楷体"/>
          <w:bCs/>
          <w:color w:val="000000" w:themeColor="text1"/>
          <w:sz w:val="24"/>
          <w:highlight w:val="none"/>
          <w14:textFill>
            <w14:solidFill>
              <w14:schemeClr w14:val="tx1"/>
            </w14:solidFill>
          </w14:textFill>
        </w:rPr>
        <w:t>变更</w:t>
      </w:r>
    </w:p>
    <w:p w14:paraId="6A5656D1">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6.2.1 任何一方提出变更请求时，双方经协商一致后可进行变更。</w:t>
      </w:r>
    </w:p>
    <w:p w14:paraId="647217C8">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C9A6412">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231E79CD">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6.2.4合同签订后，遇有与工程相关的法律法规、标准颁布或修订的，双方应遵照执行。由此引起监理与相关服务的范围、时间、酬金变化的，双方应通过协商进行相应调整。</w:t>
      </w:r>
    </w:p>
    <w:p w14:paraId="49BFD12D">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6.2.5 因非监理人原因造成工程概算投资额或建筑安装工程费增加时，正常工作酬金应作相应调整。调整方法在专用条件中约定。</w:t>
      </w:r>
    </w:p>
    <w:p w14:paraId="7E165378">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6.2.6 因工程规模、监理范围的变化导致监理人的正常工作量减少时，正常工作酬金应作相应调整。调整方法在专用条件中约定。</w:t>
      </w:r>
    </w:p>
    <w:p w14:paraId="2BC21DFC">
      <w:pPr>
        <w:snapToGrid w:val="0"/>
        <w:spacing w:line="280" w:lineRule="exact"/>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6.3 暂停与</w:t>
      </w:r>
      <w:r>
        <w:rPr>
          <w:rStyle w:val="7"/>
          <w:rFonts w:hint="eastAsia" w:ascii="楷体" w:hAnsi="楷体" w:eastAsia="楷体" w:cs="楷体"/>
          <w:bCs/>
          <w:color w:val="000000" w:themeColor="text1"/>
          <w:sz w:val="24"/>
          <w:highlight w:val="none"/>
          <w14:textFill>
            <w14:solidFill>
              <w14:schemeClr w14:val="tx1"/>
            </w14:solidFill>
          </w14:textFill>
        </w:rPr>
        <w:t>解除</w:t>
      </w:r>
    </w:p>
    <w:p w14:paraId="48A2055B">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除双方协商一致可以解除本合同外，当一方无正当理由未履行本合同约定的义务时，另一方可以根据本合同约定暂停履行本合同直至解除本合同。</w:t>
      </w:r>
    </w:p>
    <w:p w14:paraId="3121193B">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C3AAD49">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因解除本合同或解除监理人的部分义务导致监理人遭受的损失，除依法可以免除责任的情况外，应由委托人予以补偿，补偿金额由双方协商确定。</w:t>
      </w:r>
    </w:p>
    <w:p w14:paraId="57790E4A">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解除本合同的协议必须采取书面形式，协议未达成之前，本合同仍然有效。</w:t>
      </w:r>
    </w:p>
    <w:p w14:paraId="32DA8984">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795ABA58">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Style w:val="7"/>
          <w:rFonts w:hint="eastAsia" w:ascii="楷体" w:hAnsi="楷体" w:eastAsia="楷体" w:cs="楷体"/>
          <w:color w:val="000000" w:themeColor="text1"/>
          <w:kern w:val="0"/>
          <w:sz w:val="24"/>
          <w:highlight w:val="none"/>
          <w14:textFill>
            <w14:solidFill>
              <w14:schemeClr w14:val="tx1"/>
            </w14:solidFill>
          </w14:textFill>
        </w:rPr>
        <w:t>的</w:t>
      </w:r>
      <w:r>
        <w:rPr>
          <w:rStyle w:val="7"/>
          <w:rFonts w:hint="eastAsia" w:ascii="楷体" w:hAnsi="楷体" w:eastAsia="楷体" w:cs="楷体"/>
          <w:color w:val="000000" w:themeColor="text1"/>
          <w:sz w:val="24"/>
          <w:highlight w:val="none"/>
          <w14:textFill>
            <w14:solidFill>
              <w14:schemeClr w14:val="tx1"/>
            </w14:solidFill>
          </w14:textFill>
        </w:rPr>
        <w:t>酬金支付至本合同解除日，且应承担第4.2款约定的责任。</w:t>
      </w:r>
    </w:p>
    <w:p w14:paraId="772CFBD6">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Style w:val="7"/>
          <w:rFonts w:hint="eastAsia" w:ascii="楷体" w:hAnsi="楷体" w:eastAsia="楷体" w:cs="楷体"/>
          <w:color w:val="000000" w:themeColor="text1"/>
          <w:kern w:val="0"/>
          <w:sz w:val="24"/>
          <w:highlight w:val="none"/>
          <w14:textFill>
            <w14:solidFill>
              <w14:schemeClr w14:val="tx1"/>
            </w14:solidFill>
          </w14:textFill>
        </w:rPr>
        <w:t>的</w:t>
      </w:r>
      <w:r>
        <w:rPr>
          <w:rStyle w:val="7"/>
          <w:rFonts w:hint="eastAsia" w:ascii="楷体" w:hAnsi="楷体" w:eastAsia="楷体" w:cs="楷体"/>
          <w:color w:val="000000" w:themeColor="text1"/>
          <w:sz w:val="24"/>
          <w:highlight w:val="none"/>
          <w14:textFill>
            <w14:solidFill>
              <w14:schemeClr w14:val="tx1"/>
            </w14:solidFill>
          </w14:textFill>
        </w:rPr>
        <w:t>酬金支付至</w:t>
      </w:r>
      <w:r>
        <w:rPr>
          <w:rStyle w:val="7"/>
          <w:rFonts w:hint="eastAsia" w:ascii="楷体" w:hAnsi="楷体" w:eastAsia="楷体" w:cs="楷体"/>
          <w:color w:val="000000" w:themeColor="text1"/>
          <w:kern w:val="0"/>
          <w:sz w:val="24"/>
          <w:highlight w:val="none"/>
          <w14:textFill>
            <w14:solidFill>
              <w14:schemeClr w14:val="tx1"/>
            </w14:solidFill>
          </w14:textFill>
        </w:rPr>
        <w:t>限期改正通知到达监理人之日</w:t>
      </w:r>
      <w:r>
        <w:rPr>
          <w:rStyle w:val="7"/>
          <w:rFonts w:hint="eastAsia" w:ascii="楷体" w:hAnsi="楷体" w:eastAsia="楷体" w:cs="楷体"/>
          <w:color w:val="000000" w:themeColor="text1"/>
          <w:sz w:val="24"/>
          <w:highlight w:val="none"/>
          <w14:textFill>
            <w14:solidFill>
              <w14:schemeClr w14:val="tx1"/>
            </w14:solidFill>
          </w14:textFill>
        </w:rPr>
        <w:t>，但监理人应承担第4.1款约定的责任。</w:t>
      </w:r>
    </w:p>
    <w:p w14:paraId="7CC34F9C">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55113D26">
      <w:pPr>
        <w:snapToGrid w:val="0"/>
        <w:spacing w:line="280" w:lineRule="exac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6.3.5 因不可抗力致使本合同部分或全部不能履行时，一方应立即通知另一方，可暂停或解除本合同。</w:t>
      </w:r>
    </w:p>
    <w:p w14:paraId="26BF980E">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6.3.6 本合同解除后，本合同约定的有关结算、清理、争议解决方式的条件仍然有效。</w:t>
      </w:r>
    </w:p>
    <w:p w14:paraId="57016ECD">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6.4 </w:t>
      </w:r>
      <w:r>
        <w:rPr>
          <w:rStyle w:val="7"/>
          <w:rFonts w:hint="eastAsia" w:ascii="楷体" w:hAnsi="楷体" w:eastAsia="楷体" w:cs="楷体"/>
          <w:bCs/>
          <w:color w:val="000000" w:themeColor="text1"/>
          <w:sz w:val="24"/>
          <w:highlight w:val="none"/>
          <w14:textFill>
            <w14:solidFill>
              <w14:schemeClr w14:val="tx1"/>
            </w14:solidFill>
          </w14:textFill>
        </w:rPr>
        <w:t>终止</w:t>
      </w:r>
    </w:p>
    <w:p w14:paraId="70F2DD50">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以下条件全部满足时，本合同即告终止：</w:t>
      </w:r>
    </w:p>
    <w:p w14:paraId="1C3ECADE">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（1）监理人完成本合同约定的全部工作；</w:t>
      </w:r>
    </w:p>
    <w:p w14:paraId="124091B0">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（2）委托人与监理人结清并支付全部酬金。</w:t>
      </w:r>
    </w:p>
    <w:p w14:paraId="17EFF1BD">
      <w:pPr>
        <w:snapToGrid w:val="0"/>
        <w:spacing w:line="280" w:lineRule="exact"/>
        <w:rPr>
          <w:rStyle w:val="7"/>
          <w:rFonts w:ascii="楷体" w:hAnsi="楷体" w:eastAsia="楷体" w:cs="楷体"/>
          <w:b/>
          <w:bCs/>
          <w:color w:val="000000" w:themeColor="text1"/>
          <w:sz w:val="24"/>
          <w:highlight w:val="none"/>
          <w14:textFill>
            <w14:solidFill>
              <w14:schemeClr w14:val="tx1"/>
            </w14:solidFill>
          </w14:textFill>
        </w:rPr>
      </w:pPr>
      <w:r>
        <w:rPr>
          <w:rStyle w:val="7"/>
          <w:rFonts w:hint="eastAsia" w:ascii="楷体" w:hAnsi="楷体" w:eastAsia="楷体" w:cs="楷体"/>
          <w:b/>
          <w:bCs/>
          <w:color w:val="000000" w:themeColor="text1"/>
          <w:sz w:val="24"/>
          <w:highlight w:val="none"/>
          <w14:textFill>
            <w14:solidFill>
              <w14:schemeClr w14:val="tx1"/>
            </w14:solidFill>
          </w14:textFill>
        </w:rPr>
        <w:t>7. 争议解决</w:t>
      </w:r>
    </w:p>
    <w:p w14:paraId="2368461B">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7.1</w:t>
      </w:r>
      <w:r>
        <w:rPr>
          <w:rStyle w:val="7"/>
          <w:rFonts w:hint="eastAsia" w:ascii="楷体" w:hAnsi="楷体" w:eastAsia="楷体" w:cs="楷体"/>
          <w:bCs/>
          <w:color w:val="000000" w:themeColor="text1"/>
          <w:sz w:val="24"/>
          <w:highlight w:val="none"/>
          <w14:textFill>
            <w14:solidFill>
              <w14:schemeClr w14:val="tx1"/>
            </w14:solidFill>
          </w14:textFill>
        </w:rPr>
        <w:t>协商</w:t>
      </w:r>
    </w:p>
    <w:p w14:paraId="2A80F834">
      <w:pPr>
        <w:snapToGrid w:val="0"/>
        <w:spacing w:line="280" w:lineRule="exact"/>
        <w:ind w:firstLine="480" w:firstLineChars="2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双方应本着诚信原则协商解决彼此间的争议。</w:t>
      </w:r>
    </w:p>
    <w:p w14:paraId="39EB6233">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7.2</w:t>
      </w:r>
      <w:r>
        <w:rPr>
          <w:rStyle w:val="7"/>
          <w:rFonts w:hint="eastAsia" w:ascii="楷体" w:hAnsi="楷体" w:eastAsia="楷体" w:cs="楷体"/>
          <w:bCs/>
          <w:color w:val="000000" w:themeColor="text1"/>
          <w:sz w:val="24"/>
          <w:highlight w:val="none"/>
          <w14:textFill>
            <w14:solidFill>
              <w14:schemeClr w14:val="tx1"/>
            </w14:solidFill>
          </w14:textFill>
        </w:rPr>
        <w:t>调解</w:t>
      </w:r>
    </w:p>
    <w:p w14:paraId="2C44DEA0">
      <w:pPr>
        <w:snapToGrid w:val="0"/>
        <w:spacing w:line="280" w:lineRule="exact"/>
        <w:ind w:firstLine="480" w:firstLineChars="2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如果双方不能在14天内或双方商定的其他时间内解决本合同争议，可以将其提交给专用条件约定的或事后达成协议的调解人进行调解。</w:t>
      </w:r>
    </w:p>
    <w:p w14:paraId="27BF097B">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7.3</w:t>
      </w:r>
      <w:r>
        <w:rPr>
          <w:rStyle w:val="7"/>
          <w:rFonts w:hint="eastAsia" w:ascii="楷体" w:hAnsi="楷体" w:eastAsia="楷体" w:cs="楷体"/>
          <w:bCs/>
          <w:color w:val="000000" w:themeColor="text1"/>
          <w:sz w:val="24"/>
          <w:highlight w:val="none"/>
          <w14:textFill>
            <w14:solidFill>
              <w14:schemeClr w14:val="tx1"/>
            </w14:solidFill>
          </w14:textFill>
        </w:rPr>
        <w:t>仲裁或诉讼</w:t>
      </w:r>
    </w:p>
    <w:p w14:paraId="3AA1180A">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双方均有权不经调解直接向专用条件约定的仲裁机构申请仲裁或向有管辖权的人民法院提起诉讼。</w:t>
      </w:r>
    </w:p>
    <w:p w14:paraId="04C32490">
      <w:pPr>
        <w:snapToGrid w:val="0"/>
        <w:spacing w:line="280" w:lineRule="exact"/>
        <w:rPr>
          <w:rStyle w:val="7"/>
          <w:rFonts w:ascii="楷体" w:hAnsi="楷体" w:eastAsia="楷体" w:cs="楷体"/>
          <w:b/>
          <w:bCs/>
          <w:color w:val="000000" w:themeColor="text1"/>
          <w:sz w:val="24"/>
          <w:highlight w:val="none"/>
          <w14:textFill>
            <w14:solidFill>
              <w14:schemeClr w14:val="tx1"/>
            </w14:solidFill>
          </w14:textFill>
        </w:rPr>
      </w:pPr>
      <w:r>
        <w:rPr>
          <w:rStyle w:val="7"/>
          <w:rFonts w:hint="eastAsia" w:ascii="楷体" w:hAnsi="楷体" w:eastAsia="楷体" w:cs="楷体"/>
          <w:b/>
          <w:bCs/>
          <w:color w:val="000000" w:themeColor="text1"/>
          <w:sz w:val="24"/>
          <w:highlight w:val="none"/>
          <w14:textFill>
            <w14:solidFill>
              <w14:schemeClr w14:val="tx1"/>
            </w14:solidFill>
          </w14:textFill>
        </w:rPr>
        <w:t>8. 其他</w:t>
      </w:r>
    </w:p>
    <w:p w14:paraId="3C40BDBC">
      <w:pPr>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8.1 </w:t>
      </w:r>
      <w:r>
        <w:rPr>
          <w:rStyle w:val="7"/>
          <w:rFonts w:hint="eastAsia" w:ascii="楷体" w:hAnsi="楷体" w:eastAsia="楷体" w:cs="楷体"/>
          <w:bCs/>
          <w:color w:val="000000" w:themeColor="text1"/>
          <w:sz w:val="24"/>
          <w:highlight w:val="none"/>
          <w14:textFill>
            <w14:solidFill>
              <w14:schemeClr w14:val="tx1"/>
            </w14:solidFill>
          </w14:textFill>
        </w:rPr>
        <w:t>外出考察费用</w:t>
      </w:r>
    </w:p>
    <w:p w14:paraId="1ABDAED6">
      <w:pPr>
        <w:snapToGrid w:val="0"/>
        <w:spacing w:line="280" w:lineRule="exact"/>
        <w:ind w:firstLine="480" w:firstLineChars="2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经委托人同意，监理人员外出考察发生的费用由委托人审核后支付。</w:t>
      </w:r>
    </w:p>
    <w:p w14:paraId="22E30A78">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8.2 </w:t>
      </w:r>
      <w:r>
        <w:rPr>
          <w:rStyle w:val="7"/>
          <w:rFonts w:hint="eastAsia" w:ascii="楷体" w:hAnsi="楷体" w:eastAsia="楷体" w:cs="楷体"/>
          <w:bCs/>
          <w:color w:val="000000" w:themeColor="text1"/>
          <w:sz w:val="24"/>
          <w:highlight w:val="none"/>
          <w14:textFill>
            <w14:solidFill>
              <w14:schemeClr w14:val="tx1"/>
            </w14:solidFill>
          </w14:textFill>
        </w:rPr>
        <w:t>检测费用</w:t>
      </w:r>
    </w:p>
    <w:p w14:paraId="20A7D472">
      <w:pPr>
        <w:snapToGrid w:val="0"/>
        <w:spacing w:line="280" w:lineRule="exact"/>
        <w:ind w:firstLine="480" w:firstLineChars="2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委托人要求监理人进行的材料和设备检测所发生的费用，由委托人支付，支付时间在专用条件中约定。</w:t>
      </w:r>
    </w:p>
    <w:p w14:paraId="768F6DFB">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8.3 </w:t>
      </w:r>
      <w:r>
        <w:rPr>
          <w:rStyle w:val="7"/>
          <w:rFonts w:hint="eastAsia" w:ascii="楷体" w:hAnsi="楷体" w:eastAsia="楷体" w:cs="楷体"/>
          <w:bCs/>
          <w:color w:val="000000" w:themeColor="text1"/>
          <w:sz w:val="24"/>
          <w:highlight w:val="none"/>
          <w14:textFill>
            <w14:solidFill>
              <w14:schemeClr w14:val="tx1"/>
            </w14:solidFill>
          </w14:textFill>
        </w:rPr>
        <w:t>咨询费用</w:t>
      </w:r>
    </w:p>
    <w:p w14:paraId="3B6B72B9">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经委托人同意，根据工程需要由监理人组织的相关咨询论证会以及聘请相关专家等发生的费用由委托人支付，支付时间在专用条件中约定。</w:t>
      </w:r>
    </w:p>
    <w:p w14:paraId="1390B01D">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8.4 </w:t>
      </w:r>
      <w:r>
        <w:rPr>
          <w:rStyle w:val="7"/>
          <w:rFonts w:hint="eastAsia" w:ascii="楷体" w:hAnsi="楷体" w:eastAsia="楷体" w:cs="楷体"/>
          <w:bCs/>
          <w:color w:val="000000" w:themeColor="text1"/>
          <w:sz w:val="24"/>
          <w:highlight w:val="none"/>
          <w14:textFill>
            <w14:solidFill>
              <w14:schemeClr w14:val="tx1"/>
            </w14:solidFill>
          </w14:textFill>
        </w:rPr>
        <w:t>奖励</w:t>
      </w:r>
    </w:p>
    <w:p w14:paraId="32522598">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监理人在服务过程中提出的合理化建议，使委托人获得经济效益的，双方在专用条件中约定奖励金额的确定方法。奖励金额在合理化建议被采纳后，与最近一期的正常工作酬金同期支付。</w:t>
      </w:r>
    </w:p>
    <w:p w14:paraId="2A28539C">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8.5 </w:t>
      </w:r>
      <w:r>
        <w:rPr>
          <w:rStyle w:val="7"/>
          <w:rFonts w:hint="eastAsia" w:ascii="楷体" w:hAnsi="楷体" w:eastAsia="楷体" w:cs="楷体"/>
          <w:bCs/>
          <w:color w:val="000000" w:themeColor="text1"/>
          <w:sz w:val="24"/>
          <w:highlight w:val="none"/>
          <w14:textFill>
            <w14:solidFill>
              <w14:schemeClr w14:val="tx1"/>
            </w14:solidFill>
          </w14:textFill>
        </w:rPr>
        <w:t>守法诚信</w:t>
      </w:r>
    </w:p>
    <w:p w14:paraId="5AE17AF5">
      <w:pPr>
        <w:snapToGrid w:val="0"/>
        <w:spacing w:line="280" w:lineRule="exact"/>
        <w:ind w:firstLine="480" w:firstLineChars="2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监理人及其工作人员不得从与实施工程有关的第三方处获得任何经济利益。</w:t>
      </w:r>
    </w:p>
    <w:p w14:paraId="0B90107B">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8.6 </w:t>
      </w:r>
      <w:r>
        <w:rPr>
          <w:rStyle w:val="7"/>
          <w:rFonts w:hint="eastAsia" w:ascii="楷体" w:hAnsi="楷体" w:eastAsia="楷体" w:cs="楷体"/>
          <w:bCs/>
          <w:color w:val="000000" w:themeColor="text1"/>
          <w:sz w:val="24"/>
          <w:highlight w:val="none"/>
          <w14:textFill>
            <w14:solidFill>
              <w14:schemeClr w14:val="tx1"/>
            </w14:solidFill>
          </w14:textFill>
        </w:rPr>
        <w:t>保密</w:t>
      </w:r>
    </w:p>
    <w:p w14:paraId="6C0F7176">
      <w:pPr>
        <w:snapToGrid w:val="0"/>
        <w:spacing w:line="280" w:lineRule="exact"/>
        <w:ind w:firstLine="480" w:firstLineChars="2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双方不得泄露对方申明的保密资料，亦不得泄露与实施工程有关的第三方所提供的保密资料，保密事项在专用条件中约定。</w:t>
      </w:r>
    </w:p>
    <w:p w14:paraId="466A71CF">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8.7 </w:t>
      </w:r>
      <w:r>
        <w:rPr>
          <w:rStyle w:val="7"/>
          <w:rFonts w:hint="eastAsia" w:ascii="楷体" w:hAnsi="楷体" w:eastAsia="楷体" w:cs="楷体"/>
          <w:bCs/>
          <w:color w:val="000000" w:themeColor="text1"/>
          <w:sz w:val="24"/>
          <w:highlight w:val="none"/>
          <w14:textFill>
            <w14:solidFill>
              <w14:schemeClr w14:val="tx1"/>
            </w14:solidFill>
          </w14:textFill>
        </w:rPr>
        <w:t>通知</w:t>
      </w:r>
    </w:p>
    <w:p w14:paraId="357B2EF8">
      <w:pPr>
        <w:snapToGrid w:val="0"/>
        <w:spacing w:line="280" w:lineRule="exact"/>
        <w:ind w:firstLine="480" w:firstLineChars="2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本合同涉及的通知均应当采用书面形式，并在送达对方时生效，收件人应书面签收。</w:t>
      </w:r>
    </w:p>
    <w:p w14:paraId="122DF40F">
      <w:pPr>
        <w:snapToGrid w:val="0"/>
        <w:spacing w:line="280" w:lineRule="exact"/>
        <w:ind w:left="210" w:leftChars="100"/>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8.8 </w:t>
      </w:r>
      <w:r>
        <w:rPr>
          <w:rStyle w:val="7"/>
          <w:rFonts w:hint="eastAsia" w:ascii="楷体" w:hAnsi="楷体" w:eastAsia="楷体" w:cs="楷体"/>
          <w:bCs/>
          <w:color w:val="000000" w:themeColor="text1"/>
          <w:sz w:val="24"/>
          <w:highlight w:val="none"/>
          <w14:textFill>
            <w14:solidFill>
              <w14:schemeClr w14:val="tx1"/>
            </w14:solidFill>
          </w14:textFill>
        </w:rPr>
        <w:t>著作权</w:t>
      </w:r>
    </w:p>
    <w:p w14:paraId="7DCF2345">
      <w:pPr>
        <w:snapToGrid w:val="0"/>
        <w:spacing w:line="280" w:lineRule="exac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监理人对其编制的文件拥有著作权。</w:t>
      </w:r>
    </w:p>
    <w:p w14:paraId="63E8C46B">
      <w:pPr>
        <w:snapToGrid w:val="0"/>
        <w:spacing w:line="280" w:lineRule="exact"/>
        <w:ind w:firstLine="480" w:firstLineChars="200"/>
        <w:rPr>
          <w:rStyle w:val="7"/>
          <w:rFonts w:ascii="楷体" w:hAnsi="楷体" w:eastAsia="楷体" w:cs="楷体"/>
          <w:b/>
          <w:bCs/>
          <w:color w:val="000000" w:themeColor="text1"/>
          <w:sz w:val="28"/>
          <w:szCs w:val="28"/>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51703ABC">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734E33C6">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248B25A4">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462F0342">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70FE0F58">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3EAD60D7">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3EF33828">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6DEA03FC">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08B0B434">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2BCE16E3">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45B276BE">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6F6350A9">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591AD83C">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37875D03">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0DD47327">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60D42F5A">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4CE5836B">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03AD1EC5">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2D986F40">
      <w:pPr>
        <w:spacing w:line="280" w:lineRule="exact"/>
        <w:rPr>
          <w:rStyle w:val="7"/>
          <w:rFonts w:hint="eastAsia" w:ascii="楷体" w:hAnsi="楷体" w:eastAsia="楷体" w:cs="楷体"/>
          <w:b/>
          <w:bCs/>
          <w:color w:val="000000" w:themeColor="text1"/>
          <w:sz w:val="28"/>
          <w:szCs w:val="28"/>
          <w:highlight w:val="none"/>
          <w14:textFill>
            <w14:solidFill>
              <w14:schemeClr w14:val="tx1"/>
            </w14:solidFill>
          </w14:textFill>
        </w:rPr>
      </w:pPr>
    </w:p>
    <w:p w14:paraId="4B1C99F7">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427E597C">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1DB469F8">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355BF614">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76CA2411">
      <w:pPr>
        <w:spacing w:line="280" w:lineRule="exact"/>
        <w:rPr>
          <w:rStyle w:val="7"/>
          <w:rFonts w:ascii="楷体" w:hAnsi="楷体" w:eastAsia="楷体" w:cs="楷体"/>
          <w:b/>
          <w:bCs/>
          <w:color w:val="000000" w:themeColor="text1"/>
          <w:sz w:val="28"/>
          <w:szCs w:val="28"/>
          <w:highlight w:val="none"/>
          <w14:textFill>
            <w14:solidFill>
              <w14:schemeClr w14:val="tx1"/>
            </w14:solidFill>
          </w14:textFill>
        </w:rPr>
      </w:pPr>
    </w:p>
    <w:p w14:paraId="0A7A1ADD">
      <w:pPr>
        <w:ind w:firstLine="3092" w:firstLineChars="1100"/>
        <w:jc w:val="left"/>
        <w:rPr>
          <w:color w:val="000000" w:themeColor="text1"/>
          <w:sz w:val="20"/>
          <w:highlight w:val="none"/>
          <w14:textFill>
            <w14:solidFill>
              <w14:schemeClr w14:val="tx1"/>
            </w14:solidFill>
          </w14:textFill>
        </w:rPr>
      </w:pPr>
      <w:r>
        <w:rPr>
          <w:rStyle w:val="7"/>
          <w:rFonts w:hint="eastAsia" w:ascii="楷体" w:hAnsi="楷体" w:eastAsia="楷体" w:cs="楷体"/>
          <w:b/>
          <w:bCs/>
          <w:color w:val="000000" w:themeColor="text1"/>
          <w:sz w:val="28"/>
          <w:szCs w:val="28"/>
          <w:highlight w:val="none"/>
          <w14:textFill>
            <w14:solidFill>
              <w14:schemeClr w14:val="tx1"/>
            </w14:solidFill>
          </w14:textFill>
        </w:rPr>
        <w:t>第三部分  专用条件</w:t>
      </w:r>
    </w:p>
    <w:p w14:paraId="6A3A0DCB">
      <w:pPr>
        <w:snapToGrid w:val="0"/>
        <w:spacing w:line="320" w:lineRule="atLeast"/>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color w:val="000000" w:themeColor="text1"/>
          <w:sz w:val="24"/>
          <w:highlight w:val="none"/>
          <w14:textFill>
            <w14:solidFill>
              <w14:schemeClr w14:val="tx1"/>
            </w14:solidFill>
          </w14:textFill>
        </w:rPr>
        <w:t>1. 定义与解释</w:t>
      </w:r>
    </w:p>
    <w:p w14:paraId="4A945268">
      <w:pPr>
        <w:snapToGrid w:val="0"/>
        <w:spacing w:line="320" w:lineRule="atLeast"/>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1.2  解释</w:t>
      </w:r>
    </w:p>
    <w:p w14:paraId="723A254C">
      <w:pPr>
        <w:snapToGrid w:val="0"/>
        <w:spacing w:line="32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1.2.1 本合同文件除使用中文外，还可用</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7"/>
          <w:rFonts w:hint="eastAsia" w:ascii="楷体" w:hAnsi="楷体" w:eastAsia="楷体" w:cs="楷体"/>
          <w:color w:val="000000" w:themeColor="text1"/>
          <w:sz w:val="24"/>
          <w:highlight w:val="none"/>
          <w14:textFill>
            <w14:solidFill>
              <w14:schemeClr w14:val="tx1"/>
            </w14:solidFill>
          </w14:textFill>
        </w:rPr>
        <w:t>。</w:t>
      </w:r>
    </w:p>
    <w:p w14:paraId="3C3ABF35">
      <w:pPr>
        <w:snapToGrid w:val="0"/>
        <w:spacing w:line="320" w:lineRule="atLeast"/>
        <w:ind w:firstLine="475" w:firstLineChars="1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1.2.2 约定本合同文件的解释顺序为：</w:t>
      </w:r>
      <w:r>
        <w:rPr>
          <w:rStyle w:val="7"/>
          <w:rFonts w:hint="eastAsia" w:ascii="楷体" w:hAnsi="楷体" w:eastAsia="楷体" w:cs="楷体"/>
          <w:b/>
          <w:color w:val="000000" w:themeColor="text1"/>
          <w:sz w:val="24"/>
          <w:highlight w:val="none"/>
          <w:u w:val="single" w:color="000000"/>
          <w14:textFill>
            <w14:solidFill>
              <w14:schemeClr w14:val="tx1"/>
            </w14:solidFill>
          </w14:textFill>
        </w:rPr>
        <w:t>按通用条件1.2.2条执行。</w:t>
      </w:r>
    </w:p>
    <w:p w14:paraId="57F949F0">
      <w:pPr>
        <w:snapToGrid w:val="0"/>
        <w:spacing w:line="320" w:lineRule="atLeast"/>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color w:val="000000" w:themeColor="text1"/>
          <w:sz w:val="24"/>
          <w:highlight w:val="none"/>
          <w14:textFill>
            <w14:solidFill>
              <w14:schemeClr w14:val="tx1"/>
            </w14:solidFill>
          </w14:textFill>
        </w:rPr>
        <w:t>2. 监理人义务</w:t>
      </w:r>
    </w:p>
    <w:p w14:paraId="056698CB">
      <w:pPr>
        <w:snapToGrid w:val="0"/>
        <w:spacing w:line="320" w:lineRule="atLeast"/>
        <w:ind w:firstLine="235" w:firstLineChars="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2.1 监理的范围和</w:t>
      </w:r>
      <w:r>
        <w:rPr>
          <w:rStyle w:val="7"/>
          <w:rFonts w:hint="eastAsia" w:ascii="楷体" w:hAnsi="楷体" w:eastAsia="楷体" w:cs="楷体"/>
          <w:bCs/>
          <w:color w:val="000000" w:themeColor="text1"/>
          <w:sz w:val="24"/>
          <w:highlight w:val="none"/>
          <w14:textFill>
            <w14:solidFill>
              <w14:schemeClr w14:val="tx1"/>
            </w14:solidFill>
          </w14:textFill>
        </w:rPr>
        <w:t>内容</w:t>
      </w:r>
    </w:p>
    <w:p w14:paraId="6C46D511">
      <w:pPr>
        <w:snapToGrid w:val="0"/>
        <w:spacing w:line="32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2.1.1 监理范围包括：</w:t>
      </w:r>
      <w:r>
        <w:rPr>
          <w:rStyle w:val="7"/>
          <w:rFonts w:hint="eastAsia" w:ascii="楷体" w:hAnsi="楷体" w:eastAsia="楷体" w:cs="楷体"/>
          <w:b/>
          <w:color w:val="000000" w:themeColor="text1"/>
          <w:spacing w:val="20"/>
          <w:sz w:val="24"/>
          <w:highlight w:val="none"/>
          <w:u w:val="single" w:color="000000"/>
          <w14:textFill>
            <w14:solidFill>
              <w14:schemeClr w14:val="tx1"/>
            </w14:solidFill>
          </w14:textFill>
        </w:rPr>
        <w:t>本合同工程相关施工图纸中包含的全部内容的</w:t>
      </w:r>
      <w:r>
        <w:rPr>
          <w:rStyle w:val="7"/>
          <w:rFonts w:hint="eastAsia" w:ascii="楷体" w:hAnsi="楷体" w:eastAsia="楷体" w:cs="楷体"/>
          <w:b/>
          <w:color w:val="000000" w:themeColor="text1"/>
          <w:sz w:val="24"/>
          <w:highlight w:val="none"/>
          <w:u w:val="single" w:color="000000"/>
          <w14:textFill>
            <w14:solidFill>
              <w14:schemeClr w14:val="tx1"/>
            </w14:solidFill>
          </w14:textFill>
        </w:rPr>
        <w:t>施工阶段</w:t>
      </w:r>
      <w:r>
        <w:rPr>
          <w:rStyle w:val="7"/>
          <w:rFonts w:hint="eastAsia" w:ascii="楷体" w:hAnsi="楷体" w:eastAsia="楷体" w:cs="楷体"/>
          <w:b/>
          <w:color w:val="000000" w:themeColor="text1"/>
          <w:spacing w:val="20"/>
          <w:sz w:val="24"/>
          <w:highlight w:val="none"/>
          <w:u w:val="single" w:color="000000"/>
          <w14:textFill>
            <w14:solidFill>
              <w14:schemeClr w14:val="tx1"/>
            </w14:solidFill>
          </w14:textFill>
        </w:rPr>
        <w:t>监理，做好组织协调工作并履行建设工程安全生产管理的法定职责。</w:t>
      </w:r>
    </w:p>
    <w:p w14:paraId="228EEE85">
      <w:pPr>
        <w:tabs>
          <w:tab w:val="left" w:pos="0"/>
        </w:tabs>
        <w:spacing w:line="320" w:lineRule="atLeast"/>
        <w:ind w:firstLine="54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2.1.2 监理工作内容还包括：</w:t>
      </w:r>
    </w:p>
    <w:p w14:paraId="3D4A127B">
      <w:pPr>
        <w:spacing w:line="320" w:lineRule="atLeast"/>
        <w:ind w:firstLine="490" w:firstLineChars="200"/>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1、总监理工程师按照规定管理项目监理机构，监理人不定期组织单位技术人员到现场检查工作。</w:t>
      </w:r>
    </w:p>
    <w:p w14:paraId="72F07E9D">
      <w:pPr>
        <w:spacing w:line="320" w:lineRule="atLeast"/>
        <w:ind w:firstLine="490" w:firstLineChars="200"/>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2、设立工程例会制度，加强各方沟通，解决技术问题。</w:t>
      </w:r>
    </w:p>
    <w:p w14:paraId="0D429154">
      <w:pPr>
        <w:spacing w:line="320" w:lineRule="atLeast"/>
        <w:ind w:firstLine="490" w:firstLineChars="200"/>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3、每月向委托人书面报告监理工作及工程情况。</w:t>
      </w:r>
    </w:p>
    <w:p w14:paraId="415D46E5">
      <w:pPr>
        <w:spacing w:line="320" w:lineRule="atLeast"/>
        <w:ind w:firstLine="490" w:firstLineChars="200"/>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4、就本工程的重大设计修改和技术洽商向委托人提出监理意见。</w:t>
      </w:r>
    </w:p>
    <w:p w14:paraId="23F89766">
      <w:pPr>
        <w:spacing w:line="320" w:lineRule="atLeast"/>
        <w:ind w:firstLine="490" w:firstLineChars="200"/>
        <w:rPr>
          <w:rStyle w:val="7"/>
          <w:rFonts w:ascii="楷体" w:hAnsi="楷体" w:eastAsia="楷体" w:cs="楷体"/>
          <w:bCs/>
          <w:color w:val="000000" w:themeColor="text1"/>
          <w:sz w:val="28"/>
          <w:szCs w:val="28"/>
          <w:highlight w:val="none"/>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5、根据有关文件规定，督促检查承包人同步完成各阶段施工验收资料及全套竣工图，交委托人归档。</w:t>
      </w:r>
    </w:p>
    <w:p w14:paraId="10B35B32">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6、参与或配合调查、处理工程质量缺陷和事故，出现重大质量事故时，督促承包人按规定上报有关部门；</w:t>
      </w:r>
    </w:p>
    <w:p w14:paraId="2315A511">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7、督促、检查承包人按工程档案管理部门和委托人的要求编制竣工文件；</w:t>
      </w:r>
    </w:p>
    <w:p w14:paraId="61DB79E9">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8、监督承包人认真执行缺陷责任期的工作计划，检查和验收剩余工程，对已交工工程中出现的缺陷、病害调查其原因并确定相应责任；</w:t>
      </w:r>
    </w:p>
    <w:p w14:paraId="23043F0F">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9、签发工程保修责任终止证书；</w:t>
      </w:r>
    </w:p>
    <w:p w14:paraId="2DFED759">
      <w:pPr>
        <w:spacing w:line="320" w:lineRule="atLeast"/>
        <w:ind w:firstLine="235" w:firstLineChars="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2.2 监理与相关服务依据</w:t>
      </w:r>
    </w:p>
    <w:p w14:paraId="1693CA3F">
      <w:pPr>
        <w:spacing w:line="32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2.2.1 监理依据包括：</w:t>
      </w:r>
    </w:p>
    <w:p w14:paraId="33290336">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1、《中华人民共和国民法典》；</w:t>
      </w:r>
    </w:p>
    <w:p w14:paraId="2F8585F7">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2、《中华人民共和国建筑法》；</w:t>
      </w:r>
    </w:p>
    <w:p w14:paraId="0DE91222">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3、《中华人民共和国安全生产法》；</w:t>
      </w:r>
    </w:p>
    <w:p w14:paraId="6DA5792D">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4、《建设工程质量管理条例》及其他相关的法规、条例；</w:t>
      </w:r>
    </w:p>
    <w:p w14:paraId="0B55FCD6">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5、《建筑工程安全生产管理条例》及其他相关的法规、条例；</w:t>
      </w:r>
    </w:p>
    <w:p w14:paraId="70F49A00">
      <w:pPr>
        <w:tabs>
          <w:tab w:val="left" w:pos="0"/>
          <w:tab w:val="left" w:pos="725"/>
        </w:tabs>
        <w:spacing w:line="320" w:lineRule="atLeast"/>
        <w:ind w:firstLine="490" w:firstLineChars="200"/>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6、委托人与承包单位签订的本工程承包合同及有关协议；</w:t>
      </w:r>
    </w:p>
    <w:p w14:paraId="3D194B2E">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7、委托人与监理公司签订的本工程的监理合同；</w:t>
      </w:r>
    </w:p>
    <w:p w14:paraId="1AEE6AA1">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8、经有关部门审批的工程项目施工图纸及其它有关文件；</w:t>
      </w:r>
    </w:p>
    <w:p w14:paraId="68D4D6F4">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 xml:space="preserve">9、《建设工程监理规范》（GB50319—2013） </w:t>
      </w:r>
    </w:p>
    <w:p w14:paraId="40B7B64C">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10、国家颁布的工程建设标准强制性条文；</w:t>
      </w:r>
    </w:p>
    <w:p w14:paraId="0A9D0873">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11、国家或地方现行的建筑工程质量评定标准及施工验收规范；</w:t>
      </w:r>
    </w:p>
    <w:p w14:paraId="7A0FBB33">
      <w:pPr>
        <w:tabs>
          <w:tab w:val="left" w:pos="0"/>
        </w:tabs>
        <w:spacing w:line="320" w:lineRule="atLeast"/>
        <w:ind w:firstLine="539"/>
        <w:rPr>
          <w:rStyle w:val="7"/>
          <w:rFonts w:ascii="楷体" w:hAnsi="楷体" w:eastAsia="楷体" w:cs="楷体"/>
          <w:b/>
          <w:color w:val="000000" w:themeColor="text1"/>
          <w:spacing w:val="2"/>
          <w:kern w:val="0"/>
          <w:position w:val="2"/>
          <w:sz w:val="24"/>
          <w:highlight w:val="none"/>
          <w:u w:val="single" w:color="000000"/>
          <w14:textFill>
            <w14:solidFill>
              <w14:schemeClr w14:val="tx1"/>
            </w14:solidFill>
          </w14:textFill>
        </w:rPr>
      </w:pP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12、现行的预算定额、取费标准及有关建设管理办法。</w:t>
      </w:r>
    </w:p>
    <w:p w14:paraId="0A708A69">
      <w:pPr>
        <w:snapToGrid w:val="0"/>
        <w:spacing w:line="320" w:lineRule="atLeast"/>
        <w:ind w:firstLine="480" w:firstLineChars="200"/>
        <w:rPr>
          <w:rStyle w:val="7"/>
          <w:rFonts w:ascii="楷体" w:hAnsi="楷体" w:eastAsia="楷体" w:cs="楷体"/>
          <w:dstrike/>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2.2.2 相关服务依据包括：</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7"/>
          <w:rFonts w:hint="eastAsia" w:ascii="楷体" w:hAnsi="楷体" w:eastAsia="楷体" w:cs="楷体"/>
          <w:color w:val="000000" w:themeColor="text1"/>
          <w:sz w:val="24"/>
          <w:highlight w:val="none"/>
          <w14:textFill>
            <w14:solidFill>
              <w14:schemeClr w14:val="tx1"/>
            </w14:solidFill>
          </w14:textFill>
        </w:rPr>
        <w:t>。</w:t>
      </w:r>
    </w:p>
    <w:p w14:paraId="029BA620">
      <w:pPr>
        <w:spacing w:line="320" w:lineRule="atLeast"/>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2.3</w:t>
      </w:r>
      <w:r>
        <w:rPr>
          <w:rStyle w:val="7"/>
          <w:rFonts w:hint="eastAsia" w:ascii="楷体" w:hAnsi="楷体" w:eastAsia="楷体" w:cs="楷体"/>
          <w:color w:val="000000" w:themeColor="text1"/>
          <w:kern w:val="0"/>
          <w:sz w:val="24"/>
          <w:highlight w:val="none"/>
          <w14:textFill>
            <w14:solidFill>
              <w14:schemeClr w14:val="tx1"/>
            </w14:solidFill>
          </w14:textFill>
        </w:rPr>
        <w:t>项目监理机构和人员</w:t>
      </w:r>
    </w:p>
    <w:p w14:paraId="3A9CA54D">
      <w:pPr>
        <w:snapToGrid w:val="0"/>
        <w:spacing w:line="32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2.3.1 </w:t>
      </w:r>
      <w:r>
        <w:rPr>
          <w:rStyle w:val="7"/>
          <w:rFonts w:hint="eastAsia" w:ascii="楷体" w:hAnsi="楷体" w:eastAsia="楷体" w:cs="楷体"/>
          <w:color w:val="000000" w:themeColor="text1"/>
          <w:kern w:val="0"/>
          <w:sz w:val="24"/>
          <w:highlight w:val="none"/>
          <w14:textFill>
            <w14:solidFill>
              <w14:schemeClr w14:val="tx1"/>
            </w14:solidFill>
          </w14:textFill>
        </w:rPr>
        <w:t>更换监理人员的其他情形：</w:t>
      </w:r>
      <w:r>
        <w:rPr>
          <w:rStyle w:val="7"/>
          <w:rFonts w:hint="eastAsia" w:ascii="楷体" w:hAnsi="楷体" w:eastAsia="楷体" w:cs="楷体"/>
          <w:b/>
          <w:color w:val="000000" w:themeColor="text1"/>
          <w:kern w:val="0"/>
          <w:sz w:val="24"/>
          <w:highlight w:val="none"/>
          <w:u w:val="single" w:color="000000"/>
          <w14:textFill>
            <w14:solidFill>
              <w14:schemeClr w14:val="tx1"/>
            </w14:solidFill>
          </w14:textFill>
        </w:rPr>
        <w:t>离职</w:t>
      </w:r>
      <w:r>
        <w:rPr>
          <w:rStyle w:val="7"/>
          <w:rFonts w:hint="eastAsia" w:ascii="楷体" w:hAnsi="楷体" w:eastAsia="楷体" w:cs="楷体"/>
          <w:color w:val="000000" w:themeColor="text1"/>
          <w:kern w:val="0"/>
          <w:sz w:val="24"/>
          <w:highlight w:val="none"/>
          <w14:textFill>
            <w14:solidFill>
              <w14:schemeClr w14:val="tx1"/>
            </w14:solidFill>
          </w14:textFill>
        </w:rPr>
        <w:t>。</w:t>
      </w:r>
    </w:p>
    <w:p w14:paraId="137F9CC6">
      <w:pPr>
        <w:spacing w:line="320" w:lineRule="atLeast"/>
        <w:ind w:firstLine="235" w:firstLineChars="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2.4 </w:t>
      </w:r>
      <w:r>
        <w:rPr>
          <w:rStyle w:val="7"/>
          <w:rFonts w:hint="eastAsia" w:ascii="楷体" w:hAnsi="楷体" w:eastAsia="楷体" w:cs="楷体"/>
          <w:color w:val="000000" w:themeColor="text1"/>
          <w:kern w:val="0"/>
          <w:sz w:val="24"/>
          <w:highlight w:val="none"/>
          <w14:textFill>
            <w14:solidFill>
              <w14:schemeClr w14:val="tx1"/>
            </w14:solidFill>
          </w14:textFill>
        </w:rPr>
        <w:t>履行职责</w:t>
      </w:r>
    </w:p>
    <w:p w14:paraId="7C0CC6A0">
      <w:pPr>
        <w:tabs>
          <w:tab w:val="left" w:pos="0"/>
        </w:tabs>
        <w:spacing w:line="320" w:lineRule="atLeast"/>
        <w:ind w:firstLine="539"/>
        <w:rPr>
          <w:rStyle w:val="7"/>
          <w:rFonts w:ascii="楷体" w:hAnsi="楷体" w:eastAsia="楷体" w:cs="楷体"/>
          <w:color w:val="000000" w:themeColor="text1"/>
          <w:spacing w:val="2"/>
          <w:kern w:val="0"/>
          <w:position w:val="2"/>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2.4.1 对监理人的授权范围：</w:t>
      </w:r>
      <w:r>
        <w:rPr>
          <w:rStyle w:val="7"/>
          <w:rFonts w:hint="eastAsia" w:ascii="楷体" w:hAnsi="楷体" w:eastAsia="楷体" w:cs="楷体"/>
          <w:b/>
          <w:color w:val="000000" w:themeColor="text1"/>
          <w:spacing w:val="2"/>
          <w:kern w:val="0"/>
          <w:position w:val="2"/>
          <w:sz w:val="24"/>
          <w:highlight w:val="none"/>
          <w:u w:val="single" w:color="000000"/>
          <w14:textFill>
            <w14:solidFill>
              <w14:schemeClr w14:val="tx1"/>
            </w14:solidFill>
          </w14:textFill>
        </w:rPr>
        <w:t>监理人履行监理合同中规定的职责范围和权限，及行使根据本项目委托人与第三方签订的合同中规定授予监理人的其它权利。</w:t>
      </w:r>
    </w:p>
    <w:p w14:paraId="2B9EFC16">
      <w:pPr>
        <w:snapToGrid w:val="0"/>
        <w:spacing w:line="32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在涉及工程延期</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7"/>
          <w:rFonts w:hint="eastAsia" w:ascii="楷体" w:hAnsi="楷体" w:eastAsia="楷体" w:cs="楷体"/>
          <w:color w:val="000000" w:themeColor="text1"/>
          <w:sz w:val="24"/>
          <w:highlight w:val="none"/>
          <w14:textFill>
            <w14:solidFill>
              <w14:schemeClr w14:val="tx1"/>
            </w14:solidFill>
          </w14:textFill>
        </w:rPr>
        <w:t>天内和（或）金额</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7"/>
          <w:rFonts w:hint="eastAsia" w:ascii="楷体" w:hAnsi="楷体" w:eastAsia="楷体" w:cs="楷体"/>
          <w:color w:val="000000" w:themeColor="text1"/>
          <w:sz w:val="24"/>
          <w:highlight w:val="none"/>
          <w14:textFill>
            <w14:solidFill>
              <w14:schemeClr w14:val="tx1"/>
            </w14:solidFill>
          </w14:textFill>
        </w:rPr>
        <w:t>万元内的变更，监理人不需请示委托人即可向承包人发布变更通知。</w:t>
      </w:r>
    </w:p>
    <w:p w14:paraId="6649D341">
      <w:pPr>
        <w:snapToGrid w:val="0"/>
        <w:spacing w:line="320" w:lineRule="atLeast"/>
        <w:ind w:firstLine="360" w:firstLineChars="15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2.4.2 监理人有权要求承包人调换其人员</w:t>
      </w:r>
      <w:r>
        <w:rPr>
          <w:rStyle w:val="7"/>
          <w:rFonts w:hint="eastAsia" w:ascii="楷体" w:hAnsi="楷体" w:eastAsia="楷体" w:cs="楷体"/>
          <w:color w:val="000000" w:themeColor="text1"/>
          <w:sz w:val="24"/>
          <w:highlight w:val="none"/>
          <w14:textFill>
            <w14:solidFill>
              <w14:schemeClr w14:val="tx1"/>
            </w14:solidFill>
          </w14:textFill>
        </w:rPr>
        <w:t>的限制条件：</w:t>
      </w:r>
      <w:r>
        <w:rPr>
          <w:rStyle w:val="7"/>
          <w:rFonts w:hint="eastAsia" w:ascii="楷体" w:hAnsi="楷体" w:eastAsia="楷体" w:cs="楷体"/>
          <w:b/>
          <w:color w:val="000000" w:themeColor="text1"/>
          <w:sz w:val="24"/>
          <w:highlight w:val="none"/>
          <w:u w:val="single" w:color="000000"/>
          <w14:textFill>
            <w14:solidFill>
              <w14:schemeClr w14:val="tx1"/>
            </w14:solidFill>
          </w14:textFill>
        </w:rPr>
        <w:t>委托人书面签字同意</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w:t>
      </w:r>
    </w:p>
    <w:p w14:paraId="67259704">
      <w:pPr>
        <w:snapToGrid w:val="0"/>
        <w:spacing w:line="320" w:lineRule="atLeast"/>
        <w:ind w:firstLine="120" w:firstLineChars="5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 xml:space="preserve">2.5 </w:t>
      </w:r>
      <w:r>
        <w:rPr>
          <w:rStyle w:val="7"/>
          <w:rFonts w:hint="eastAsia" w:ascii="楷体" w:hAnsi="楷体" w:eastAsia="楷体" w:cs="楷体"/>
          <w:color w:val="000000" w:themeColor="text1"/>
          <w:sz w:val="24"/>
          <w:highlight w:val="none"/>
          <w14:textFill>
            <w14:solidFill>
              <w14:schemeClr w14:val="tx1"/>
            </w14:solidFill>
          </w14:textFill>
        </w:rPr>
        <w:t>提交</w:t>
      </w:r>
      <w:r>
        <w:rPr>
          <w:rStyle w:val="7"/>
          <w:rFonts w:hint="eastAsia" w:ascii="楷体" w:hAnsi="楷体" w:eastAsia="楷体" w:cs="楷体"/>
          <w:color w:val="000000" w:themeColor="text1"/>
          <w:kern w:val="0"/>
          <w:sz w:val="24"/>
          <w:highlight w:val="none"/>
          <w14:textFill>
            <w14:solidFill>
              <w14:schemeClr w14:val="tx1"/>
            </w14:solidFill>
          </w14:textFill>
        </w:rPr>
        <w:t>报告</w:t>
      </w:r>
    </w:p>
    <w:p w14:paraId="7BB97C28">
      <w:pPr>
        <w:snapToGrid w:val="0"/>
        <w:spacing w:line="320" w:lineRule="atLeast"/>
        <w:jc w:val="left"/>
        <w:rPr>
          <w:rStyle w:val="7"/>
          <w:rFonts w:ascii="楷体" w:hAnsi="楷体" w:eastAsia="楷体" w:cs="楷体"/>
          <w:color w:val="000000" w:themeColor="text1"/>
          <w:sz w:val="24"/>
          <w:highlight w:val="none"/>
          <w:u w:val="single" w:color="000000"/>
          <w14:textFill>
            <w14:solidFill>
              <w14:schemeClr w14:val="tx1"/>
            </w14:solidFill>
          </w14:textFill>
        </w:rPr>
      </w:pPr>
      <w:r>
        <w:rPr>
          <w:rStyle w:val="7"/>
          <w:rFonts w:hint="eastAsia" w:ascii="楷体" w:hAnsi="楷体" w:eastAsia="楷体" w:cs="楷体"/>
          <w:color w:val="000000" w:themeColor="text1"/>
          <w:spacing w:val="-17"/>
          <w:sz w:val="24"/>
          <w:highlight w:val="none"/>
          <w14:textFill>
            <w14:solidFill>
              <w14:schemeClr w14:val="tx1"/>
            </w14:solidFill>
          </w14:textFill>
        </w:rPr>
        <w:t>监理人应提交报告的种类(</w:t>
      </w:r>
      <w:r>
        <w:rPr>
          <w:rStyle w:val="7"/>
          <w:rFonts w:hint="eastAsia" w:ascii="楷体" w:hAnsi="楷体" w:eastAsia="楷体" w:cs="楷体"/>
          <w:color w:val="000000" w:themeColor="text1"/>
          <w:spacing w:val="-17"/>
          <w:kern w:val="0"/>
          <w:sz w:val="24"/>
          <w:highlight w:val="none"/>
          <w14:textFill>
            <w14:solidFill>
              <w14:schemeClr w14:val="tx1"/>
            </w14:solidFill>
          </w14:textFill>
        </w:rPr>
        <w:t>包括监理规划、监理月报及约定的专项报告)</w:t>
      </w:r>
      <w:r>
        <w:rPr>
          <w:rStyle w:val="7"/>
          <w:rFonts w:hint="eastAsia" w:ascii="楷体" w:hAnsi="楷体" w:eastAsia="楷体" w:cs="楷体"/>
          <w:color w:val="000000" w:themeColor="text1"/>
          <w:spacing w:val="-17"/>
          <w:sz w:val="24"/>
          <w:highlight w:val="none"/>
          <w14:textFill>
            <w14:solidFill>
              <w14:schemeClr w14:val="tx1"/>
            </w14:solidFill>
          </w14:textFill>
        </w:rPr>
        <w:t>、时间和份数</w:t>
      </w:r>
      <w:r>
        <w:rPr>
          <w:rStyle w:val="7"/>
          <w:rFonts w:hint="eastAsia" w:ascii="楷体" w:hAnsi="楷体" w:eastAsia="楷体" w:cs="楷体"/>
          <w:color w:val="000000" w:themeColor="text1"/>
          <w:spacing w:val="-17"/>
          <w:kern w:val="0"/>
          <w:sz w:val="24"/>
          <w:highlight w:val="none"/>
          <w14:textFill>
            <w14:solidFill>
              <w14:schemeClr w14:val="tx1"/>
            </w14:solidFill>
          </w14:textFill>
        </w:rPr>
        <w:t>：</w:t>
      </w:r>
      <w:r>
        <w:rPr>
          <w:rStyle w:val="7"/>
          <w:rFonts w:hint="eastAsia" w:ascii="楷体" w:hAnsi="楷体" w:eastAsia="楷体" w:cs="楷体"/>
          <w:b/>
          <w:color w:val="000000" w:themeColor="text1"/>
          <w:kern w:val="0"/>
          <w:sz w:val="24"/>
          <w:highlight w:val="none"/>
          <w:u w:val="single" w:color="000000"/>
          <w14:textFill>
            <w14:solidFill>
              <w14:schemeClr w14:val="tx1"/>
            </w14:solidFill>
          </w14:textFill>
        </w:rPr>
        <w:t xml:space="preserve">    /   </w:t>
      </w:r>
    </w:p>
    <w:p w14:paraId="3E5D116F">
      <w:pPr>
        <w:spacing w:line="320" w:lineRule="atLeast"/>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 xml:space="preserve"> 2.6 使用委托人的财产</w:t>
      </w:r>
    </w:p>
    <w:p w14:paraId="18B0C9E5">
      <w:pPr>
        <w:spacing w:line="320" w:lineRule="atLeast"/>
        <w:ind w:firstLine="480" w:firstLineChars="200"/>
        <w:rPr>
          <w:rStyle w:val="7"/>
          <w:rFonts w:ascii="楷体" w:hAnsi="楷体" w:eastAsia="楷体" w:cs="楷体"/>
          <w:color w:val="000000" w:themeColor="text1"/>
          <w:sz w:val="24"/>
          <w:highlight w:val="none"/>
          <w:u w:val="single" w:color="000000"/>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委托人无偿提供的房屋、设备的所有权属于：</w:t>
      </w:r>
      <w:r>
        <w:rPr>
          <w:rStyle w:val="7"/>
          <w:rFonts w:hint="eastAsia" w:ascii="楷体" w:hAnsi="楷体" w:eastAsia="楷体" w:cs="楷体"/>
          <w:b/>
          <w:color w:val="000000" w:themeColor="text1"/>
          <w:sz w:val="24"/>
          <w:highlight w:val="none"/>
          <w:u w:val="single" w:color="000000"/>
          <w14:textFill>
            <w14:solidFill>
              <w14:schemeClr w14:val="tx1"/>
            </w14:solidFill>
          </w14:textFill>
        </w:rPr>
        <w:t>委托人</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w:t>
      </w:r>
    </w:p>
    <w:p w14:paraId="0B4B7B59">
      <w:pPr>
        <w:spacing w:line="320" w:lineRule="atLeas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监理人应在本合同终止后</w:t>
      </w:r>
      <w:r>
        <w:rPr>
          <w:rStyle w:val="7"/>
          <w:rFonts w:hint="eastAsia" w:ascii="楷体" w:hAnsi="楷体" w:eastAsia="楷体" w:cs="楷体"/>
          <w:b/>
          <w:color w:val="000000" w:themeColor="text1"/>
          <w:sz w:val="24"/>
          <w:highlight w:val="none"/>
          <w:u w:val="single" w:color="000000"/>
          <w14:textFill>
            <w14:solidFill>
              <w14:schemeClr w14:val="tx1"/>
            </w14:solidFill>
          </w14:textFill>
        </w:rPr>
        <w:t>5</w:t>
      </w:r>
      <w:r>
        <w:rPr>
          <w:rStyle w:val="7"/>
          <w:rFonts w:hint="eastAsia" w:ascii="楷体" w:hAnsi="楷体" w:eastAsia="楷体" w:cs="楷体"/>
          <w:color w:val="000000" w:themeColor="text1"/>
          <w:sz w:val="24"/>
          <w:highlight w:val="none"/>
          <w14:textFill>
            <w14:solidFill>
              <w14:schemeClr w14:val="tx1"/>
            </w14:solidFill>
          </w14:textFill>
        </w:rPr>
        <w:t>天内移交委托人无偿提供的房屋、设备，移交的时间和方式为：</w:t>
      </w:r>
      <w:r>
        <w:rPr>
          <w:rStyle w:val="7"/>
          <w:rFonts w:hint="eastAsia" w:ascii="楷体" w:hAnsi="楷体" w:eastAsia="楷体" w:cs="楷体"/>
          <w:b/>
          <w:color w:val="000000" w:themeColor="text1"/>
          <w:sz w:val="24"/>
          <w:highlight w:val="none"/>
          <w:u w:val="single" w:color="000000"/>
          <w14:textFill>
            <w14:solidFill>
              <w14:schemeClr w14:val="tx1"/>
            </w14:solidFill>
          </w14:textFill>
        </w:rPr>
        <w:t>双方交接</w:t>
      </w:r>
      <w:r>
        <w:rPr>
          <w:rStyle w:val="7"/>
          <w:rFonts w:hint="eastAsia" w:ascii="楷体" w:hAnsi="楷体" w:eastAsia="楷体" w:cs="楷体"/>
          <w:color w:val="000000" w:themeColor="text1"/>
          <w:sz w:val="24"/>
          <w:highlight w:val="none"/>
          <w14:textFill>
            <w14:solidFill>
              <w14:schemeClr w14:val="tx1"/>
            </w14:solidFill>
          </w14:textFill>
        </w:rPr>
        <w:t>。</w:t>
      </w:r>
    </w:p>
    <w:p w14:paraId="0337371A">
      <w:pPr>
        <w:snapToGrid w:val="0"/>
        <w:spacing w:line="320" w:lineRule="atLeast"/>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color w:val="000000" w:themeColor="text1"/>
          <w:kern w:val="0"/>
          <w:sz w:val="24"/>
          <w:highlight w:val="none"/>
          <w14:textFill>
            <w14:solidFill>
              <w14:schemeClr w14:val="tx1"/>
            </w14:solidFill>
          </w14:textFill>
        </w:rPr>
        <w:t xml:space="preserve">3. 委托人义务  </w:t>
      </w:r>
    </w:p>
    <w:p w14:paraId="10651222">
      <w:pPr>
        <w:snapToGrid w:val="0"/>
        <w:spacing w:line="320" w:lineRule="atLeast"/>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3.1 委托人代表</w:t>
      </w:r>
    </w:p>
    <w:p w14:paraId="12BF7FB7">
      <w:pPr>
        <w:snapToGrid w:val="0"/>
        <w:spacing w:line="320" w:lineRule="atLeast"/>
        <w:ind w:firstLine="480" w:firstLineChars="200"/>
        <w:rPr>
          <w:rStyle w:val="7"/>
          <w:rFonts w:ascii="楷体" w:hAnsi="楷体" w:eastAsia="楷体" w:cs="楷体"/>
          <w:color w:val="000000" w:themeColor="text1"/>
          <w:sz w:val="24"/>
          <w:highlight w:val="none"/>
          <w:u w:val="single" w:color="000000"/>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委托人代表为：。</w:t>
      </w:r>
    </w:p>
    <w:p w14:paraId="5E8D0901">
      <w:pPr>
        <w:snapToGrid w:val="0"/>
        <w:spacing w:line="340" w:lineRule="atLeast"/>
        <w:ind w:firstLine="240" w:firstLine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3.2 答复</w:t>
      </w:r>
    </w:p>
    <w:p w14:paraId="6768807B">
      <w:pPr>
        <w:snapToGrid w:val="0"/>
        <w:spacing w:line="34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委托人同意在</w:t>
      </w:r>
      <w:r>
        <w:rPr>
          <w:rStyle w:val="7"/>
          <w:rFonts w:hint="eastAsia" w:ascii="楷体" w:hAnsi="楷体" w:eastAsia="楷体" w:cs="楷体"/>
          <w:b/>
          <w:color w:val="000000" w:themeColor="text1"/>
          <w:sz w:val="24"/>
          <w:highlight w:val="none"/>
          <w:u w:val="single" w:color="000000"/>
          <w14:textFill>
            <w14:solidFill>
              <w14:schemeClr w14:val="tx1"/>
            </w14:solidFill>
          </w14:textFill>
        </w:rPr>
        <w:t>5</w:t>
      </w:r>
      <w:r>
        <w:rPr>
          <w:rStyle w:val="7"/>
          <w:rFonts w:hint="eastAsia" w:ascii="楷体" w:hAnsi="楷体" w:eastAsia="楷体" w:cs="楷体"/>
          <w:color w:val="000000" w:themeColor="text1"/>
          <w:sz w:val="24"/>
          <w:highlight w:val="none"/>
          <w14:textFill>
            <w14:solidFill>
              <w14:schemeClr w14:val="tx1"/>
            </w14:solidFill>
          </w14:textFill>
        </w:rPr>
        <w:t>天内，对监理人书面提交并要求做出决定的事宜给予书面答复。</w:t>
      </w:r>
    </w:p>
    <w:p w14:paraId="4250595B">
      <w:pPr>
        <w:snapToGrid w:val="0"/>
        <w:spacing w:line="340" w:lineRule="atLeast"/>
        <w:rPr>
          <w:rStyle w:val="7"/>
          <w:rFonts w:ascii="楷体" w:hAnsi="楷体" w:eastAsia="楷体" w:cs="楷体"/>
          <w:b/>
          <w:bCs/>
          <w:color w:val="000000" w:themeColor="text1"/>
          <w:sz w:val="24"/>
          <w:highlight w:val="none"/>
          <w14:textFill>
            <w14:solidFill>
              <w14:schemeClr w14:val="tx1"/>
            </w14:solidFill>
          </w14:textFill>
        </w:rPr>
      </w:pPr>
      <w:r>
        <w:rPr>
          <w:rStyle w:val="7"/>
          <w:rFonts w:hint="eastAsia" w:ascii="楷体" w:hAnsi="楷体" w:eastAsia="楷体" w:cs="楷体"/>
          <w:b/>
          <w:bCs/>
          <w:color w:val="000000" w:themeColor="text1"/>
          <w:sz w:val="24"/>
          <w:highlight w:val="none"/>
          <w14:textFill>
            <w14:solidFill>
              <w14:schemeClr w14:val="tx1"/>
            </w14:solidFill>
          </w14:textFill>
        </w:rPr>
        <w:t>4. 违约责任</w:t>
      </w:r>
    </w:p>
    <w:p w14:paraId="33DD6D62">
      <w:pPr>
        <w:spacing w:line="340" w:lineRule="atLeast"/>
        <w:ind w:left="210" w:left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4.1 监理人的违约责任</w:t>
      </w:r>
    </w:p>
    <w:p w14:paraId="6852F090">
      <w:pPr>
        <w:snapToGrid w:val="0"/>
        <w:spacing w:line="340" w:lineRule="atLeas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4.1.1监理人赔偿金额按下列方法确定：</w:t>
      </w:r>
    </w:p>
    <w:p w14:paraId="4A8902A0">
      <w:pPr>
        <w:snapToGrid w:val="0"/>
        <w:spacing w:line="340" w:lineRule="atLeast"/>
        <w:ind w:firstLine="480" w:firstLineChars="2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赔偿金＝直接经济损失×正常工作酬金÷工程概算</w:t>
      </w:r>
      <w:r>
        <w:rPr>
          <w:rStyle w:val="7"/>
          <w:rFonts w:hint="eastAsia" w:ascii="楷体" w:hAnsi="楷体" w:eastAsia="楷体" w:cs="楷体"/>
          <w:color w:val="000000" w:themeColor="text1"/>
          <w:kern w:val="0"/>
          <w:sz w:val="24"/>
          <w:highlight w:val="none"/>
          <w14:textFill>
            <w14:solidFill>
              <w14:schemeClr w14:val="tx1"/>
            </w14:solidFill>
          </w14:textFill>
        </w:rPr>
        <w:t>投资额（或建筑安装工程费），上限为监理酬金总额的50%。</w:t>
      </w:r>
    </w:p>
    <w:p w14:paraId="47430F66">
      <w:pPr>
        <w:snapToGrid w:val="0"/>
        <w:spacing w:line="340" w:lineRule="atLeast"/>
        <w:ind w:firstLine="240" w:firstLine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4.2 委托人的违约责任</w:t>
      </w:r>
    </w:p>
    <w:p w14:paraId="606BD2F9">
      <w:pPr>
        <w:spacing w:line="340" w:lineRule="atLeast"/>
        <w:ind w:firstLine="480" w:firstLineChars="200"/>
        <w:rPr>
          <w:rStyle w:val="7"/>
          <w:rFonts w:ascii="楷体" w:hAnsi="楷体" w:eastAsia="楷体" w:cs="楷体"/>
          <w:b/>
          <w:color w:val="000000" w:themeColor="text1"/>
          <w:sz w:val="24"/>
          <w:highlight w:val="none"/>
          <w:u w:val="single" w:color="000000"/>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4.2.1 委托人</w:t>
      </w:r>
      <w:r>
        <w:rPr>
          <w:rStyle w:val="7"/>
          <w:rFonts w:hint="eastAsia" w:ascii="楷体" w:hAnsi="楷体" w:eastAsia="楷体" w:cs="楷体"/>
          <w:color w:val="000000" w:themeColor="text1"/>
          <w:kern w:val="0"/>
          <w:sz w:val="24"/>
          <w:highlight w:val="none"/>
          <w14:textFill>
            <w14:solidFill>
              <w14:schemeClr w14:val="tx1"/>
            </w14:solidFill>
          </w14:textFill>
        </w:rPr>
        <w:t>逾期付款利息按下列方法确定：</w:t>
      </w:r>
      <w:r>
        <w:rPr>
          <w:rStyle w:val="7"/>
          <w:rFonts w:hint="eastAsia" w:ascii="楷体" w:hAnsi="楷体" w:eastAsia="楷体" w:cs="楷体"/>
          <w:color w:val="000000" w:themeColor="text1"/>
          <w:sz w:val="24"/>
          <w:highlight w:val="none"/>
          <w:u w:val="single" w:color="000000"/>
          <w14:textFill>
            <w14:solidFill>
              <w14:schemeClr w14:val="tx1"/>
            </w14:solidFill>
          </w14:textFill>
        </w:rPr>
        <w:t>/  。</w:t>
      </w:r>
    </w:p>
    <w:p w14:paraId="66962EDE">
      <w:pPr>
        <w:spacing w:line="34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逾期付款利息＝当期应付款总额×银行同期贷款利率×拖延支付天数</w:t>
      </w:r>
    </w:p>
    <w:p w14:paraId="1C5D26C4">
      <w:pPr>
        <w:snapToGrid w:val="0"/>
        <w:spacing w:line="340" w:lineRule="atLeast"/>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bCs/>
          <w:color w:val="000000" w:themeColor="text1"/>
          <w:sz w:val="24"/>
          <w:highlight w:val="none"/>
          <w14:textFill>
            <w14:solidFill>
              <w14:schemeClr w14:val="tx1"/>
            </w14:solidFill>
          </w14:textFill>
        </w:rPr>
        <w:t>5. 支付</w:t>
      </w:r>
    </w:p>
    <w:p w14:paraId="286BAD65">
      <w:pPr>
        <w:snapToGrid w:val="0"/>
        <w:spacing w:line="340" w:lineRule="atLeast"/>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  5.1 </w:t>
      </w:r>
      <w:r>
        <w:rPr>
          <w:rStyle w:val="7"/>
          <w:rFonts w:hint="eastAsia" w:ascii="楷体" w:hAnsi="楷体" w:eastAsia="楷体" w:cs="楷体"/>
          <w:bCs/>
          <w:color w:val="000000" w:themeColor="text1"/>
          <w:sz w:val="24"/>
          <w:highlight w:val="none"/>
          <w14:textFill>
            <w14:solidFill>
              <w14:schemeClr w14:val="tx1"/>
            </w14:solidFill>
          </w14:textFill>
        </w:rPr>
        <w:t>支付货币</w:t>
      </w:r>
    </w:p>
    <w:p w14:paraId="3E300CB1">
      <w:pPr>
        <w:snapToGrid w:val="0"/>
        <w:spacing w:line="34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币种为：</w:t>
      </w:r>
      <w:r>
        <w:rPr>
          <w:rStyle w:val="7"/>
          <w:rFonts w:hint="eastAsia" w:ascii="楷体" w:hAnsi="楷体" w:eastAsia="楷体" w:cs="楷体"/>
          <w:b/>
          <w:color w:val="000000" w:themeColor="text1"/>
          <w:sz w:val="24"/>
          <w:highlight w:val="none"/>
          <w:u w:val="single" w:color="000000"/>
          <w14:textFill>
            <w14:solidFill>
              <w14:schemeClr w14:val="tx1"/>
            </w14:solidFill>
          </w14:textFill>
        </w:rPr>
        <w:t>人民币</w:t>
      </w:r>
      <w:r>
        <w:rPr>
          <w:rStyle w:val="7"/>
          <w:rFonts w:hint="eastAsia" w:ascii="楷体" w:hAnsi="楷体" w:eastAsia="楷体" w:cs="楷体"/>
          <w:color w:val="000000" w:themeColor="text1"/>
          <w:sz w:val="24"/>
          <w:highlight w:val="none"/>
          <w14:textFill>
            <w14:solidFill>
              <w14:schemeClr w14:val="tx1"/>
            </w14:solidFill>
          </w14:textFill>
        </w:rPr>
        <w:t>，比例为：</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7"/>
          <w:rFonts w:hint="eastAsia" w:ascii="楷体" w:hAnsi="楷体" w:eastAsia="楷体" w:cs="楷体"/>
          <w:color w:val="000000" w:themeColor="text1"/>
          <w:sz w:val="24"/>
          <w:highlight w:val="none"/>
          <w14:textFill>
            <w14:solidFill>
              <w14:schemeClr w14:val="tx1"/>
            </w14:solidFill>
          </w14:textFill>
        </w:rPr>
        <w:t>，汇率为：</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7"/>
          <w:rFonts w:hint="eastAsia" w:ascii="楷体" w:hAnsi="楷体" w:eastAsia="楷体" w:cs="楷体"/>
          <w:color w:val="000000" w:themeColor="text1"/>
          <w:sz w:val="24"/>
          <w:highlight w:val="none"/>
          <w14:textFill>
            <w14:solidFill>
              <w14:schemeClr w14:val="tx1"/>
            </w14:solidFill>
          </w14:textFill>
        </w:rPr>
        <w:t xml:space="preserve">。 </w:t>
      </w:r>
    </w:p>
    <w:p w14:paraId="46398D80">
      <w:pPr>
        <w:snapToGrid w:val="0"/>
        <w:spacing w:line="360" w:lineRule="auto"/>
        <w:ind w:firstLine="240" w:firstLineChars="100"/>
        <w:rPr>
          <w:rStyle w:val="7"/>
          <w:rFonts w:ascii="楷体" w:hAnsi="楷体" w:eastAsia="楷体" w:cs="楷体"/>
          <w:color w:val="000000" w:themeColor="text1"/>
          <w:kern w:val="0"/>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14:textFill>
            <w14:solidFill>
              <w14:schemeClr w14:val="tx1"/>
            </w14:solidFill>
          </w14:textFill>
        </w:rPr>
        <w:t>5.2 支付酬金</w:t>
      </w:r>
    </w:p>
    <w:p w14:paraId="7AE2B999">
      <w:pPr>
        <w:snapToGrid w:val="0"/>
        <w:spacing w:line="360" w:lineRule="auto"/>
        <w:ind w:firstLine="480" w:firstLineChars="200"/>
        <w:rPr>
          <w:rStyle w:val="7"/>
          <w:rFonts w:ascii="楷体" w:hAnsi="楷体" w:eastAsia="楷体" w:cs="楷体"/>
          <w:color w:val="000000" w:themeColor="text1"/>
          <w:sz w:val="24"/>
          <w:szCs w:val="22"/>
          <w:highlight w:val="none"/>
          <w14:textFill>
            <w14:solidFill>
              <w14:schemeClr w14:val="tx1"/>
            </w14:solidFill>
          </w14:textFill>
        </w:rPr>
      </w:pPr>
      <w:r>
        <w:rPr>
          <w:rStyle w:val="7"/>
          <w:rFonts w:hint="eastAsia" w:ascii="楷体" w:hAnsi="楷体" w:eastAsia="楷体" w:cs="楷体"/>
          <w:color w:val="000000" w:themeColor="text1"/>
          <w:sz w:val="24"/>
          <w:szCs w:val="22"/>
          <w:highlight w:val="none"/>
          <w14:textFill>
            <w14:solidFill>
              <w14:schemeClr w14:val="tx1"/>
            </w14:solidFill>
          </w14:textFill>
        </w:rPr>
        <w:t>正常工作酬金的支付：</w:t>
      </w:r>
    </w:p>
    <w:p w14:paraId="76CEABD0">
      <w:pPr>
        <w:snapToGrid w:val="0"/>
        <w:spacing w:line="360" w:lineRule="auto"/>
        <w:ind w:firstLine="480" w:firstLineChars="200"/>
        <w:rPr>
          <w:rStyle w:val="7"/>
          <w:rFonts w:hint="eastAsia" w:ascii="楷体" w:hAnsi="楷体" w:eastAsia="楷体" w:cs="楷体"/>
          <w:color w:val="000000" w:themeColor="text1"/>
          <w:sz w:val="24"/>
          <w:szCs w:val="22"/>
          <w:highlight w:val="none"/>
          <w:u w:val="single" w:color="000000"/>
          <w:lang w:eastAsia="zh-CN"/>
          <w14:textFill>
            <w14:solidFill>
              <w14:schemeClr w14:val="tx1"/>
            </w14:solidFill>
          </w14:textFill>
        </w:rPr>
      </w:pP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以委托人实际开工之日或项目报建总监锁定之日起（以先发生为准）至竣工验收合格</w:t>
      </w:r>
      <w:r>
        <w:rPr>
          <w:rStyle w:val="7"/>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且总监解锁之日</w:t>
      </w: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止</w:t>
      </w:r>
      <w:r>
        <w:rPr>
          <w:rStyle w:val="7"/>
          <w:rFonts w:hint="eastAsia" w:ascii="楷体" w:hAnsi="楷体" w:eastAsia="楷体" w:cs="楷体"/>
          <w:color w:val="000000" w:themeColor="text1"/>
          <w:sz w:val="24"/>
          <w:szCs w:val="22"/>
          <w:highlight w:val="none"/>
          <w:u w:val="single" w:color="000000"/>
          <w:lang w:eastAsia="zh-CN"/>
          <w14:textFill>
            <w14:solidFill>
              <w14:schemeClr w14:val="tx1"/>
            </w14:solidFill>
          </w14:textFill>
        </w:rPr>
        <w:t>，</w:t>
      </w: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按</w:t>
      </w:r>
      <w:r>
        <w:rPr>
          <w:rStyle w:val="7"/>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 xml:space="preserve">    </w:t>
      </w: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收取监理费</w:t>
      </w:r>
      <w:r>
        <w:rPr>
          <w:rStyle w:val="7"/>
          <w:rFonts w:hint="eastAsia" w:ascii="楷体" w:hAnsi="楷体" w:eastAsia="楷体" w:cs="楷体"/>
          <w:color w:val="000000" w:themeColor="text1"/>
          <w:sz w:val="24"/>
          <w:szCs w:val="22"/>
          <w:highlight w:val="none"/>
          <w:u w:val="single" w:color="000000"/>
          <w:lang w:eastAsia="zh-CN"/>
          <w14:textFill>
            <w14:solidFill>
              <w14:schemeClr w14:val="tx1"/>
            </w14:solidFill>
          </w14:textFill>
        </w:rPr>
        <w:t>。</w:t>
      </w:r>
    </w:p>
    <w:p w14:paraId="36A83758">
      <w:pPr>
        <w:snapToGrid w:val="0"/>
        <w:spacing w:line="320" w:lineRule="atLeast"/>
        <w:ind w:firstLine="480" w:firstLineChars="200"/>
        <w:rPr>
          <w:rStyle w:val="7"/>
          <w:rFonts w:hint="default" w:ascii="楷体" w:hAnsi="楷体" w:eastAsia="楷体" w:cs="楷体"/>
          <w:color w:val="000000" w:themeColor="text1"/>
          <w:sz w:val="24"/>
          <w:szCs w:val="22"/>
          <w:highlight w:val="none"/>
          <w:u w:val="single" w:color="000000"/>
          <w:lang w:val="en-US" w:eastAsia="zh-CN"/>
          <w14:textFill>
            <w14:solidFill>
              <w14:schemeClr w14:val="tx1"/>
            </w14:solidFill>
          </w14:textFill>
        </w:rPr>
      </w:pPr>
      <w:r>
        <w:rPr>
          <w:rStyle w:val="7"/>
          <w:rFonts w:hint="eastAsia" w:ascii="楷体" w:hAnsi="楷体" w:eastAsia="楷体" w:cs="楷体"/>
          <w:color w:val="000000" w:themeColor="text1"/>
          <w:sz w:val="24"/>
          <w:szCs w:val="22"/>
          <w:highlight w:val="none"/>
          <w:u w:val="single" w:color="000000"/>
          <w14:textFill>
            <w14:solidFill>
              <w14:schemeClr w14:val="tx1"/>
            </w14:solidFill>
          </w14:textFill>
        </w:rPr>
        <w:t>支付方式：</w:t>
      </w:r>
      <w:r>
        <w:rPr>
          <w:rStyle w:val="7"/>
          <w:rFonts w:hint="eastAsia" w:ascii="楷体" w:hAnsi="楷体" w:eastAsia="楷体" w:cs="楷体"/>
          <w:color w:val="000000" w:themeColor="text1"/>
          <w:sz w:val="24"/>
          <w:szCs w:val="22"/>
          <w:highlight w:val="none"/>
          <w:u w:val="single" w:color="000000"/>
          <w:lang w:val="en-US" w:eastAsia="zh-CN"/>
          <w14:textFill>
            <w14:solidFill>
              <w14:schemeClr w14:val="tx1"/>
            </w14:solidFill>
          </w14:textFill>
        </w:rPr>
        <w:t>预付款为：</w:t>
      </w:r>
    </w:p>
    <w:p w14:paraId="7C11A316">
      <w:pPr>
        <w:snapToGrid w:val="0"/>
        <w:spacing w:line="320" w:lineRule="atLeast"/>
        <w:ind w:firstLine="480" w:firstLineChars="200"/>
        <w:rPr>
          <w:rStyle w:val="7"/>
          <w:rFonts w:hint="eastAsia" w:ascii="仿宋" w:hAnsi="仿宋" w:eastAsia="仿宋" w:cs="仿宋"/>
          <w:color w:val="000000" w:themeColor="text1"/>
          <w:sz w:val="24"/>
          <w:szCs w:val="24"/>
          <w:highlight w:val="none"/>
          <w:u w:val="single"/>
          <w14:textFill>
            <w14:solidFill>
              <w14:schemeClr w14:val="tx1"/>
            </w14:solidFill>
          </w14:textFill>
        </w:rPr>
      </w:pPr>
      <w:r>
        <w:rPr>
          <w:rStyle w:val="7"/>
          <w:rFonts w:hint="eastAsia" w:ascii="仿宋" w:hAnsi="仿宋" w:eastAsia="仿宋" w:cs="仿宋"/>
          <w:color w:val="000000" w:themeColor="text1"/>
          <w:sz w:val="24"/>
          <w:szCs w:val="24"/>
          <w:highlight w:val="none"/>
          <w:u w:val="single" w:color="000000"/>
          <w:lang w:val="en-US" w:eastAsia="zh-CN"/>
          <w14:textFill>
            <w14:solidFill>
              <w14:schemeClr w14:val="tx1"/>
            </w14:solidFill>
          </w14:textFill>
        </w:rPr>
        <w:t>根据施工进度</w:t>
      </w:r>
      <w:r>
        <w:rPr>
          <w:rStyle w:val="7"/>
          <w:rFonts w:hint="eastAsia" w:ascii="仿宋" w:hAnsi="仿宋" w:eastAsia="仿宋" w:cs="仿宋"/>
          <w:color w:val="000000" w:themeColor="text1"/>
          <w:sz w:val="24"/>
          <w:szCs w:val="24"/>
          <w:highlight w:val="none"/>
          <w:u w:val="single" w:color="000000"/>
          <w14:textFill>
            <w14:solidFill>
              <w14:schemeClr w14:val="tx1"/>
            </w14:solidFill>
          </w14:textFill>
        </w:rPr>
        <w:t>每满一个月后7天内，由委托人向监理人</w:t>
      </w:r>
      <w:r>
        <w:rPr>
          <w:rStyle w:val="7"/>
          <w:rFonts w:hint="eastAsia" w:ascii="仿宋" w:hAnsi="仿宋" w:eastAsia="仿宋" w:cs="仿宋"/>
          <w:color w:val="000000" w:themeColor="text1"/>
          <w:sz w:val="24"/>
          <w:szCs w:val="24"/>
          <w:highlight w:val="none"/>
          <w:u w:val="single" w:color="000000"/>
          <w:lang w:val="en-US" w:eastAsia="zh-CN"/>
          <w14:textFill>
            <w14:solidFill>
              <w14:schemeClr w14:val="tx1"/>
            </w14:solidFill>
          </w14:textFill>
        </w:rPr>
        <w:t>办理</w:t>
      </w:r>
      <w:r>
        <w:rPr>
          <w:rStyle w:val="7"/>
          <w:rFonts w:hint="eastAsia" w:ascii="仿宋" w:hAnsi="仿宋" w:eastAsia="仿宋" w:cs="仿宋"/>
          <w:color w:val="000000" w:themeColor="text1"/>
          <w:sz w:val="24"/>
          <w:szCs w:val="24"/>
          <w:highlight w:val="none"/>
          <w:u w:val="single" w:color="000000"/>
          <w14:textFill>
            <w14:solidFill>
              <w14:schemeClr w14:val="tx1"/>
            </w14:solidFill>
          </w14:textFill>
        </w:rPr>
        <w:t>支付，监理人需提供等额增值税发票。</w:t>
      </w:r>
      <w:r>
        <w:rPr>
          <w:rStyle w:val="7"/>
          <w:rFonts w:hint="eastAsia" w:ascii="仿宋" w:hAnsi="仿宋" w:eastAsia="仿宋" w:cs="仿宋"/>
          <w:color w:val="000000" w:themeColor="text1"/>
          <w:sz w:val="24"/>
          <w:szCs w:val="24"/>
          <w:highlight w:val="none"/>
          <w:u w:val="single" w:color="000000"/>
          <w:lang w:val="en-US" w:eastAsia="zh-CN"/>
          <w14:textFill>
            <w14:solidFill>
              <w14:schemeClr w14:val="tx1"/>
            </w14:solidFill>
          </w14:textFill>
        </w:rPr>
        <w:t>由于本项目资金来源</w:t>
      </w:r>
      <w:r>
        <w:rPr>
          <w:rFonts w:hint="eastAsia" w:ascii="仿宋" w:hAnsi="仿宋" w:eastAsia="仿宋" w:cs="仿宋"/>
          <w:color w:val="000000"/>
          <w:kern w:val="0"/>
          <w:sz w:val="24"/>
          <w:szCs w:val="24"/>
          <w:lang w:val="en-US" w:eastAsia="zh-CN"/>
        </w:rPr>
        <w:t>财政资金，故</w:t>
      </w:r>
      <w:r>
        <w:rPr>
          <w:rFonts w:hint="eastAsia" w:ascii="仿宋" w:hAnsi="仿宋" w:eastAsia="仿宋" w:cs="仿宋"/>
          <w:color w:val="000000"/>
          <w:kern w:val="0"/>
          <w:sz w:val="24"/>
          <w:szCs w:val="24"/>
          <w:highlight w:val="none"/>
          <w:lang w:val="en-US" w:eastAsia="zh-CN"/>
        </w:rPr>
        <w:t>甲方</w:t>
      </w:r>
      <w:r>
        <w:rPr>
          <w:rFonts w:hint="eastAsia" w:ascii="仿宋" w:hAnsi="仿宋" w:eastAsia="仿宋" w:cs="仿宋"/>
          <w:color w:val="000000"/>
          <w:kern w:val="0"/>
          <w:sz w:val="24"/>
          <w:szCs w:val="24"/>
          <w:lang w:val="en-US" w:eastAsia="zh-CN"/>
        </w:rPr>
        <w:t>在向财政部门提交相关请款资料后，视为</w:t>
      </w:r>
      <w:r>
        <w:rPr>
          <w:rFonts w:hint="eastAsia" w:ascii="仿宋" w:hAnsi="仿宋" w:eastAsia="仿宋" w:cs="仿宋"/>
          <w:color w:val="000000"/>
          <w:kern w:val="0"/>
          <w:sz w:val="24"/>
          <w:szCs w:val="24"/>
          <w:highlight w:val="none"/>
          <w:lang w:val="en-US" w:eastAsia="zh-CN"/>
        </w:rPr>
        <w:t>甲方</w:t>
      </w:r>
      <w:r>
        <w:rPr>
          <w:rFonts w:hint="eastAsia" w:ascii="仿宋" w:hAnsi="仿宋" w:eastAsia="仿宋" w:cs="仿宋"/>
          <w:color w:val="000000"/>
          <w:kern w:val="0"/>
          <w:sz w:val="24"/>
          <w:szCs w:val="24"/>
          <w:lang w:val="en-US" w:eastAsia="zh-CN"/>
        </w:rPr>
        <w:t>已履行付款义务。具体拨付时间以财政资金转移支付时间为准。</w:t>
      </w:r>
    </w:p>
    <w:p w14:paraId="1C85A558">
      <w:pPr>
        <w:snapToGrid w:val="0"/>
        <w:spacing w:line="320" w:lineRule="atLeast"/>
        <w:rPr>
          <w:rStyle w:val="7"/>
          <w:rFonts w:ascii="楷体" w:hAnsi="楷体" w:eastAsia="楷体" w:cs="楷体"/>
          <w:b/>
          <w:bCs/>
          <w:color w:val="000000" w:themeColor="text1"/>
          <w:sz w:val="24"/>
          <w:highlight w:val="none"/>
          <w14:textFill>
            <w14:solidFill>
              <w14:schemeClr w14:val="tx1"/>
            </w14:solidFill>
          </w14:textFill>
        </w:rPr>
      </w:pPr>
      <w:r>
        <w:rPr>
          <w:rStyle w:val="7"/>
          <w:rFonts w:hint="eastAsia" w:ascii="楷体" w:hAnsi="楷体" w:eastAsia="楷体" w:cs="楷体"/>
          <w:b/>
          <w:bCs/>
          <w:color w:val="000000" w:themeColor="text1"/>
          <w:sz w:val="24"/>
          <w:highlight w:val="none"/>
          <w14:textFill>
            <w14:solidFill>
              <w14:schemeClr w14:val="tx1"/>
            </w14:solidFill>
          </w14:textFill>
        </w:rPr>
        <w:t>6. 合同生效、变更、暂停、解除与终止</w:t>
      </w:r>
    </w:p>
    <w:p w14:paraId="5D51934E">
      <w:pPr>
        <w:snapToGrid w:val="0"/>
        <w:spacing w:line="340" w:lineRule="atLeast"/>
        <w:ind w:firstLine="240" w:firstLineChars="1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6.1 生效</w:t>
      </w:r>
    </w:p>
    <w:p w14:paraId="7B443EBC">
      <w:pPr>
        <w:snapToGrid w:val="0"/>
        <w:spacing w:line="340" w:lineRule="atLeast"/>
        <w:ind w:firstLine="48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本合同生效条件：</w:t>
      </w:r>
      <w:r>
        <w:rPr>
          <w:rStyle w:val="7"/>
          <w:rFonts w:hint="eastAsia" w:ascii="楷体" w:hAnsi="楷体" w:eastAsia="楷体" w:cs="楷体"/>
          <w:b/>
          <w:color w:val="000000" w:themeColor="text1"/>
          <w:sz w:val="24"/>
          <w:highlight w:val="none"/>
          <w:u w:val="single" w:color="000000"/>
          <w14:textFill>
            <w14:solidFill>
              <w14:schemeClr w14:val="tx1"/>
            </w14:solidFill>
          </w14:textFill>
        </w:rPr>
        <w:t>双方签字盖章即日起</w:t>
      </w:r>
      <w:r>
        <w:rPr>
          <w:rStyle w:val="7"/>
          <w:rFonts w:hint="eastAsia" w:ascii="楷体" w:hAnsi="楷体" w:eastAsia="楷体" w:cs="楷体"/>
          <w:color w:val="000000" w:themeColor="text1"/>
          <w:sz w:val="24"/>
          <w:highlight w:val="none"/>
          <w14:textFill>
            <w14:solidFill>
              <w14:schemeClr w14:val="tx1"/>
            </w14:solidFill>
          </w14:textFill>
        </w:rPr>
        <w:t>。</w:t>
      </w:r>
    </w:p>
    <w:p w14:paraId="0889C860">
      <w:pPr>
        <w:snapToGrid w:val="0"/>
        <w:spacing w:line="340" w:lineRule="atLeast"/>
        <w:ind w:firstLine="235" w:firstLineChars="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6.2 变更</w:t>
      </w:r>
    </w:p>
    <w:p w14:paraId="59690C1F">
      <w:pPr>
        <w:snapToGrid w:val="0"/>
        <w:spacing w:line="34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6.2.1 除不可抗力外， 因非监理人原因导致本合同期限延长时，附加工作酬金按下列方法确定：</w:t>
      </w:r>
    </w:p>
    <w:p w14:paraId="04F60A31">
      <w:pPr>
        <w:snapToGrid w:val="0"/>
        <w:spacing w:line="340" w:lineRule="atLeast"/>
        <w:ind w:firstLine="480" w:firstLineChars="200"/>
        <w:rPr>
          <w:rStyle w:val="7"/>
          <w:rFonts w:ascii="楷体" w:hAnsi="楷体" w:eastAsia="楷体" w:cs="楷体"/>
          <w:color w:val="000000" w:themeColor="text1"/>
          <w:kern w:val="0"/>
          <w:sz w:val="24"/>
          <w:highlight w:val="none"/>
          <w:u w:val="single" w:color="000000"/>
          <w14:textFill>
            <w14:solidFill>
              <w14:schemeClr w14:val="tx1"/>
            </w14:solidFill>
          </w14:textFill>
        </w:rPr>
      </w:pPr>
      <w:r>
        <w:rPr>
          <w:rStyle w:val="7"/>
          <w:rFonts w:hint="eastAsia" w:ascii="楷体" w:hAnsi="楷体" w:eastAsia="楷体" w:cs="楷体"/>
          <w:color w:val="000000" w:themeColor="text1"/>
          <w:kern w:val="0"/>
          <w:sz w:val="24"/>
          <w:highlight w:val="none"/>
          <w:u w:val="single" w:color="000000"/>
          <w14:textFill>
            <w14:solidFill>
              <w14:schemeClr w14:val="tx1"/>
            </w14:solidFill>
          </w14:textFill>
        </w:rPr>
        <w:t xml:space="preserve">    /    。</w:t>
      </w:r>
    </w:p>
    <w:p w14:paraId="3A081C5B">
      <w:pPr>
        <w:snapToGrid w:val="0"/>
        <w:spacing w:line="34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6.2.2附加工作酬金按下列方法确定：</w:t>
      </w:r>
    </w:p>
    <w:p w14:paraId="6339169B">
      <w:pPr>
        <w:snapToGrid w:val="0"/>
        <w:spacing w:line="340" w:lineRule="atLeast"/>
        <w:ind w:firstLine="480" w:firstLineChars="200"/>
        <w:rPr>
          <w:rStyle w:val="7"/>
          <w:rFonts w:ascii="楷体" w:hAnsi="楷体" w:eastAsia="楷体" w:cs="楷体"/>
          <w:color w:val="000000" w:themeColor="text1"/>
          <w:kern w:val="0"/>
          <w:sz w:val="24"/>
          <w:highlight w:val="none"/>
          <w:u w:val="single" w:color="000000"/>
          <w14:textFill>
            <w14:solidFill>
              <w14:schemeClr w14:val="tx1"/>
            </w14:solidFill>
          </w14:textFill>
        </w:rPr>
      </w:pPr>
      <w:r>
        <w:rPr>
          <w:rStyle w:val="7"/>
          <w:rFonts w:hint="eastAsia" w:ascii="楷体" w:hAnsi="楷体" w:eastAsia="楷体" w:cs="楷体"/>
          <w:color w:val="000000" w:themeColor="text1"/>
          <w:kern w:val="0"/>
          <w:sz w:val="24"/>
          <w:highlight w:val="none"/>
          <w:u w:val="single" w:color="000000"/>
          <w14:textFill>
            <w14:solidFill>
              <w14:schemeClr w14:val="tx1"/>
            </w14:solidFill>
          </w14:textFill>
        </w:rPr>
        <w:t xml:space="preserve">    /    。</w:t>
      </w:r>
      <w:r>
        <w:rPr>
          <w:rStyle w:val="7"/>
          <w:rFonts w:ascii="楷体" w:hAnsi="楷体" w:eastAsia="楷体" w:cs="楷体"/>
          <w:color w:val="000000" w:themeColor="text1"/>
          <w:kern w:val="0"/>
          <w:sz w:val="24"/>
          <w:highlight w:val="none"/>
          <w:u w:val="single" w:color="000000"/>
          <w14:textFill>
            <w14:solidFill>
              <w14:schemeClr w14:val="tx1"/>
            </w14:solidFill>
          </w14:textFill>
        </w:rPr>
        <w:t xml:space="preserve">         </w:t>
      </w:r>
    </w:p>
    <w:p w14:paraId="5C166D38">
      <w:pPr>
        <w:snapToGrid w:val="0"/>
        <w:spacing w:line="34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6.2.3 正常工作酬金增加额按下列方法确定： </w:t>
      </w:r>
    </w:p>
    <w:p w14:paraId="1D423307">
      <w:pPr>
        <w:snapToGrid w:val="0"/>
        <w:spacing w:line="320" w:lineRule="atLeast"/>
        <w:rPr>
          <w:rStyle w:val="7"/>
          <w:rFonts w:ascii="楷体" w:hAnsi="楷体" w:eastAsia="楷体" w:cs="楷体"/>
          <w:b/>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kern w:val="0"/>
          <w:sz w:val="24"/>
          <w:highlight w:val="none"/>
          <w:u w:val="single" w:color="000000"/>
          <w14:textFill>
            <w14:solidFill>
              <w14:schemeClr w14:val="tx1"/>
            </w14:solidFill>
          </w14:textFill>
        </w:rPr>
        <w:t xml:space="preserve">    /    。</w:t>
      </w:r>
    </w:p>
    <w:p w14:paraId="6DE644ED">
      <w:pPr>
        <w:snapToGrid w:val="0"/>
        <w:spacing w:line="320" w:lineRule="atLeast"/>
        <w:rPr>
          <w:rStyle w:val="7"/>
          <w:rFonts w:ascii="楷体" w:hAnsi="楷体" w:eastAsia="楷体" w:cs="楷体"/>
          <w:b/>
          <w:color w:val="000000" w:themeColor="text1"/>
          <w:sz w:val="24"/>
          <w:highlight w:val="none"/>
          <w14:textFill>
            <w14:solidFill>
              <w14:schemeClr w14:val="tx1"/>
            </w14:solidFill>
          </w14:textFill>
        </w:rPr>
      </w:pPr>
      <w:r>
        <w:rPr>
          <w:rStyle w:val="7"/>
          <w:rFonts w:hint="eastAsia" w:ascii="楷体" w:hAnsi="楷体" w:eastAsia="楷体" w:cs="楷体"/>
          <w:b/>
          <w:bCs/>
          <w:color w:val="000000" w:themeColor="text1"/>
          <w:sz w:val="24"/>
          <w:highlight w:val="none"/>
          <w14:textFill>
            <w14:solidFill>
              <w14:schemeClr w14:val="tx1"/>
            </w14:solidFill>
          </w14:textFill>
        </w:rPr>
        <w:t>7. 争议解决</w:t>
      </w:r>
    </w:p>
    <w:p w14:paraId="19351BC4">
      <w:pPr>
        <w:snapToGrid w:val="0"/>
        <w:spacing w:line="320" w:lineRule="atLeast"/>
        <w:ind w:firstLine="235" w:firstLineChars="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7.1 </w:t>
      </w:r>
      <w:r>
        <w:rPr>
          <w:rStyle w:val="7"/>
          <w:rFonts w:hint="eastAsia" w:ascii="楷体" w:hAnsi="楷体" w:eastAsia="楷体" w:cs="楷体"/>
          <w:bCs/>
          <w:color w:val="000000" w:themeColor="text1"/>
          <w:sz w:val="24"/>
          <w:highlight w:val="none"/>
          <w14:textFill>
            <w14:solidFill>
              <w14:schemeClr w14:val="tx1"/>
            </w14:solidFill>
          </w14:textFill>
        </w:rPr>
        <w:t>调解</w:t>
      </w:r>
    </w:p>
    <w:p w14:paraId="58567B29">
      <w:pPr>
        <w:snapToGrid w:val="0"/>
        <w:spacing w:line="320" w:lineRule="atLeast"/>
        <w:ind w:firstLine="470" w:firstLineChars="196"/>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本合同争议进行调解时，可提交</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7"/>
          <w:rFonts w:hint="eastAsia" w:ascii="楷体" w:hAnsi="楷体" w:eastAsia="楷体" w:cs="楷体"/>
          <w:color w:val="000000" w:themeColor="text1"/>
          <w:sz w:val="24"/>
          <w:highlight w:val="none"/>
          <w14:textFill>
            <w14:solidFill>
              <w14:schemeClr w14:val="tx1"/>
            </w14:solidFill>
          </w14:textFill>
        </w:rPr>
        <w:t>进行调解。</w:t>
      </w:r>
    </w:p>
    <w:p w14:paraId="2B0F850E">
      <w:pPr>
        <w:snapToGrid w:val="0"/>
        <w:spacing w:line="320" w:lineRule="atLeast"/>
        <w:ind w:firstLine="235" w:firstLineChars="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 xml:space="preserve">7.2 </w:t>
      </w:r>
      <w:r>
        <w:rPr>
          <w:rStyle w:val="7"/>
          <w:rFonts w:hint="eastAsia" w:ascii="楷体" w:hAnsi="楷体" w:eastAsia="楷体" w:cs="楷体"/>
          <w:bCs/>
          <w:color w:val="000000" w:themeColor="text1"/>
          <w:sz w:val="24"/>
          <w:highlight w:val="none"/>
          <w14:textFill>
            <w14:solidFill>
              <w14:schemeClr w14:val="tx1"/>
            </w14:solidFill>
          </w14:textFill>
        </w:rPr>
        <w:t>仲裁或诉讼</w:t>
      </w:r>
    </w:p>
    <w:p w14:paraId="18DB2340">
      <w:pPr>
        <w:snapToGrid w:val="0"/>
        <w:spacing w:line="32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合同争议的最终解决方式为下列第</w:t>
      </w:r>
      <w:r>
        <w:rPr>
          <w:rStyle w:val="7"/>
          <w:rFonts w:hint="eastAsia" w:ascii="楷体" w:hAnsi="楷体" w:eastAsia="楷体" w:cs="楷体"/>
          <w:b/>
          <w:color w:val="000000" w:themeColor="text1"/>
          <w:sz w:val="24"/>
          <w:highlight w:val="none"/>
          <w:u w:val="single" w:color="000000"/>
          <w14:textFill>
            <w14:solidFill>
              <w14:schemeClr w14:val="tx1"/>
            </w14:solidFill>
          </w14:textFill>
        </w:rPr>
        <w:t>（2）</w:t>
      </w:r>
      <w:r>
        <w:rPr>
          <w:rStyle w:val="7"/>
          <w:rFonts w:hint="eastAsia" w:ascii="楷体" w:hAnsi="楷体" w:eastAsia="楷体" w:cs="楷体"/>
          <w:color w:val="000000" w:themeColor="text1"/>
          <w:sz w:val="24"/>
          <w:highlight w:val="none"/>
          <w14:textFill>
            <w14:solidFill>
              <w14:schemeClr w14:val="tx1"/>
            </w14:solidFill>
          </w14:textFill>
        </w:rPr>
        <w:t>种方式：</w:t>
      </w:r>
    </w:p>
    <w:p w14:paraId="5B6DE5F0">
      <w:pPr>
        <w:snapToGrid w:val="0"/>
        <w:spacing w:line="32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（1）提请</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7"/>
          <w:rFonts w:hint="eastAsia" w:ascii="楷体" w:hAnsi="楷体" w:eastAsia="楷体" w:cs="楷体"/>
          <w:color w:val="000000" w:themeColor="text1"/>
          <w:sz w:val="24"/>
          <w:highlight w:val="none"/>
          <w14:textFill>
            <w14:solidFill>
              <w14:schemeClr w14:val="tx1"/>
            </w14:solidFill>
          </w14:textFill>
        </w:rPr>
        <w:t>仲裁委员会进行仲裁。</w:t>
      </w:r>
    </w:p>
    <w:p w14:paraId="1D446B6B">
      <w:pPr>
        <w:snapToGrid w:val="0"/>
        <w:spacing w:line="32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（2）向</w:t>
      </w:r>
      <w:r>
        <w:rPr>
          <w:rStyle w:val="7"/>
          <w:rFonts w:hint="eastAsia" w:ascii="楷体" w:hAnsi="楷体" w:eastAsia="楷体" w:cs="楷体"/>
          <w:color w:val="000000" w:themeColor="text1"/>
          <w:sz w:val="24"/>
          <w:highlight w:val="none"/>
          <w:u w:val="single"/>
          <w:lang w:val="en-US" w:eastAsia="zh-CN"/>
          <w14:textFill>
            <w14:solidFill>
              <w14:schemeClr w14:val="tx1"/>
            </w14:solidFill>
          </w14:textFill>
        </w:rPr>
        <w:t xml:space="preserve">    </w:t>
      </w:r>
      <w:r>
        <w:rPr>
          <w:rStyle w:val="7"/>
          <w:rFonts w:hint="eastAsia" w:ascii="楷体" w:hAnsi="楷体" w:eastAsia="楷体" w:cs="楷体"/>
          <w:color w:val="000000" w:themeColor="text1"/>
          <w:sz w:val="24"/>
          <w:highlight w:val="none"/>
          <w14:textFill>
            <w14:solidFill>
              <w14:schemeClr w14:val="tx1"/>
            </w14:solidFill>
          </w14:textFill>
        </w:rPr>
        <w:t>人民法院提起诉讼。</w:t>
      </w:r>
    </w:p>
    <w:p w14:paraId="20A76AC4">
      <w:pPr>
        <w:snapToGrid w:val="0"/>
        <w:spacing w:line="320" w:lineRule="atLeast"/>
        <w:rPr>
          <w:rStyle w:val="7"/>
          <w:rFonts w:ascii="楷体" w:hAnsi="楷体" w:eastAsia="楷体" w:cs="楷体"/>
          <w:b/>
          <w:bCs/>
          <w:color w:val="000000" w:themeColor="text1"/>
          <w:sz w:val="24"/>
          <w:highlight w:val="none"/>
          <w14:textFill>
            <w14:solidFill>
              <w14:schemeClr w14:val="tx1"/>
            </w14:solidFill>
          </w14:textFill>
        </w:rPr>
      </w:pPr>
      <w:r>
        <w:rPr>
          <w:rStyle w:val="7"/>
          <w:rFonts w:hint="eastAsia" w:ascii="楷体" w:hAnsi="楷体" w:eastAsia="楷体" w:cs="楷体"/>
          <w:b/>
          <w:bCs/>
          <w:color w:val="000000" w:themeColor="text1"/>
          <w:sz w:val="24"/>
          <w:highlight w:val="none"/>
          <w14:textFill>
            <w14:solidFill>
              <w14:schemeClr w14:val="tx1"/>
            </w14:solidFill>
          </w14:textFill>
        </w:rPr>
        <w:t>8. 其他</w:t>
      </w:r>
    </w:p>
    <w:p w14:paraId="39F8EE24">
      <w:pPr>
        <w:snapToGrid w:val="0"/>
        <w:spacing w:line="320" w:lineRule="atLeast"/>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bCs/>
          <w:color w:val="000000" w:themeColor="text1"/>
          <w:sz w:val="24"/>
          <w:highlight w:val="none"/>
          <w14:textFill>
            <w14:solidFill>
              <w14:schemeClr w14:val="tx1"/>
            </w14:solidFill>
          </w14:textFill>
        </w:rPr>
        <w:t>8.1 检测费用</w:t>
      </w:r>
    </w:p>
    <w:p w14:paraId="62D16ABC">
      <w:pPr>
        <w:snapToGrid w:val="0"/>
        <w:spacing w:line="320" w:lineRule="atLeast"/>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bCs/>
          <w:color w:val="000000" w:themeColor="text1"/>
          <w:sz w:val="24"/>
          <w:highlight w:val="none"/>
          <w14:textFill>
            <w14:solidFill>
              <w14:schemeClr w14:val="tx1"/>
            </w14:solidFill>
          </w14:textFill>
        </w:rPr>
        <w:t xml:space="preserve">    委托人应在检测工作完成后</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7"/>
          <w:rFonts w:hint="eastAsia" w:ascii="楷体" w:hAnsi="楷体" w:eastAsia="楷体" w:cs="楷体"/>
          <w:bCs/>
          <w:color w:val="000000" w:themeColor="text1"/>
          <w:sz w:val="24"/>
          <w:highlight w:val="none"/>
          <w14:textFill>
            <w14:solidFill>
              <w14:schemeClr w14:val="tx1"/>
            </w14:solidFill>
          </w14:textFill>
        </w:rPr>
        <w:t>天内支付检测费用。</w:t>
      </w:r>
    </w:p>
    <w:p w14:paraId="09958F35">
      <w:pPr>
        <w:snapToGrid w:val="0"/>
        <w:spacing w:line="320" w:lineRule="atLeast"/>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bCs/>
          <w:color w:val="000000" w:themeColor="text1"/>
          <w:sz w:val="24"/>
          <w:highlight w:val="none"/>
          <w14:textFill>
            <w14:solidFill>
              <w14:schemeClr w14:val="tx1"/>
            </w14:solidFill>
          </w14:textFill>
        </w:rPr>
        <w:t xml:space="preserve">  8.2 咨询费用</w:t>
      </w:r>
    </w:p>
    <w:p w14:paraId="52C057DC">
      <w:pPr>
        <w:snapToGrid w:val="0"/>
        <w:spacing w:line="320" w:lineRule="atLeast"/>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bCs/>
          <w:color w:val="000000" w:themeColor="text1"/>
          <w:sz w:val="24"/>
          <w:highlight w:val="none"/>
          <w14:textFill>
            <w14:solidFill>
              <w14:schemeClr w14:val="tx1"/>
            </w14:solidFill>
          </w14:textFill>
        </w:rPr>
        <w:t xml:space="preserve">    委托人应在咨询工作完成后</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7"/>
          <w:rFonts w:hint="eastAsia" w:ascii="楷体" w:hAnsi="楷体" w:eastAsia="楷体" w:cs="楷体"/>
          <w:bCs/>
          <w:color w:val="000000" w:themeColor="text1"/>
          <w:sz w:val="24"/>
          <w:highlight w:val="none"/>
          <w14:textFill>
            <w14:solidFill>
              <w14:schemeClr w14:val="tx1"/>
            </w14:solidFill>
          </w14:textFill>
        </w:rPr>
        <w:t>天内支付咨询费用。</w:t>
      </w:r>
    </w:p>
    <w:p w14:paraId="6186F9D5">
      <w:pPr>
        <w:snapToGrid w:val="0"/>
        <w:spacing w:line="320" w:lineRule="atLeast"/>
        <w:ind w:firstLine="235" w:firstLineChars="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8.3 奖励</w:t>
      </w:r>
    </w:p>
    <w:p w14:paraId="4290240D">
      <w:pPr>
        <w:snapToGrid w:val="0"/>
        <w:spacing w:line="32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合理化建议的奖励金额按下列方法确定为：</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  </w:t>
      </w:r>
      <w:r>
        <w:rPr>
          <w:rStyle w:val="7"/>
          <w:rFonts w:hint="eastAsia" w:ascii="楷体" w:hAnsi="楷体" w:eastAsia="楷体" w:cs="楷体"/>
          <w:color w:val="000000" w:themeColor="text1"/>
          <w:sz w:val="24"/>
          <w:highlight w:val="none"/>
          <w14:textFill>
            <w14:solidFill>
              <w14:schemeClr w14:val="tx1"/>
            </w14:solidFill>
          </w14:textFill>
        </w:rPr>
        <w:t>。</w:t>
      </w:r>
    </w:p>
    <w:p w14:paraId="64B27039">
      <w:pPr>
        <w:snapToGrid w:val="0"/>
        <w:spacing w:line="32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奖励金额＝工程投资节省额×奖励金额的比率；</w:t>
      </w:r>
    </w:p>
    <w:p w14:paraId="6E90942E">
      <w:pPr>
        <w:snapToGrid w:val="0"/>
        <w:spacing w:line="32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奖励金额的比率为</w:t>
      </w:r>
      <w:r>
        <w:rPr>
          <w:rStyle w:val="7"/>
          <w:rFonts w:hint="eastAsia" w:ascii="楷体" w:hAnsi="楷体" w:eastAsia="楷体" w:cs="楷体"/>
          <w:b/>
          <w:color w:val="000000" w:themeColor="text1"/>
          <w:sz w:val="24"/>
          <w:highlight w:val="none"/>
          <w:u w:val="single" w:color="000000"/>
          <w14:textFill>
            <w14:solidFill>
              <w14:schemeClr w14:val="tx1"/>
            </w14:solidFill>
          </w14:textFill>
        </w:rPr>
        <w:t>0</w:t>
      </w:r>
      <w:r>
        <w:rPr>
          <w:rStyle w:val="7"/>
          <w:rFonts w:hint="eastAsia" w:ascii="楷体" w:hAnsi="楷体" w:eastAsia="楷体" w:cs="楷体"/>
          <w:color w:val="000000" w:themeColor="text1"/>
          <w:sz w:val="24"/>
          <w:highlight w:val="none"/>
          <w14:textFill>
            <w14:solidFill>
              <w14:schemeClr w14:val="tx1"/>
            </w14:solidFill>
          </w14:textFill>
        </w:rPr>
        <w:t>%。</w:t>
      </w:r>
    </w:p>
    <w:p w14:paraId="36CA6564">
      <w:pPr>
        <w:snapToGrid w:val="0"/>
        <w:spacing w:line="320" w:lineRule="atLeast"/>
        <w:ind w:firstLine="235" w:firstLineChars="98"/>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8.4 保密</w:t>
      </w:r>
    </w:p>
    <w:p w14:paraId="5A3F413C">
      <w:pPr>
        <w:snapToGrid w:val="0"/>
        <w:spacing w:line="320" w:lineRule="atLeast"/>
        <w:ind w:firstLine="480" w:firstLineChars="200"/>
        <w:rPr>
          <w:rStyle w:val="7"/>
          <w:rFonts w:ascii="楷体" w:hAnsi="楷体" w:eastAsia="楷体" w:cs="楷体"/>
          <w:color w:val="000000" w:themeColor="text1"/>
          <w:sz w:val="24"/>
          <w:highlight w:val="none"/>
          <w:u w:val="single" w:color="000000"/>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委托人申明的保密事项和期限：</w:t>
      </w:r>
      <w:r>
        <w:rPr>
          <w:rStyle w:val="7"/>
          <w:rFonts w:hint="eastAsia" w:ascii="楷体" w:hAnsi="楷体" w:eastAsia="楷体" w:cs="楷体"/>
          <w:b/>
          <w:color w:val="000000" w:themeColor="text1"/>
          <w:sz w:val="24"/>
          <w:highlight w:val="none"/>
          <w:u w:val="single" w:color="000000"/>
          <w14:textFill>
            <w14:solidFill>
              <w14:schemeClr w14:val="tx1"/>
            </w14:solidFill>
          </w14:textFill>
        </w:rPr>
        <w:t>长期</w:t>
      </w:r>
      <w:r>
        <w:rPr>
          <w:rStyle w:val="7"/>
          <w:rFonts w:hint="eastAsia" w:ascii="楷体" w:hAnsi="楷体" w:eastAsia="楷体" w:cs="楷体"/>
          <w:color w:val="000000" w:themeColor="text1"/>
          <w:sz w:val="24"/>
          <w:highlight w:val="none"/>
          <w14:textFill>
            <w14:solidFill>
              <w14:schemeClr w14:val="tx1"/>
            </w14:solidFill>
          </w14:textFill>
        </w:rPr>
        <w:t>。</w:t>
      </w:r>
    </w:p>
    <w:p w14:paraId="23D0A3C5">
      <w:pPr>
        <w:snapToGrid w:val="0"/>
        <w:spacing w:line="320" w:lineRule="atLeast"/>
        <w:ind w:firstLine="480" w:firstLineChars="200"/>
        <w:rPr>
          <w:rStyle w:val="7"/>
          <w:rFonts w:ascii="楷体" w:hAnsi="楷体" w:eastAsia="楷体" w:cs="楷体"/>
          <w:color w:val="000000" w:themeColor="text1"/>
          <w:sz w:val="24"/>
          <w:highlight w:val="none"/>
          <w:u w:val="single" w:color="000000"/>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监理人申明的保密事项和期限：</w:t>
      </w:r>
      <w:r>
        <w:rPr>
          <w:rStyle w:val="7"/>
          <w:rFonts w:hint="eastAsia" w:ascii="楷体" w:hAnsi="楷体" w:eastAsia="楷体" w:cs="楷体"/>
          <w:b/>
          <w:color w:val="000000" w:themeColor="text1"/>
          <w:sz w:val="24"/>
          <w:highlight w:val="none"/>
          <w:u w:val="single" w:color="000000"/>
          <w14:textFill>
            <w14:solidFill>
              <w14:schemeClr w14:val="tx1"/>
            </w14:solidFill>
          </w14:textFill>
        </w:rPr>
        <w:t>长期</w:t>
      </w:r>
      <w:r>
        <w:rPr>
          <w:rStyle w:val="7"/>
          <w:rFonts w:hint="eastAsia" w:ascii="楷体" w:hAnsi="楷体" w:eastAsia="楷体" w:cs="楷体"/>
          <w:color w:val="000000" w:themeColor="text1"/>
          <w:sz w:val="24"/>
          <w:highlight w:val="none"/>
          <w14:textFill>
            <w14:solidFill>
              <w14:schemeClr w14:val="tx1"/>
            </w14:solidFill>
          </w14:textFill>
        </w:rPr>
        <w:t>。</w:t>
      </w:r>
    </w:p>
    <w:p w14:paraId="3584940C">
      <w:pPr>
        <w:snapToGrid w:val="0"/>
        <w:spacing w:line="320" w:lineRule="atLeast"/>
        <w:ind w:firstLine="480" w:firstLineChars="200"/>
        <w:rPr>
          <w:rStyle w:val="7"/>
          <w:rFonts w:ascii="楷体" w:hAnsi="楷体" w:eastAsia="楷体" w:cs="楷体"/>
          <w:color w:val="000000" w:themeColor="text1"/>
          <w:sz w:val="24"/>
          <w:highlight w:val="none"/>
          <w:u w:val="single" w:color="000000"/>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第三方申明的保密事项和期限：</w:t>
      </w:r>
      <w:r>
        <w:rPr>
          <w:rStyle w:val="7"/>
          <w:rFonts w:hint="eastAsia" w:ascii="楷体" w:hAnsi="楷体" w:eastAsia="楷体" w:cs="楷体"/>
          <w:b/>
          <w:color w:val="000000" w:themeColor="text1"/>
          <w:sz w:val="24"/>
          <w:highlight w:val="none"/>
          <w:u w:val="single" w:color="000000"/>
          <w14:textFill>
            <w14:solidFill>
              <w14:schemeClr w14:val="tx1"/>
            </w14:solidFill>
          </w14:textFill>
        </w:rPr>
        <w:t>长期</w:t>
      </w:r>
      <w:r>
        <w:rPr>
          <w:rStyle w:val="7"/>
          <w:rFonts w:hint="eastAsia" w:ascii="楷体" w:hAnsi="楷体" w:eastAsia="楷体" w:cs="楷体"/>
          <w:color w:val="000000" w:themeColor="text1"/>
          <w:sz w:val="24"/>
          <w:highlight w:val="none"/>
          <w14:textFill>
            <w14:solidFill>
              <w14:schemeClr w14:val="tx1"/>
            </w14:solidFill>
          </w14:textFill>
        </w:rPr>
        <w:t>。</w:t>
      </w:r>
    </w:p>
    <w:p w14:paraId="327BAA1E">
      <w:pPr>
        <w:snapToGrid w:val="0"/>
        <w:spacing w:line="320" w:lineRule="atLeast"/>
        <w:ind w:firstLine="235" w:firstLineChars="98"/>
        <w:rPr>
          <w:rStyle w:val="7"/>
          <w:rFonts w:ascii="楷体" w:hAnsi="楷体" w:eastAsia="楷体" w:cs="楷体"/>
          <w:bCs/>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8.5</w:t>
      </w:r>
      <w:r>
        <w:rPr>
          <w:rStyle w:val="7"/>
          <w:rFonts w:hint="eastAsia" w:ascii="楷体" w:hAnsi="楷体" w:eastAsia="楷体" w:cs="楷体"/>
          <w:bCs/>
          <w:color w:val="000000" w:themeColor="text1"/>
          <w:sz w:val="24"/>
          <w:highlight w:val="none"/>
          <w14:textFill>
            <w14:solidFill>
              <w14:schemeClr w14:val="tx1"/>
            </w14:solidFill>
          </w14:textFill>
        </w:rPr>
        <w:t>著作权</w:t>
      </w:r>
    </w:p>
    <w:p w14:paraId="51C69BA1">
      <w:pPr>
        <w:snapToGrid w:val="0"/>
        <w:spacing w:line="320" w:lineRule="atLeast"/>
        <w:ind w:firstLine="480" w:firstLineChars="200"/>
        <w:rPr>
          <w:rStyle w:val="7"/>
          <w:rFonts w:ascii="楷体" w:hAnsi="楷体" w:eastAsia="楷体" w:cs="楷体"/>
          <w:color w:val="000000" w:themeColor="text1"/>
          <w:sz w:val="24"/>
          <w:highlight w:val="none"/>
          <w14:textFill>
            <w14:solidFill>
              <w14:schemeClr w14:val="tx1"/>
            </w14:solidFill>
          </w14:textFill>
        </w:rPr>
      </w:pPr>
      <w:r>
        <w:rPr>
          <w:rStyle w:val="7"/>
          <w:rFonts w:hint="eastAsia" w:ascii="楷体" w:hAnsi="楷体" w:eastAsia="楷体" w:cs="楷体"/>
          <w:color w:val="000000" w:themeColor="text1"/>
          <w:sz w:val="24"/>
          <w:highlight w:val="none"/>
          <w14:textFill>
            <w14:solidFill>
              <w14:schemeClr w14:val="tx1"/>
            </w14:solidFill>
          </w14:textFill>
        </w:rPr>
        <w:t>监理人在本合同履行期间及本合同终止后两年内出版涉及本工程的有关监理与相关服务的资料的限制条件：</w:t>
      </w:r>
      <w:r>
        <w:rPr>
          <w:rStyle w:val="7"/>
          <w:rFonts w:hint="eastAsia" w:ascii="楷体" w:hAnsi="楷体" w:eastAsia="楷体" w:cs="楷体"/>
          <w:b/>
          <w:color w:val="000000" w:themeColor="text1"/>
          <w:sz w:val="24"/>
          <w:highlight w:val="none"/>
          <w:u w:val="single" w:color="000000"/>
          <w14:textFill>
            <w14:solidFill>
              <w14:schemeClr w14:val="tx1"/>
            </w14:solidFill>
          </w14:textFill>
        </w:rPr>
        <w:t>委托人书面签字同意</w:t>
      </w:r>
      <w:r>
        <w:rPr>
          <w:rStyle w:val="7"/>
          <w:rFonts w:hint="eastAsia" w:ascii="楷体" w:hAnsi="楷体" w:eastAsia="楷体" w:cs="楷体"/>
          <w:color w:val="000000" w:themeColor="text1"/>
          <w:sz w:val="24"/>
          <w:highlight w:val="none"/>
          <w:u w:val="single" w:color="000000"/>
          <w14:textFill>
            <w14:solidFill>
              <w14:schemeClr w14:val="tx1"/>
            </w14:solidFill>
          </w14:textFill>
        </w:rPr>
        <w:t xml:space="preserve"> 。 </w:t>
      </w:r>
    </w:p>
    <w:p w14:paraId="3764D5A7">
      <w:pPr>
        <w:snapToGrid w:val="0"/>
        <w:spacing w:line="320" w:lineRule="atLeast"/>
        <w:rPr>
          <w:rStyle w:val="7"/>
          <w:rFonts w:ascii="楷体" w:hAnsi="楷体" w:eastAsia="楷体" w:cs="楷体"/>
          <w:b/>
          <w:bCs/>
          <w:color w:val="000000" w:themeColor="text1"/>
          <w:sz w:val="24"/>
          <w:highlight w:val="none"/>
          <w14:textFill>
            <w14:solidFill>
              <w14:schemeClr w14:val="tx1"/>
            </w14:solidFill>
          </w14:textFill>
        </w:rPr>
      </w:pPr>
      <w:r>
        <w:rPr>
          <w:rStyle w:val="7"/>
          <w:rFonts w:hint="eastAsia" w:ascii="楷体" w:hAnsi="楷体" w:eastAsia="楷体" w:cs="楷体"/>
          <w:b/>
          <w:bCs/>
          <w:color w:val="000000" w:themeColor="text1"/>
          <w:sz w:val="24"/>
          <w:highlight w:val="none"/>
          <w14:textFill>
            <w14:solidFill>
              <w14:schemeClr w14:val="tx1"/>
            </w14:solidFill>
          </w14:textFill>
        </w:rPr>
        <w:t>9. 补充条款</w:t>
      </w:r>
    </w:p>
    <w:p w14:paraId="609DEE62">
      <w:pPr>
        <w:snapToGrid w:val="0"/>
        <w:spacing w:before="156" w:after="156" w:line="360" w:lineRule="auto"/>
        <w:rPr>
          <w:rStyle w:val="7"/>
          <w:rFonts w:ascii="楷体" w:hAnsi="楷体" w:eastAsia="楷体" w:cs="楷体"/>
          <w:b/>
          <w:color w:val="000000" w:themeColor="text1"/>
          <w:sz w:val="24"/>
          <w:highlight w:val="none"/>
          <w:u w:val="single" w:color="000000"/>
          <w14:textFill>
            <w14:solidFill>
              <w14:schemeClr w14:val="tx1"/>
            </w14:solidFill>
          </w14:textFill>
        </w:rPr>
      </w:pPr>
      <w:r>
        <w:rPr>
          <w:rStyle w:val="7"/>
          <w:rFonts w:hint="eastAsia" w:ascii="楷体" w:hAnsi="楷体" w:eastAsia="楷体" w:cs="楷体"/>
          <w:b/>
          <w:color w:val="000000" w:themeColor="text1"/>
          <w:sz w:val="24"/>
          <w:highlight w:val="none"/>
          <w:u w:val="single" w:color="000000"/>
          <w14:textFill>
            <w14:solidFill>
              <w14:schemeClr w14:val="tx1"/>
            </w14:solidFill>
          </w14:textFill>
        </w:rPr>
        <w:t>1、本专用条件对本合同标准条件中有需要进行定义、解释或具体约定的条款内容进行补充、删除或修改，其条款序号与标准条件中的一一对应，并且专用条件较标准条件具优先解释权。专用条件中缺号的条款表示按标准条件中对应的条款执行。</w:t>
      </w:r>
    </w:p>
    <w:p w14:paraId="6054BDBC">
      <w:pPr>
        <w:rPr>
          <w:rFonts w:hint="eastAsia" w:eastAsiaTheme="minorEastAsia"/>
          <w:lang w:val="en-US" w:eastAsia="zh-CN"/>
        </w:rPr>
      </w:pPr>
      <w:bookmarkStart w:id="0" w:name="_GoBack"/>
      <w:bookmarkEnd w:id="0"/>
    </w:p>
    <w:sectPr>
      <w:footerReference r:id="rId5" w:type="default"/>
      <w:pgSz w:w="11906" w:h="16838"/>
      <w:pgMar w:top="1246" w:right="1418" w:bottom="1091" w:left="1418" w:header="623" w:footer="54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C55A">
    <w:pPr>
      <w:pStyle w:val="2"/>
      <w:rPr>
        <w:rStyle w:val="9"/>
        <w:sz w:val="21"/>
        <w:szCs w:val="21"/>
      </w:rPr>
    </w:pPr>
  </w:p>
  <w:p w14:paraId="755E3F07">
    <w:pPr>
      <w:pStyle w:val="2"/>
      <w:rPr>
        <w:rStyle w:val="7"/>
      </w:rPr>
    </w:pPr>
  </w:p>
  <w:p w14:paraId="5D4B159A">
    <w:pPr>
      <w:pStyle w:val="2"/>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36A21">
    <w:pPr>
      <w:pStyle w:val="2"/>
      <w:rPr>
        <w:rStyle w:val="9"/>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117CB">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A117CB">
                    <w:pPr>
                      <w:pStyle w:val="2"/>
                    </w:pPr>
                    <w:r>
                      <w:fldChar w:fldCharType="begin"/>
                    </w:r>
                    <w:r>
                      <w:instrText xml:space="preserve"> PAGE  \* MERGEFORMAT </w:instrText>
                    </w:r>
                    <w:r>
                      <w:fldChar w:fldCharType="separate"/>
                    </w:r>
                    <w:r>
                      <w:t>2</w:t>
                    </w:r>
                    <w:r>
                      <w:fldChar w:fldCharType="end"/>
                    </w:r>
                  </w:p>
                </w:txbxContent>
              </v:textbox>
            </v:shape>
          </w:pict>
        </mc:Fallback>
      </mc:AlternateContent>
    </w:r>
  </w:p>
  <w:p w14:paraId="21245BE0">
    <w:pPr>
      <w:pStyle w:val="2"/>
      <w:rPr>
        <w:rStyle w:val="7"/>
      </w:rPr>
    </w:pPr>
  </w:p>
  <w:p w14:paraId="26588E1B">
    <w:pPr>
      <w:pStyle w:val="2"/>
      <w:rPr>
        <w:rStyle w:val="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93B12">
    <w:pPr>
      <w:pStyle w:val="3"/>
      <w:pBdr>
        <w:bottom w:val="none" w:color="auto" w:sz="0" w:space="0"/>
      </w:pBdr>
      <w:rPr>
        <w:rStyle w:val="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ZTZlM2M1ODViMDM2OTIyMWZlYjE2NjI4OTFkZjMifQ=="/>
  </w:docVars>
  <w:rsids>
    <w:rsidRoot w:val="53A90130"/>
    <w:rsid w:val="53A90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style>
  <w:style w:type="paragraph" w:customStyle="1" w:styleId="8">
    <w:name w:val="PlainText"/>
    <w:basedOn w:val="1"/>
    <w:qFormat/>
    <w:uiPriority w:val="0"/>
    <w:rPr>
      <w:rFonts w:ascii="宋体" w:hAnsi="Courier New"/>
      <w:sz w:val="24"/>
    </w:rPr>
  </w:style>
  <w:style w:type="character" w:customStyle="1" w:styleId="9">
    <w:name w:val="Page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2024-09-11T10:19:00Z</dcterms:created>
  <dc:creator>D</dc:creator>
  <cp:lastModifiedBy>D</cp:lastModifiedBy>
  <dcterms:modified xsi:type="dcterms:W3CDTF">2024-09-11T10:19:55Z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91167E3F2C3C474C970E8B1964B97987_11</vt:lpwstr>
  </property>
</Properties>
</file>