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636C6">
      <w:pPr>
        <w:spacing w:line="360" w:lineRule="auto"/>
        <w:jc w:val="center"/>
        <w:rPr>
          <w:b/>
          <w:color w:val="auto"/>
          <w:sz w:val="28"/>
          <w:szCs w:val="28"/>
          <w:highlight w:val="none"/>
        </w:rPr>
      </w:pPr>
      <w:r>
        <w:rPr>
          <w:rFonts w:hint="eastAsia"/>
          <w:b/>
          <w:color w:val="auto"/>
          <w:sz w:val="28"/>
          <w:szCs w:val="28"/>
          <w:highlight w:val="none"/>
        </w:rPr>
        <w:t>招标公告</w:t>
      </w:r>
    </w:p>
    <w:p w14:paraId="6DECFDF5">
      <w:pPr>
        <w:spacing w:line="360" w:lineRule="auto"/>
        <w:jc w:val="center"/>
        <w:rPr>
          <w:rFonts w:hint="eastAsia" w:ascii="宋体" w:hAnsi="宋体" w:cs="宋体"/>
          <w:color w:val="auto"/>
          <w:sz w:val="28"/>
          <w:szCs w:val="28"/>
          <w:highlight w:val="none"/>
        </w:rPr>
      </w:pPr>
      <w:r>
        <w:rPr>
          <w:rFonts w:hint="eastAsia" w:ascii="宋体" w:hAnsi="宋体"/>
          <w:b/>
          <w:color w:val="auto"/>
          <w:sz w:val="28"/>
          <w:szCs w:val="28"/>
          <w:highlight w:val="none"/>
          <w:lang w:eastAsia="zh-CN"/>
        </w:rPr>
        <w:t>南沙至中山高速公路2024～2026年度营运保险项目</w:t>
      </w:r>
      <w:r>
        <w:rPr>
          <w:rFonts w:hint="eastAsia" w:ascii="宋体" w:hAnsi="宋体"/>
          <w:b/>
          <w:color w:val="auto"/>
          <w:sz w:val="28"/>
          <w:szCs w:val="28"/>
          <w:highlight w:val="none"/>
        </w:rPr>
        <w:t>招标公告</w:t>
      </w:r>
    </w:p>
    <w:p w14:paraId="7CBCE711">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招标条件</w:t>
      </w:r>
    </w:p>
    <w:p w14:paraId="2779DCE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eastAsia="zh-CN"/>
        </w:rPr>
        <w:t>南沙至中山高速公路2024～2026年度营运保险项目</w:t>
      </w:r>
      <w:r>
        <w:rPr>
          <w:rFonts w:hint="eastAsia" w:ascii="宋体" w:hAnsi="宋体" w:cs="宋体"/>
          <w:color w:val="auto"/>
          <w:sz w:val="21"/>
          <w:szCs w:val="21"/>
          <w:highlight w:val="none"/>
        </w:rPr>
        <w:t>（以下简称“本项目”）已获批准建设。建设资金来源</w:t>
      </w:r>
      <w:r>
        <w:rPr>
          <w:rFonts w:hint="eastAsia" w:ascii="宋体" w:hAnsi="宋体" w:cs="宋体"/>
          <w:color w:val="auto"/>
          <w:sz w:val="21"/>
          <w:szCs w:val="21"/>
          <w:highlight w:val="none"/>
          <w:u w:val="single"/>
        </w:rPr>
        <w:t>自筹资金</w:t>
      </w:r>
      <w:r>
        <w:rPr>
          <w:rFonts w:hint="eastAsia" w:ascii="宋体" w:hAnsi="宋体" w:cs="宋体"/>
          <w:color w:val="auto"/>
          <w:sz w:val="21"/>
          <w:szCs w:val="21"/>
          <w:highlight w:val="none"/>
        </w:rPr>
        <w:t>，招标人为</w:t>
      </w:r>
      <w:r>
        <w:rPr>
          <w:rFonts w:hint="eastAsia" w:ascii="宋体" w:hAnsi="宋体" w:cs="宋体"/>
          <w:color w:val="auto"/>
          <w:sz w:val="21"/>
          <w:szCs w:val="21"/>
          <w:highlight w:val="none"/>
          <w:u w:val="single"/>
        </w:rPr>
        <w:t>广州高速运营管理有限公司</w:t>
      </w:r>
      <w:r>
        <w:rPr>
          <w:rFonts w:hint="eastAsia" w:ascii="宋体" w:hAnsi="宋体" w:cs="宋体"/>
          <w:color w:val="auto"/>
          <w:sz w:val="21"/>
          <w:szCs w:val="21"/>
          <w:highlight w:val="none"/>
        </w:rPr>
        <w:t>。项目已具备招标条件，现对该项目采用资格后审方式进行公开招标。</w:t>
      </w:r>
    </w:p>
    <w:p w14:paraId="45F9E0C1">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项目概况及招标范围</w:t>
      </w:r>
    </w:p>
    <w:p w14:paraId="60A5FA96">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2.1 项目概况</w:t>
      </w:r>
    </w:p>
    <w:p w14:paraId="60816DAA">
      <w:pPr>
        <w:spacing w:line="40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南沙至中山高速公路，全长32.41公里，由主线和万顷沙支线组成，全线均为桥梁，概算总投资200.48亿元。主线起于南沙港快速百万葵园北侧新垦互通，经南沙区南部和中山市东北部，终于江中高速新隆立交，并与京港澳高速十字相接，长约21.574公里，支线起于南沙港快速路新垦互通，终于万顷沙海上互通接深中通道，长约10.836公里。全线共设置新垦、福安、保家、三丰、民众南、岐江新城、新隆、万环西、万顷沙9共处互通立交，</w:t>
      </w:r>
      <w:r>
        <w:rPr>
          <w:rFonts w:hint="eastAsia" w:ascii="宋体" w:hAnsi="宋体"/>
          <w:color w:val="auto"/>
          <w:sz w:val="21"/>
          <w:szCs w:val="21"/>
          <w:highlight w:val="none"/>
          <w:lang w:eastAsia="zh-CN"/>
        </w:rPr>
        <w:t>设置彩虹、深中合作区、民众南、岐江新城北、南沙湿地、南沙南等6个匝道收费站</w:t>
      </w:r>
      <w:r>
        <w:rPr>
          <w:rFonts w:hint="eastAsia" w:ascii="宋体" w:hAnsi="宋体"/>
          <w:color w:val="auto"/>
          <w:sz w:val="21"/>
          <w:szCs w:val="21"/>
          <w:highlight w:val="none"/>
        </w:rPr>
        <w:t>，设置万顷沙服务区共1处服务区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其中如新隆互通等地预计2025年底通车。</w:t>
      </w:r>
    </w:p>
    <w:p w14:paraId="5CC059BA">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2.2招标范围</w:t>
      </w:r>
    </w:p>
    <w:p w14:paraId="6537265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本次招标根据实际需要，对招标人所管理的一切财产及承担的相关风险购买保险。招标内容为财产一切险、营业中断险(财产一切险项下)、公众责任险、现金责任险。</w:t>
      </w:r>
    </w:p>
    <w:p w14:paraId="659850C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投标人根据本项目的工程特点并结合实际情况，依据招标文件第四章合同文件格式提出合理有效的保险报价，并列明详细的计费方式和优惠条件。报价为保险费总价报价。</w:t>
      </w:r>
    </w:p>
    <w:p w14:paraId="48C286E3">
      <w:p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2.3保险期限：</w:t>
      </w:r>
      <w:r>
        <w:rPr>
          <w:rFonts w:hint="eastAsia" w:ascii="宋体" w:hAnsi="宋体" w:cs="宋体"/>
          <w:b/>
          <w:bCs/>
          <w:color w:val="auto"/>
          <w:sz w:val="21"/>
          <w:szCs w:val="21"/>
          <w:highlight w:val="none"/>
          <w:lang w:val="en-US" w:eastAsia="zh-CN"/>
        </w:rPr>
        <w:t>暂定</w:t>
      </w:r>
      <w:r>
        <w:rPr>
          <w:rFonts w:hint="eastAsia" w:ascii="宋体" w:hAnsi="宋体" w:cs="宋体"/>
          <w:color w:val="auto"/>
          <w:sz w:val="21"/>
          <w:szCs w:val="21"/>
          <w:highlight w:val="none"/>
          <w:lang w:eastAsia="zh-CN"/>
        </w:rPr>
        <w:t>2024年10月1日至2026年1月25日（起算时间最终按南中高速项目实际开通营运之日确定）</w:t>
      </w:r>
      <w:r>
        <w:rPr>
          <w:rFonts w:hint="eastAsia" w:ascii="宋体" w:hAnsi="宋体" w:cs="宋体"/>
          <w:color w:val="auto"/>
          <w:sz w:val="21"/>
          <w:szCs w:val="21"/>
          <w:highlight w:val="none"/>
        </w:rPr>
        <w:t>，并按投标人须知39.6款规定执行。</w:t>
      </w:r>
    </w:p>
    <w:p w14:paraId="11432122">
      <w:p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2.4标段划分：</w:t>
      </w:r>
      <w:r>
        <w:rPr>
          <w:rFonts w:hint="eastAsia" w:ascii="宋体" w:hAnsi="宋体" w:cs="宋体"/>
          <w:color w:val="auto"/>
          <w:sz w:val="21"/>
          <w:szCs w:val="21"/>
          <w:highlight w:val="none"/>
        </w:rPr>
        <w:t>本次招标共分1个标段。</w:t>
      </w:r>
    </w:p>
    <w:p w14:paraId="7D17F521">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投标人资格要求</w:t>
      </w:r>
    </w:p>
    <w:p w14:paraId="03BA93D4">
      <w:pPr>
        <w:tabs>
          <w:tab w:val="left" w:pos="190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投标人必须在中华人民共和国境内注册并有效存续，由国家金融监督管理总局(原中国银行保险监督管理委员会)批准开展经营保险业务、并具有独立法人资格的保险公司或其唯一授权的省（市）级分支机构；保险公司及其分支机构只能有一家参加投标。投标人须具有国家金融监督管理总局(原中国银行保险监督管理委员会)颁发的《经营保险业务许可证》或《保险许可证》。且财务、业绩、信誉等同时满足附录的资格审查要求。</w:t>
      </w:r>
    </w:p>
    <w:p w14:paraId="7EFB712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3.2本项目不接受联合体投标。</w:t>
      </w:r>
    </w:p>
    <w:p w14:paraId="1DB2DA9D">
      <w:pPr>
        <w:snapToGri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3.3与招标人存在利害关系可能影响招标公正性的法人、其它组织或者个人，不得参加投标申请。单位负责人</w:t>
      </w:r>
      <w:r>
        <w:rPr>
          <w:rFonts w:hint="eastAsia" w:ascii="宋体" w:hAnsi="宋体" w:cs="宋体"/>
          <w:color w:val="auto"/>
          <w:sz w:val="21"/>
          <w:szCs w:val="21"/>
          <w:highlight w:val="none"/>
          <w:vertAlign w:val="superscript"/>
        </w:rPr>
        <w:footnoteReference w:id="0"/>
      </w:r>
      <w:r>
        <w:rPr>
          <w:rFonts w:hint="eastAsia" w:ascii="宋体" w:hAnsi="宋体" w:cs="宋体"/>
          <w:color w:val="auto"/>
          <w:sz w:val="21"/>
          <w:szCs w:val="21"/>
          <w:highlight w:val="none"/>
        </w:rPr>
        <w:t>为同一人或者存在控股</w:t>
      </w:r>
      <w:r>
        <w:rPr>
          <w:rFonts w:hint="eastAsia" w:ascii="宋体" w:hAnsi="宋体" w:cs="宋体"/>
          <w:color w:val="auto"/>
          <w:sz w:val="21"/>
          <w:szCs w:val="21"/>
          <w:highlight w:val="none"/>
          <w:vertAlign w:val="superscript"/>
        </w:rPr>
        <w:footnoteReference w:id="1"/>
      </w:r>
      <w:r>
        <w:rPr>
          <w:rFonts w:hint="eastAsia" w:ascii="宋体" w:hAnsi="宋体" w:cs="宋体"/>
          <w:color w:val="auto"/>
          <w:sz w:val="21"/>
          <w:szCs w:val="21"/>
          <w:highlight w:val="none"/>
        </w:rPr>
        <w:t>、管理关系</w:t>
      </w:r>
      <w:r>
        <w:rPr>
          <w:rFonts w:hint="eastAsia" w:ascii="宋体" w:hAnsi="宋体" w:cs="宋体"/>
          <w:color w:val="auto"/>
          <w:sz w:val="21"/>
          <w:szCs w:val="21"/>
          <w:highlight w:val="none"/>
          <w:vertAlign w:val="superscript"/>
        </w:rPr>
        <w:footnoteReference w:id="2"/>
      </w:r>
      <w:r>
        <w:rPr>
          <w:rFonts w:hint="eastAsia" w:ascii="宋体" w:hAnsi="宋体" w:cs="宋体"/>
          <w:color w:val="auto"/>
          <w:sz w:val="21"/>
          <w:szCs w:val="21"/>
          <w:highlight w:val="none"/>
        </w:rPr>
        <w:t>的不同单位，不得同时参加本项目的投标，否则均按否决其投标处理。</w:t>
      </w:r>
    </w:p>
    <w:p w14:paraId="0B8CCDB6">
      <w:pPr>
        <w:snapToGri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3.4在“信用中国”网站（http://www.creditchina.gov.cn/)中被列入失信被执行人名单的投标人，在国家企业信用信息公示系统（www.gsxt.gov.cn）中被列入严重违法失信名单的投标人，均按否决投标处理。</w:t>
      </w:r>
    </w:p>
    <w:p w14:paraId="530CA454">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招标文件的获取</w:t>
      </w:r>
    </w:p>
    <w:p w14:paraId="7D607CA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4.1凡有意参加投标者，请于</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至202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17</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rPr>
        <w:t>（北京时间，下同），登陆广州公共资源交易中心网站（http://www.gzggzy.cn）交易平台（即电子招标投标交易平台，下同）选择对应招标项目进行投标登记，经招标人确认投标登记成功后，投标人方可自行下载招标文件等相关资料。</w:t>
      </w:r>
    </w:p>
    <w:p w14:paraId="582496D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4.2下载电子招标文件需要说明的有关事宜具体为：</w:t>
      </w:r>
    </w:p>
    <w:p w14:paraId="7575E16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将以下填写并加盖公章的资料的扫描件发至招标代理邮箱（以到达邮箱时间为准，gdyxxg@163.com）。</w:t>
      </w:r>
    </w:p>
    <w:p w14:paraId="1314FD7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①《投标登记申请表》一份（下载地址：http://www.gzggzy.cn/fwznzlxzjsgc/896693.jhtml）；</w:t>
      </w:r>
    </w:p>
    <w:p w14:paraId="3D47FB7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 总公司授权投标书（分支机构适用，格式详见附件1）；</w:t>
      </w:r>
    </w:p>
    <w:p w14:paraId="68BB78A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③ 招标文件发放登记表（格式见附件4）；</w:t>
      </w:r>
    </w:p>
    <w:p w14:paraId="2C835D5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注：投标人完成上面投标登记后及时联系招标代理机构进行确认。同时满足上述要求，方视为投标登记成功。</w:t>
      </w:r>
    </w:p>
    <w:p w14:paraId="68A147AC">
      <w:pPr>
        <w:numPr>
          <w:ilvl w:val="0"/>
          <w:numId w:val="1"/>
        </w:num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投标文件的递交及相关事宜</w:t>
      </w:r>
    </w:p>
    <w:p w14:paraId="1027510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5.1招标人不组织进行工程现场踏勘和不召开投标预备会。</w:t>
      </w:r>
    </w:p>
    <w:p w14:paraId="6CB14FE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5.2投标文件递交的截止时间（投标截止时间，下同）为</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08</w:t>
      </w:r>
      <w:r>
        <w:rPr>
          <w:rFonts w:hint="eastAsia" w:ascii="宋体" w:hAnsi="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w:t>
      </w:r>
      <w:r>
        <w:rPr>
          <w:rFonts w:hint="eastAsia" w:ascii="宋体" w:hAnsi="宋体" w:cs="宋体"/>
          <w:color w:val="auto"/>
          <w:sz w:val="21"/>
          <w:szCs w:val="21"/>
          <w:highlight w:val="none"/>
        </w:rPr>
        <w:t>。投标文件电子文件统一采用网络上传的方式，投标人</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分至202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08</w:t>
      </w:r>
      <w:r>
        <w:rPr>
          <w:rFonts w:hint="eastAsia" w:ascii="宋体" w:hAnsi="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w:t>
      </w:r>
      <w:r>
        <w:rPr>
          <w:rFonts w:hint="eastAsia" w:ascii="宋体" w:hAnsi="宋体" w:cs="宋体"/>
          <w:color w:val="auto"/>
          <w:sz w:val="21"/>
          <w:szCs w:val="21"/>
          <w:highlight w:val="none"/>
        </w:rPr>
        <w:t>将电子文件完整上传。</w:t>
      </w:r>
    </w:p>
    <w:p w14:paraId="026DBD8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5.3未在投标截止时间前完成电子投标文件上传的，视为逾期送达，招标人（“电子招标投标交易平台”）将拒绝接收。</w:t>
      </w:r>
    </w:p>
    <w:p w14:paraId="1FD45892">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发布公告的媒介</w:t>
      </w:r>
    </w:p>
    <w:p w14:paraId="303815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本次招标公告同时在</w:t>
      </w:r>
      <w:r>
        <w:rPr>
          <w:rFonts w:hint="eastAsia" w:ascii="宋体" w:hAnsi="宋体" w:cs="宋体"/>
          <w:color w:val="auto"/>
          <w:sz w:val="21"/>
          <w:szCs w:val="21"/>
          <w:highlight w:val="none"/>
          <w:u w:val="single"/>
        </w:rPr>
        <w:t>中国招标投标公共服务平台、广东省招标投标监管网、广州公共资源交易中心、广州国企阳光采购信息发布平台</w:t>
      </w:r>
      <w:r>
        <w:rPr>
          <w:rFonts w:hint="eastAsia" w:ascii="宋体" w:hAnsi="宋体" w:cs="宋体"/>
          <w:color w:val="auto"/>
          <w:sz w:val="21"/>
          <w:szCs w:val="21"/>
          <w:highlight w:val="none"/>
        </w:rPr>
        <w:t>网站上发布，如媒体发布公告的详细内容不一致，以广东省招标投标监管网上发布为准。</w:t>
      </w:r>
    </w:p>
    <w:p w14:paraId="2789B5AE">
      <w:pPr>
        <w:numPr>
          <w:ilvl w:val="0"/>
          <w:numId w:val="1"/>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规定的投标登记期间，如投标登记的投标人不足3家时，招标人有权选择以下任一方式：(1)在广东省招标投标监管网、广州公共资源交易中心发布公告延长投标登记时间，在延期投标登记时间内，已投标登记投标人的资料仍有效并可自行补充资料，未投标登记的投标人可根据公告的约定进行投标登记；(2)依法重新组织招标或不再招标。</w:t>
      </w:r>
    </w:p>
    <w:p w14:paraId="4F378D2E">
      <w:pPr>
        <w:numPr>
          <w:ilvl w:val="0"/>
          <w:numId w:val="1"/>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联系方式</w:t>
      </w:r>
    </w:p>
    <w:tbl>
      <w:tblPr>
        <w:tblStyle w:val="3"/>
        <w:tblW w:w="9288" w:type="dxa"/>
        <w:jc w:val="center"/>
        <w:tblLayout w:type="fixed"/>
        <w:tblCellMar>
          <w:top w:w="0" w:type="dxa"/>
          <w:left w:w="108" w:type="dxa"/>
          <w:bottom w:w="0" w:type="dxa"/>
          <w:right w:w="108" w:type="dxa"/>
        </w:tblCellMar>
      </w:tblPr>
      <w:tblGrid>
        <w:gridCol w:w="1458"/>
        <w:gridCol w:w="3186"/>
        <w:gridCol w:w="1439"/>
        <w:gridCol w:w="3205"/>
      </w:tblGrid>
      <w:tr w14:paraId="48968AB7">
        <w:tblPrEx>
          <w:tblCellMar>
            <w:top w:w="0" w:type="dxa"/>
            <w:left w:w="108" w:type="dxa"/>
            <w:bottom w:w="0" w:type="dxa"/>
            <w:right w:w="108" w:type="dxa"/>
          </w:tblCellMar>
        </w:tblPrEx>
        <w:trPr>
          <w:jc w:val="center"/>
        </w:trPr>
        <w:tc>
          <w:tcPr>
            <w:tcW w:w="1458" w:type="dxa"/>
            <w:noWrap w:val="0"/>
            <w:vAlign w:val="center"/>
          </w:tcPr>
          <w:p w14:paraId="2BA268CD">
            <w:pPr>
              <w:widowControl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 标 人:</w:t>
            </w:r>
          </w:p>
        </w:tc>
        <w:tc>
          <w:tcPr>
            <w:tcW w:w="3186" w:type="dxa"/>
            <w:noWrap w:val="0"/>
            <w:vAlign w:val="top"/>
          </w:tcPr>
          <w:p w14:paraId="61110977">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广州高速运营管理有限公司</w:t>
            </w:r>
          </w:p>
        </w:tc>
        <w:tc>
          <w:tcPr>
            <w:tcW w:w="1439" w:type="dxa"/>
            <w:noWrap w:val="0"/>
            <w:vAlign w:val="center"/>
          </w:tcPr>
          <w:p w14:paraId="63699050">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招标代理:</w:t>
            </w:r>
          </w:p>
        </w:tc>
        <w:tc>
          <w:tcPr>
            <w:tcW w:w="3205" w:type="dxa"/>
            <w:noWrap w:val="0"/>
            <w:vAlign w:val="top"/>
          </w:tcPr>
          <w:p w14:paraId="446C4ADC">
            <w:pPr>
              <w:widowControl w:val="0"/>
              <w:spacing w:line="360" w:lineRule="auto"/>
              <w:rPr>
                <w:rFonts w:ascii="宋体" w:hAnsi="宋体" w:cs="宋体"/>
                <w:b/>
                <w:bCs/>
                <w:color w:val="auto"/>
                <w:sz w:val="21"/>
                <w:szCs w:val="21"/>
                <w:highlight w:val="none"/>
              </w:rPr>
            </w:pPr>
            <w:r>
              <w:rPr>
                <w:rFonts w:hint="eastAsia" w:ascii="宋体" w:hAnsi="宋体" w:cs="宋体"/>
                <w:bCs/>
                <w:color w:val="auto"/>
                <w:sz w:val="21"/>
                <w:szCs w:val="21"/>
                <w:highlight w:val="none"/>
              </w:rPr>
              <w:t>广东粤信项目管理有限公司</w:t>
            </w:r>
          </w:p>
        </w:tc>
      </w:tr>
      <w:tr w14:paraId="7441B650">
        <w:tblPrEx>
          <w:tblCellMar>
            <w:top w:w="0" w:type="dxa"/>
            <w:left w:w="108" w:type="dxa"/>
            <w:bottom w:w="0" w:type="dxa"/>
            <w:right w:w="108" w:type="dxa"/>
          </w:tblCellMar>
        </w:tblPrEx>
        <w:trPr>
          <w:jc w:val="center"/>
        </w:trPr>
        <w:tc>
          <w:tcPr>
            <w:tcW w:w="1458" w:type="dxa"/>
            <w:noWrap w:val="0"/>
            <w:vAlign w:val="center"/>
          </w:tcPr>
          <w:p w14:paraId="08B436AA">
            <w:pPr>
              <w:widowControl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地    址:</w:t>
            </w:r>
          </w:p>
        </w:tc>
        <w:tc>
          <w:tcPr>
            <w:tcW w:w="3186" w:type="dxa"/>
            <w:noWrap w:val="0"/>
            <w:vAlign w:val="top"/>
          </w:tcPr>
          <w:p w14:paraId="3B1036B1">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广州市海珠区新港东路1138号智通广场A塔6F</w:t>
            </w:r>
          </w:p>
        </w:tc>
        <w:tc>
          <w:tcPr>
            <w:tcW w:w="1439" w:type="dxa"/>
            <w:noWrap w:val="0"/>
            <w:vAlign w:val="center"/>
          </w:tcPr>
          <w:p w14:paraId="6F19FBFB">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地    址:</w:t>
            </w:r>
          </w:p>
        </w:tc>
        <w:tc>
          <w:tcPr>
            <w:tcW w:w="3205" w:type="dxa"/>
            <w:noWrap w:val="0"/>
            <w:vAlign w:val="top"/>
          </w:tcPr>
          <w:p w14:paraId="71AFF786">
            <w:pPr>
              <w:widowControl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广州市天河区天寿路31号江河大厦13楼1305室</w:t>
            </w:r>
          </w:p>
        </w:tc>
      </w:tr>
      <w:tr w14:paraId="679FE0DB">
        <w:tblPrEx>
          <w:tblCellMar>
            <w:top w:w="0" w:type="dxa"/>
            <w:left w:w="108" w:type="dxa"/>
            <w:bottom w:w="0" w:type="dxa"/>
            <w:right w:w="108" w:type="dxa"/>
          </w:tblCellMar>
        </w:tblPrEx>
        <w:trPr>
          <w:jc w:val="center"/>
        </w:trPr>
        <w:tc>
          <w:tcPr>
            <w:tcW w:w="1458" w:type="dxa"/>
            <w:noWrap w:val="0"/>
            <w:vAlign w:val="center"/>
          </w:tcPr>
          <w:p w14:paraId="31401948">
            <w:pPr>
              <w:widowControl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邮    编:</w:t>
            </w:r>
          </w:p>
        </w:tc>
        <w:tc>
          <w:tcPr>
            <w:tcW w:w="3186" w:type="dxa"/>
            <w:noWrap w:val="0"/>
            <w:vAlign w:val="top"/>
          </w:tcPr>
          <w:p w14:paraId="275E6B12">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510000</w:t>
            </w:r>
          </w:p>
        </w:tc>
        <w:tc>
          <w:tcPr>
            <w:tcW w:w="1439" w:type="dxa"/>
            <w:noWrap w:val="0"/>
            <w:vAlign w:val="center"/>
          </w:tcPr>
          <w:p w14:paraId="536518FB">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邮    编:</w:t>
            </w:r>
          </w:p>
        </w:tc>
        <w:tc>
          <w:tcPr>
            <w:tcW w:w="3205" w:type="dxa"/>
            <w:noWrap w:val="0"/>
            <w:vAlign w:val="top"/>
          </w:tcPr>
          <w:p w14:paraId="179425CA">
            <w:pPr>
              <w:widowControl w:val="0"/>
              <w:spacing w:line="360" w:lineRule="auto"/>
              <w:rPr>
                <w:rFonts w:ascii="宋体" w:hAnsi="宋体" w:cs="宋体"/>
                <w:b/>
                <w:bCs/>
                <w:color w:val="auto"/>
                <w:sz w:val="21"/>
                <w:szCs w:val="21"/>
                <w:highlight w:val="none"/>
              </w:rPr>
            </w:pPr>
            <w:r>
              <w:rPr>
                <w:rFonts w:hint="eastAsia" w:ascii="宋体" w:hAnsi="宋体" w:cs="宋体"/>
                <w:bCs/>
                <w:color w:val="auto"/>
                <w:sz w:val="21"/>
                <w:szCs w:val="21"/>
                <w:highlight w:val="none"/>
                <w:shd w:val="clear" w:color="auto" w:fill="FFFFFF"/>
              </w:rPr>
              <w:t>510610</w:t>
            </w:r>
          </w:p>
        </w:tc>
      </w:tr>
      <w:tr w14:paraId="3E7B3E6B">
        <w:tblPrEx>
          <w:tblCellMar>
            <w:top w:w="0" w:type="dxa"/>
            <w:left w:w="108" w:type="dxa"/>
            <w:bottom w:w="0" w:type="dxa"/>
            <w:right w:w="108" w:type="dxa"/>
          </w:tblCellMar>
        </w:tblPrEx>
        <w:trPr>
          <w:jc w:val="center"/>
        </w:trPr>
        <w:tc>
          <w:tcPr>
            <w:tcW w:w="1458" w:type="dxa"/>
            <w:noWrap w:val="0"/>
            <w:vAlign w:val="center"/>
          </w:tcPr>
          <w:p w14:paraId="68A0631E">
            <w:pPr>
              <w:widowControl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电子邮箱:</w:t>
            </w:r>
          </w:p>
        </w:tc>
        <w:tc>
          <w:tcPr>
            <w:tcW w:w="3186" w:type="dxa"/>
            <w:noWrap w:val="0"/>
            <w:vAlign w:val="top"/>
          </w:tcPr>
          <w:p w14:paraId="356642D0">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439" w:type="dxa"/>
            <w:noWrap w:val="0"/>
            <w:vAlign w:val="center"/>
          </w:tcPr>
          <w:p w14:paraId="6F861E6A">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电子邮箱:</w:t>
            </w:r>
          </w:p>
        </w:tc>
        <w:tc>
          <w:tcPr>
            <w:tcW w:w="3205" w:type="dxa"/>
            <w:noWrap w:val="0"/>
            <w:vAlign w:val="top"/>
          </w:tcPr>
          <w:p w14:paraId="6AD82A7E">
            <w:pPr>
              <w:widowControl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gdyxxg@163.com</w:t>
            </w:r>
          </w:p>
        </w:tc>
      </w:tr>
      <w:tr w14:paraId="6AA97B69">
        <w:tblPrEx>
          <w:tblCellMar>
            <w:top w:w="0" w:type="dxa"/>
            <w:left w:w="108" w:type="dxa"/>
            <w:bottom w:w="0" w:type="dxa"/>
            <w:right w:w="108" w:type="dxa"/>
          </w:tblCellMar>
        </w:tblPrEx>
        <w:trPr>
          <w:jc w:val="center"/>
        </w:trPr>
        <w:tc>
          <w:tcPr>
            <w:tcW w:w="1458" w:type="dxa"/>
            <w:noWrap w:val="0"/>
            <w:vAlign w:val="center"/>
          </w:tcPr>
          <w:p w14:paraId="6953A7CF">
            <w:pPr>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3186" w:type="dxa"/>
            <w:noWrap w:val="0"/>
            <w:vAlign w:val="top"/>
          </w:tcPr>
          <w:p w14:paraId="2F972C39">
            <w:pPr>
              <w:widowControl w:val="0"/>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陆工</w:t>
            </w:r>
          </w:p>
        </w:tc>
        <w:tc>
          <w:tcPr>
            <w:tcW w:w="1439" w:type="dxa"/>
            <w:noWrap w:val="0"/>
            <w:vAlign w:val="center"/>
          </w:tcPr>
          <w:p w14:paraId="733CF6D1">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联 系 人:</w:t>
            </w:r>
          </w:p>
        </w:tc>
        <w:tc>
          <w:tcPr>
            <w:tcW w:w="3205" w:type="dxa"/>
            <w:noWrap w:val="0"/>
            <w:vAlign w:val="top"/>
          </w:tcPr>
          <w:p w14:paraId="4D1876FB">
            <w:pPr>
              <w:widowControl w:val="0"/>
              <w:spacing w:line="360" w:lineRule="auto"/>
              <w:rPr>
                <w:rFonts w:hint="eastAsia" w:ascii="宋体" w:hAnsi="宋体" w:cs="宋体"/>
                <w:b/>
                <w:bCs/>
                <w:color w:val="auto"/>
                <w:sz w:val="21"/>
                <w:szCs w:val="21"/>
                <w:highlight w:val="none"/>
              </w:rPr>
            </w:pPr>
            <w:r>
              <w:rPr>
                <w:rFonts w:hint="eastAsia" w:ascii="宋体" w:hAnsi="宋体" w:cs="宋体"/>
                <w:color w:val="auto"/>
                <w:sz w:val="21"/>
                <w:szCs w:val="21"/>
                <w:highlight w:val="none"/>
              </w:rPr>
              <w:t>吕工</w:t>
            </w:r>
          </w:p>
        </w:tc>
      </w:tr>
      <w:tr w14:paraId="74E88057">
        <w:tblPrEx>
          <w:tblCellMar>
            <w:top w:w="0" w:type="dxa"/>
            <w:left w:w="108" w:type="dxa"/>
            <w:bottom w:w="0" w:type="dxa"/>
            <w:right w:w="108" w:type="dxa"/>
          </w:tblCellMar>
        </w:tblPrEx>
        <w:trPr>
          <w:jc w:val="center"/>
        </w:trPr>
        <w:tc>
          <w:tcPr>
            <w:tcW w:w="1458" w:type="dxa"/>
            <w:noWrap w:val="0"/>
            <w:vAlign w:val="center"/>
          </w:tcPr>
          <w:p w14:paraId="2D0C25C6">
            <w:pPr>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3186" w:type="dxa"/>
            <w:noWrap w:val="0"/>
            <w:vAlign w:val="top"/>
          </w:tcPr>
          <w:p w14:paraId="1240A781">
            <w:pPr>
              <w:widowControl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15321497920</w:t>
            </w:r>
          </w:p>
        </w:tc>
        <w:tc>
          <w:tcPr>
            <w:tcW w:w="1439" w:type="dxa"/>
            <w:noWrap w:val="0"/>
            <w:vAlign w:val="center"/>
          </w:tcPr>
          <w:p w14:paraId="74329492">
            <w:pPr>
              <w:widowControl w:val="0"/>
              <w:spacing w:line="360"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电    话:</w:t>
            </w:r>
          </w:p>
        </w:tc>
        <w:tc>
          <w:tcPr>
            <w:tcW w:w="3205" w:type="dxa"/>
            <w:noWrap w:val="0"/>
            <w:vAlign w:val="top"/>
          </w:tcPr>
          <w:p w14:paraId="4716F20A">
            <w:pPr>
              <w:widowControl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020-37209484-804</w:t>
            </w:r>
          </w:p>
        </w:tc>
      </w:tr>
    </w:tbl>
    <w:p w14:paraId="35072CC8">
      <w:pPr>
        <w:wordWrap w:val="0"/>
        <w:spacing w:line="360" w:lineRule="auto"/>
        <w:jc w:val="righ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20</w:t>
      </w:r>
      <w:r>
        <w:rPr>
          <w:rFonts w:hint="eastAsia" w:ascii="宋体" w:hAnsi="宋体" w:cs="宋体"/>
          <w:color w:val="auto"/>
          <w:kern w:val="2"/>
          <w:sz w:val="21"/>
          <w:szCs w:val="21"/>
          <w:highlight w:val="none"/>
          <w:lang w:val="en-US" w:eastAsia="zh-CN"/>
        </w:rPr>
        <w:t>24</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9</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lang w:val="en-US" w:eastAsia="zh-CN"/>
        </w:rPr>
        <w:t>9</w:t>
      </w:r>
      <w:bookmarkStart w:id="0" w:name="_GoBack"/>
      <w:bookmarkEnd w:id="0"/>
      <w:r>
        <w:rPr>
          <w:rFonts w:hint="eastAsia" w:ascii="宋体" w:hAnsi="宋体" w:cs="宋体"/>
          <w:color w:val="auto"/>
          <w:kern w:val="2"/>
          <w:sz w:val="21"/>
          <w:szCs w:val="21"/>
          <w:highlight w:val="none"/>
        </w:rPr>
        <w:t>日</w:t>
      </w:r>
    </w:p>
    <w:p w14:paraId="60D216B3">
      <w:pPr>
        <w:spacing w:line="360" w:lineRule="auto"/>
        <w:rPr>
          <w:rFonts w:hint="eastAsia" w:ascii="宋体" w:hAnsi="宋体" w:cs="宋体"/>
          <w:color w:val="auto"/>
          <w:kern w:val="2"/>
          <w:sz w:val="21"/>
          <w:szCs w:val="21"/>
          <w:highlight w:val="none"/>
        </w:rPr>
      </w:pPr>
    </w:p>
    <w:p w14:paraId="4CF2DDF0">
      <w:pPr>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异议受理部门：</w:t>
      </w:r>
      <w:r>
        <w:rPr>
          <w:rFonts w:hint="eastAsia" w:ascii="宋体" w:hAnsi="宋体" w:eastAsia="宋体" w:cs="宋体"/>
          <w:color w:val="auto"/>
          <w:sz w:val="21"/>
          <w:szCs w:val="21"/>
          <w:highlight w:val="none"/>
        </w:rPr>
        <w:t>广州高速运营管理有限公司</w:t>
      </w:r>
    </w:p>
    <w:p w14:paraId="318124C8">
      <w:pPr>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异议受理电话：</w:t>
      </w:r>
      <w:r>
        <w:rPr>
          <w:rFonts w:hint="eastAsia" w:ascii="宋体" w:hAnsi="宋体" w:eastAsia="宋体" w:cs="宋体"/>
          <w:bCs/>
          <w:color w:val="auto"/>
          <w:sz w:val="21"/>
          <w:szCs w:val="21"/>
          <w:highlight w:val="none"/>
          <w:lang w:val="en-US" w:eastAsia="zh-CN"/>
        </w:rPr>
        <w:t>15321497920</w:t>
      </w:r>
    </w:p>
    <w:p w14:paraId="2D570965">
      <w:pPr>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r>
        <w:rPr>
          <w:rFonts w:hint="eastAsia" w:ascii="宋体" w:hAnsi="宋体" w:eastAsia="宋体" w:cs="宋体"/>
          <w:color w:val="auto"/>
          <w:sz w:val="21"/>
          <w:szCs w:val="21"/>
          <w:highlight w:val="none"/>
        </w:rPr>
        <w:t>广州市海珠区新港东路1138号智通广场A塔6F</w:t>
      </w:r>
    </w:p>
    <w:p w14:paraId="261DF886">
      <w:pPr>
        <w:pStyle w:val="5"/>
        <w:rPr>
          <w:rFonts w:hint="eastAsia"/>
          <w:color w:val="auto"/>
          <w:highlight w:val="none"/>
        </w:rPr>
      </w:pPr>
    </w:p>
    <w:p w14:paraId="47738837">
      <w:pPr>
        <w:spacing w:line="360" w:lineRule="auto"/>
        <w:rPr>
          <w:rFonts w:hint="eastAsia" w:ascii="宋体" w:hAnsi="宋体" w:cs="宋体"/>
          <w:color w:val="auto"/>
          <w:kern w:val="2"/>
          <w:sz w:val="21"/>
          <w:szCs w:val="21"/>
          <w:highlight w:val="none"/>
        </w:rPr>
      </w:pPr>
    </w:p>
    <w:p w14:paraId="07B7AA4F">
      <w:pPr>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附件1：总公司授权投标书</w:t>
      </w:r>
    </w:p>
    <w:p w14:paraId="6AE19B42">
      <w:pPr>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附件2：附录 资格审查条件</w:t>
      </w:r>
    </w:p>
    <w:p w14:paraId="220D91D8">
      <w:pPr>
        <w:spacing w:line="360" w:lineRule="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附件3：评标办法</w:t>
      </w:r>
    </w:p>
    <w:p w14:paraId="03E4A9A6">
      <w:pPr>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附件4：</w:t>
      </w:r>
      <w:r>
        <w:rPr>
          <w:rFonts w:hint="eastAsia" w:ascii="宋体" w:hAnsi="宋体" w:cs="宋体"/>
          <w:color w:val="auto"/>
          <w:sz w:val="21"/>
          <w:szCs w:val="21"/>
          <w:highlight w:val="none"/>
        </w:rPr>
        <w:t>招标文件发放登记表</w:t>
      </w:r>
    </w:p>
    <w:p w14:paraId="4F9AE343">
      <w:pPr>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以上附件可从广州公共资源交易网该项目的招标公告处下载。</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391579A">
      <w:pPr>
        <w:pStyle w:val="2"/>
        <w:spacing w:line="240" w:lineRule="auto"/>
        <w:rPr>
          <w:rFonts w:hint="eastAsia" w:ascii="宋体" w:hAnsi="宋体"/>
        </w:rPr>
      </w:pPr>
      <w:r>
        <w:rPr>
          <w:rFonts w:hint="eastAsia" w:ascii="宋体" w:hAnsi="宋体"/>
        </w:rPr>
        <w:t>1.单位负责人是指单位的法定代表人或者法律、行政法规规定代表单位行使职权的主要负责人。</w:t>
      </w:r>
    </w:p>
    <w:p w14:paraId="725F44C4">
      <w:pPr>
        <w:pStyle w:val="2"/>
        <w:spacing w:line="240" w:lineRule="auto"/>
        <w:rPr>
          <w:rFonts w:hint="eastAsia" w:ascii="宋体" w:hAnsi="宋体"/>
        </w:rPr>
      </w:pPr>
      <w:r>
        <w:rPr>
          <w:rFonts w:hint="eastAsia" w:ascii="宋体" w:hAnsi="宋体"/>
        </w:rPr>
        <w:t>2.控股是指出资额占有限责任公司资本总额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1663A902">
      <w:pPr>
        <w:pStyle w:val="2"/>
        <w:spacing w:line="240" w:lineRule="auto"/>
        <w:rPr>
          <w:rFonts w:ascii="宋体" w:hAnsi="宋体"/>
        </w:rPr>
      </w:pPr>
      <w:r>
        <w:rPr>
          <w:rFonts w:hint="eastAsia" w:ascii="宋体" w:hAnsi="宋体"/>
        </w:rPr>
        <w:t>3.管理关系是指不具有出资持股关系的其它单位之间存在的管理与被管理关系。</w:t>
      </w:r>
    </w:p>
  </w:footnote>
  <w:footnote w:id="1">
    <w:p w14:paraId="0BF0F10D">
      <w:pPr>
        <w:pStyle w:val="2"/>
        <w:spacing w:line="240" w:lineRule="auto"/>
        <w:rPr>
          <w:rFonts w:ascii="宋体" w:hAnsi="宋体"/>
        </w:rPr>
      </w:pPr>
    </w:p>
  </w:footnote>
  <w:footnote w:id="2">
    <w:p w14:paraId="16A18836">
      <w:pPr>
        <w:pStyle w:val="2"/>
        <w:spacing w:line="240" w:lineRule="auto"/>
        <w:rPr>
          <w:rFonts w:ascii="宋体" w:hAnsi="宋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4E906"/>
    <w:multiLevelType w:val="singleLevel"/>
    <w:tmpl w:val="E704E906"/>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51041D6D"/>
    <w:rsid w:val="07D24306"/>
    <w:rsid w:val="477E70C1"/>
    <w:rsid w:val="5104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widowControl w:val="0"/>
      <w:adjustRightInd w:val="0"/>
      <w:spacing w:line="312" w:lineRule="atLeast"/>
      <w:textAlignment w:val="baseline"/>
    </w:pPr>
    <w:rPr>
      <w:sz w:val="18"/>
    </w:rPr>
  </w:style>
  <w:style w:type="paragraph" w:customStyle="1" w:styleId="5">
    <w:name w:val="_Style 3"/>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1973</Words>
  <Characters>2258</Characters>
  <Lines>0</Lines>
  <Paragraphs>0</Paragraphs>
  <TotalTime>1</TotalTime>
  <ScaleCrop>false</ScaleCrop>
  <LinksUpToDate>false</LinksUpToDate>
  <CharactersWithSpaces>2340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2024-09-09T09:15:00Z</dcterms:created>
  <dc:creator>广东</dc:creator>
  <cp:lastModifiedBy>广东</cp:lastModifiedBy>
  <dcterms:modified xsi:type="dcterms:W3CDTF">2024-09-09T09:20:19Z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3FF8F332ECE349518316D210AB8BA4BD_11</vt:lpwstr>
  </property>
</Properties>
</file>