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ascii="仿宋_GB2312" w:hAnsi="方正小标宋简体" w:eastAsia="仿宋_GB2312" w:cs="方正小标宋简体"/>
          <w:b/>
          <w:color w:val="000000" w:themeColor="text1"/>
          <w:sz w:val="28"/>
          <w:szCs w:val="28"/>
          <w:highlight w:val="none"/>
          <w14:textFill>
            <w14:solidFill>
              <w14:schemeClr w14:val="tx1"/>
            </w14:solidFill>
          </w14:textFill>
        </w:rPr>
      </w:pPr>
      <w:bookmarkStart w:id="1583" w:name="_GoBack"/>
      <w:r>
        <w:rPr>
          <w:rFonts w:ascii="仿宋_GB2312" w:eastAsia="仿宋_GB2312"/>
          <w:color w:val="000000" w:themeColor="text1"/>
          <w:sz w:val="28"/>
          <w:szCs w:val="28"/>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8340" cy="622935"/>
            <wp:effectExtent l="0" t="0" r="0" b="0"/>
            <wp:wrapSquare wrapText="bothSides"/>
            <wp:docPr id="8" name="图片 33" descr="南沙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descr="南沙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88340" cy="622935"/>
                    </a:xfrm>
                    <a:prstGeom prst="rect">
                      <a:avLst/>
                    </a:prstGeom>
                    <a:noFill/>
                  </pic:spPr>
                </pic:pic>
              </a:graphicData>
            </a:graphic>
          </wp:anchor>
        </w:drawing>
      </w:r>
      <w:r>
        <w:rPr>
          <w:rFonts w:hint="eastAsia" w:ascii="仿宋_GB2312" w:hAnsi="方正小标宋简体" w:eastAsia="仿宋_GB2312" w:cs="方正小标宋简体"/>
          <w:b/>
          <w:color w:val="000000" w:themeColor="text1"/>
          <w:sz w:val="28"/>
          <w:szCs w:val="28"/>
          <w:highlight w:val="none"/>
          <w14:textFill>
            <w14:solidFill>
              <w14:schemeClr w14:val="tx1"/>
            </w14:solidFill>
          </w14:textFill>
        </w:rPr>
        <w:t>广州市南沙新区产业园区开发建设管理局</w:t>
      </w:r>
    </w:p>
    <w:p>
      <w:pPr>
        <w:pStyle w:val="194"/>
        <w:numPr>
          <w:ilvl w:val="0"/>
          <w:numId w:val="0"/>
        </w:numPr>
        <w:spacing w:after="156" w:line="360" w:lineRule="auto"/>
        <w:ind w:right="63"/>
        <w:jc w:val="both"/>
        <w:rPr>
          <w:rFonts w:ascii="仿宋_GB2312" w:eastAsia="仿宋_GB2312"/>
          <w:color w:val="000000" w:themeColor="text1"/>
          <w:highlight w:val="none"/>
          <w14:textFill>
            <w14:solidFill>
              <w14:schemeClr w14:val="tx1"/>
            </w14:solidFill>
          </w14:textFill>
        </w:rPr>
      </w:pPr>
      <w:r>
        <w:rPr>
          <w:rFonts w:ascii="仿宋_GB2312" w:eastAsia="仿宋_GB2312"/>
          <w:color w:val="000000" w:themeColor="text1"/>
          <w:highlight w:val="none"/>
          <w14:textFill>
            <w14:solidFill>
              <w14:schemeClr w14:val="tx1"/>
            </w14:solidFill>
          </w14:textFill>
        </w:rPr>
        <w:t>Guangzhou Nansha New Area Industrial Zone Development Authority</w:t>
      </w:r>
    </w:p>
    <w:p>
      <w:pPr>
        <w:pStyle w:val="194"/>
        <w:numPr>
          <w:ilvl w:val="0"/>
          <w:numId w:val="0"/>
        </w:numPr>
        <w:spacing w:after="156" w:line="360" w:lineRule="auto"/>
        <w:ind w:right="63"/>
        <w:jc w:val="center"/>
        <w:rPr>
          <w:rFonts w:ascii="仿宋_GB2312" w:hAnsi="宋体" w:eastAsia="仿宋_GB2312"/>
          <w:bCs/>
          <w:color w:val="000000" w:themeColor="text1"/>
          <w:sz w:val="44"/>
          <w:szCs w:val="44"/>
          <w:highlight w:val="none"/>
          <w14:textFill>
            <w14:solidFill>
              <w14:schemeClr w14:val="tx1"/>
            </w14:solidFill>
          </w14:textFill>
        </w:rPr>
      </w:pPr>
      <w:bookmarkStart w:id="0" w:name="_Hlk509948971"/>
    </w:p>
    <w:p>
      <w:pPr>
        <w:pStyle w:val="194"/>
        <w:numPr>
          <w:ilvl w:val="0"/>
          <w:numId w:val="0"/>
        </w:numPr>
        <w:spacing w:after="156" w:line="360" w:lineRule="auto"/>
        <w:ind w:right="63"/>
        <w:jc w:val="center"/>
        <w:rPr>
          <w:rFonts w:ascii="仿宋_GB2312" w:hAnsi="宋体" w:eastAsia="仿宋_GB2312"/>
          <w:bCs/>
          <w:color w:val="000000" w:themeColor="text1"/>
          <w:sz w:val="44"/>
          <w:szCs w:val="44"/>
          <w:highlight w:val="none"/>
          <w14:textFill>
            <w14:solidFill>
              <w14:schemeClr w14:val="tx1"/>
            </w14:solidFill>
          </w14:textFill>
        </w:rPr>
      </w:pPr>
    </w:p>
    <w:p>
      <w:pPr>
        <w:pStyle w:val="194"/>
        <w:numPr>
          <w:ilvl w:val="0"/>
          <w:numId w:val="0"/>
        </w:numPr>
        <w:spacing w:after="156" w:line="360" w:lineRule="auto"/>
        <w:ind w:right="63"/>
        <w:jc w:val="center"/>
        <w:rPr>
          <w:rFonts w:ascii="仿宋_GB2312" w:hAnsi="宋体" w:eastAsia="仿宋_GB2312" w:cs="宋体"/>
          <w:b w:val="0"/>
          <w:bCs/>
          <w:color w:val="000000" w:themeColor="text1"/>
          <w:sz w:val="44"/>
          <w:szCs w:val="44"/>
          <w:highlight w:val="none"/>
          <w14:textFill>
            <w14:solidFill>
              <w14:schemeClr w14:val="tx1"/>
            </w14:solidFill>
          </w14:textFill>
        </w:rPr>
      </w:pPr>
      <w:bookmarkStart w:id="1" w:name="_Hlk100821864"/>
      <w:r>
        <w:rPr>
          <w:rFonts w:hint="eastAsia" w:ascii="仿宋_GB2312" w:hAnsi="宋体" w:eastAsia="仿宋_GB2312"/>
          <w:bCs/>
          <w:color w:val="000000" w:themeColor="text1"/>
          <w:sz w:val="44"/>
          <w:szCs w:val="44"/>
          <w:highlight w:val="none"/>
          <w14:textFill>
            <w14:solidFill>
              <w14:schemeClr w14:val="tx1"/>
            </w14:solidFill>
          </w14:textFill>
        </w:rPr>
        <w:t>[</w:t>
      </w:r>
      <w:r>
        <w:rPr>
          <w:rFonts w:hint="eastAsia" w:ascii="仿宋_GB2312" w:hAnsi="宋体" w:eastAsia="仿宋_GB2312"/>
          <w:bCs/>
          <w:i/>
          <w:iCs/>
          <w:color w:val="000000" w:themeColor="text1"/>
          <w:sz w:val="44"/>
          <w:szCs w:val="44"/>
          <w:highlight w:val="none"/>
          <w14:textFill>
            <w14:solidFill>
              <w14:schemeClr w14:val="tx1"/>
            </w14:solidFill>
          </w14:textFill>
        </w:rPr>
        <w:t>中标/委托项目名称</w:t>
      </w:r>
      <w:r>
        <w:rPr>
          <w:rFonts w:hint="eastAsia" w:ascii="仿宋_GB2312" w:hAnsi="宋体" w:eastAsia="仿宋_GB2312"/>
          <w:bCs/>
          <w:color w:val="000000" w:themeColor="text1"/>
          <w:sz w:val="44"/>
          <w:szCs w:val="44"/>
          <w:highlight w:val="none"/>
          <w14:textFill>
            <w14:solidFill>
              <w14:schemeClr w14:val="tx1"/>
            </w14:solidFill>
          </w14:textFill>
        </w:rPr>
        <w:t>]</w:t>
      </w:r>
      <w:bookmarkEnd w:id="1"/>
    </w:p>
    <w:p>
      <w:pPr>
        <w:adjustRightInd w:val="0"/>
        <w:snapToGrid w:val="0"/>
        <w:spacing w:line="360" w:lineRule="auto"/>
        <w:jc w:val="center"/>
        <w:rPr>
          <w:rFonts w:ascii="仿宋_GB2312" w:hAnsi="宋体" w:eastAsia="仿宋_GB2312"/>
          <w:b/>
          <w:color w:val="000000" w:themeColor="text1"/>
          <w:sz w:val="44"/>
          <w:szCs w:val="44"/>
          <w:highlight w:val="none"/>
          <w14:textFill>
            <w14:solidFill>
              <w14:schemeClr w14:val="tx1"/>
            </w14:solidFill>
          </w14:textFill>
        </w:rPr>
      </w:pPr>
    </w:p>
    <w:p>
      <w:pPr>
        <w:adjustRightInd w:val="0"/>
        <w:snapToGrid w:val="0"/>
        <w:spacing w:line="360" w:lineRule="auto"/>
        <w:jc w:val="center"/>
        <w:rPr>
          <w:rFonts w:ascii="仿宋_GB2312" w:hAnsi="宋体" w:eastAsia="仿宋_GB2312"/>
          <w:b/>
          <w:color w:val="000000" w:themeColor="text1"/>
          <w:sz w:val="44"/>
          <w:szCs w:val="44"/>
          <w:highlight w:val="none"/>
          <w14:textFill>
            <w14:solidFill>
              <w14:schemeClr w14:val="tx1"/>
            </w14:solidFill>
          </w14:textFill>
        </w:rPr>
      </w:pPr>
    </w:p>
    <w:p>
      <w:pPr>
        <w:adjustRightInd w:val="0"/>
        <w:snapToGrid w:val="0"/>
        <w:spacing w:line="360" w:lineRule="auto"/>
        <w:jc w:val="center"/>
        <w:rPr>
          <w:rFonts w:ascii="仿宋_GB2312" w:hAnsi="宋体" w:eastAsia="仿宋_GB2312"/>
          <w:b/>
          <w:color w:val="000000" w:themeColor="text1"/>
          <w:sz w:val="44"/>
          <w:szCs w:val="44"/>
          <w:highlight w:val="none"/>
          <w14:textFill>
            <w14:solidFill>
              <w14:schemeClr w14:val="tx1"/>
            </w14:solidFill>
          </w14:textFill>
        </w:rPr>
      </w:pPr>
      <w:r>
        <w:rPr>
          <w:rFonts w:hint="eastAsia" w:ascii="仿宋_GB2312" w:hAnsi="宋体" w:eastAsia="仿宋_GB2312"/>
          <w:b/>
          <w:color w:val="000000" w:themeColor="text1"/>
          <w:sz w:val="72"/>
          <w:szCs w:val="72"/>
          <w:highlight w:val="none"/>
          <w14:textFill>
            <w14:solidFill>
              <w14:schemeClr w14:val="tx1"/>
            </w14:solidFill>
          </w14:textFill>
        </w:rPr>
        <w:t>合同文件</w:t>
      </w:r>
      <w:bookmarkEnd w:id="0"/>
    </w:p>
    <w:p>
      <w:pPr>
        <w:adjustRightInd w:val="0"/>
        <w:snapToGrid w:val="0"/>
        <w:spacing w:line="360" w:lineRule="auto"/>
        <w:ind w:firstLine="2100" w:firstLineChars="75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合同编号：</w:t>
      </w:r>
    </w:p>
    <w:p>
      <w:pPr>
        <w:adjustRightInd w:val="0"/>
        <w:snapToGrid w:val="0"/>
        <w:spacing w:line="360" w:lineRule="auto"/>
        <w:ind w:firstLine="3795" w:firstLineChars="1350"/>
        <w:rPr>
          <w:rFonts w:ascii="仿宋_GB2312" w:hAnsi="宋体" w:eastAsia="仿宋_GB2312"/>
          <w:b/>
          <w:color w:val="000000" w:themeColor="text1"/>
          <w:sz w:val="28"/>
          <w:szCs w:val="28"/>
          <w:highlight w:val="none"/>
          <w14:textFill>
            <w14:solidFill>
              <w14:schemeClr w14:val="tx1"/>
            </w14:solidFill>
          </w14:textFill>
        </w:rPr>
      </w:pPr>
    </w:p>
    <w:p>
      <w:pPr>
        <w:spacing w:before="156" w:beforeLines="50" w:after="156" w:afterLines="50" w:line="360" w:lineRule="auto"/>
        <w:rPr>
          <w:rFonts w:ascii="仿宋_GB2312" w:hAnsi="黑体" w:eastAsia="仿宋_GB2312"/>
          <w:bCs/>
          <w:color w:val="000000" w:themeColor="text1"/>
          <w:sz w:val="28"/>
          <w:szCs w:val="28"/>
          <w:highlight w:val="none"/>
          <w14:textFill>
            <w14:solidFill>
              <w14:schemeClr w14:val="tx1"/>
            </w14:solidFill>
          </w14:textFill>
        </w:rPr>
      </w:pPr>
    </w:p>
    <w:p>
      <w:pPr>
        <w:spacing w:before="156" w:beforeLines="50" w:after="156" w:afterLines="50" w:line="360" w:lineRule="auto"/>
        <w:rPr>
          <w:rFonts w:ascii="仿宋_GB2312" w:hAnsi="黑体" w:eastAsia="仿宋_GB2312"/>
          <w:color w:val="000000" w:themeColor="text1"/>
          <w:sz w:val="28"/>
          <w:szCs w:val="28"/>
          <w:highlight w:val="none"/>
          <w:u w:val="single"/>
          <w14:textFill>
            <w14:solidFill>
              <w14:schemeClr w14:val="tx1"/>
            </w14:solidFill>
          </w14:textFill>
        </w:rPr>
      </w:pPr>
      <w:r>
        <w:rPr>
          <w:rFonts w:hint="eastAsia" w:ascii="仿宋_GB2312" w:hAnsi="黑体" w:eastAsia="仿宋_GB2312"/>
          <w:bCs/>
          <w:color w:val="000000" w:themeColor="text1"/>
          <w:sz w:val="28"/>
          <w:szCs w:val="28"/>
          <w:highlight w:val="none"/>
          <w14:textFill>
            <w14:solidFill>
              <w14:schemeClr w14:val="tx1"/>
            </w14:solidFill>
          </w14:textFill>
        </w:rPr>
        <w:t>发包人（甲方）：</w:t>
      </w:r>
      <w:r>
        <w:rPr>
          <w:rFonts w:hint="eastAsia" w:ascii="仿宋_GB2312" w:hAnsi="黑体" w:eastAsia="仿宋_GB2312"/>
          <w:color w:val="000000" w:themeColor="text1"/>
          <w:sz w:val="28"/>
          <w:szCs w:val="28"/>
          <w:highlight w:val="none"/>
          <w:u w:val="single"/>
          <w14:textFill>
            <w14:solidFill>
              <w14:schemeClr w14:val="tx1"/>
            </w14:solidFill>
          </w14:textFill>
        </w:rPr>
        <w:t>广州市南沙新区产业园区开发建设管理局(业主)</w:t>
      </w:r>
    </w:p>
    <w:p>
      <w:pPr>
        <w:spacing w:before="156" w:beforeLines="50" w:after="156" w:afterLines="50" w:line="360" w:lineRule="auto"/>
        <w:ind w:firstLine="2240" w:firstLineChars="800"/>
        <w:rPr>
          <w:rFonts w:ascii="仿宋_GB2312" w:hAnsi="黑体" w:eastAsia="仿宋_GB2312"/>
          <w:i/>
          <w:iCs/>
          <w:color w:val="000000" w:themeColor="text1"/>
          <w:sz w:val="28"/>
          <w:szCs w:val="28"/>
          <w:highlight w:val="none"/>
          <w:u w:val="single"/>
          <w14:textFill>
            <w14:solidFill>
              <w14:schemeClr w14:val="tx1"/>
            </w14:solidFill>
          </w14:textFill>
        </w:rPr>
      </w:pPr>
      <w:bookmarkStart w:id="2" w:name="_Hlk100821956"/>
      <w:r>
        <w:rPr>
          <w:rFonts w:hint="eastAsia" w:ascii="仿宋_GB2312" w:hAnsi="黑体" w:eastAsia="仿宋_GB2312"/>
          <w:i/>
          <w:iCs/>
          <w:color w:val="000000" w:themeColor="text1"/>
          <w:sz w:val="28"/>
          <w:szCs w:val="28"/>
          <w:highlight w:val="none"/>
          <w:u w:val="single"/>
          <w14:textFill>
            <w14:solidFill>
              <w14:schemeClr w14:val="tx1"/>
            </w14:solidFill>
          </w14:textFill>
        </w:rPr>
        <w:t>[如有则补充,无则删除]（建设管理单位）</w:t>
      </w:r>
      <w:bookmarkEnd w:id="2"/>
    </w:p>
    <w:p>
      <w:pPr>
        <w:spacing w:line="360" w:lineRule="auto"/>
        <w:rPr>
          <w:rFonts w:ascii="仿宋_GB2312" w:eastAsia="仿宋_GB2312"/>
          <w:b/>
          <w:bCs/>
          <w:i/>
          <w:iCs/>
          <w:color w:val="000000" w:themeColor="text1"/>
          <w:kern w:val="0"/>
          <w:sz w:val="28"/>
          <w:szCs w:val="28"/>
          <w:highlight w:val="none"/>
          <w:u w:val="single"/>
          <w14:textFill>
            <w14:solidFill>
              <w14:schemeClr w14:val="tx1"/>
            </w14:solidFill>
          </w14:textFill>
        </w:rPr>
      </w:pPr>
      <w:r>
        <w:rPr>
          <w:rFonts w:hint="eastAsia" w:ascii="仿宋_GB2312" w:hAnsi="黑体" w:eastAsia="仿宋_GB2312"/>
          <w:bCs/>
          <w:color w:val="000000" w:themeColor="text1"/>
          <w:sz w:val="28"/>
          <w:szCs w:val="28"/>
          <w:highlight w:val="none"/>
          <w14:textFill>
            <w14:solidFill>
              <w14:schemeClr w14:val="tx1"/>
            </w14:solidFill>
          </w14:textFill>
        </w:rPr>
        <w:t>承包人（乙方）：</w:t>
      </w:r>
      <w:r>
        <w:rPr>
          <w:rFonts w:ascii="仿宋_GB2312" w:hAnsi="黑体" w:eastAsia="仿宋_GB2312"/>
          <w:bCs/>
          <w:color w:val="000000" w:themeColor="text1"/>
          <w:sz w:val="28"/>
          <w:szCs w:val="28"/>
          <w:highlight w:val="none"/>
          <w:u w:val="single"/>
          <w14:textFill>
            <w14:solidFill>
              <w14:schemeClr w14:val="tx1"/>
            </w14:solidFill>
          </w14:textFill>
        </w:rPr>
        <w:t xml:space="preserve">                                         </w:t>
      </w:r>
    </w:p>
    <w:p>
      <w:pPr>
        <w:spacing w:line="360" w:lineRule="auto"/>
        <w:jc w:val="center"/>
        <w:rPr>
          <w:rFonts w:ascii="仿宋_GB2312" w:eastAsia="仿宋_GB2312"/>
          <w:b/>
          <w:bCs/>
          <w:color w:val="000000" w:themeColor="text1"/>
          <w:kern w:val="0"/>
          <w:sz w:val="28"/>
          <w:szCs w:val="28"/>
          <w:highlight w:val="none"/>
          <w14:textFill>
            <w14:solidFill>
              <w14:schemeClr w14:val="tx1"/>
            </w14:solidFill>
          </w14:textFill>
        </w:rPr>
      </w:pPr>
    </w:p>
    <w:p>
      <w:pPr>
        <w:pStyle w:val="23"/>
        <w:spacing w:line="360" w:lineRule="auto"/>
        <w:rPr>
          <w:rFonts w:ascii="仿宋_GB2312"/>
          <w:color w:val="000000" w:themeColor="text1"/>
          <w:sz w:val="28"/>
          <w:highlight w:val="none"/>
          <w14:textFill>
            <w14:solidFill>
              <w14:schemeClr w14:val="tx1"/>
            </w14:solidFill>
          </w14:textFill>
        </w:rPr>
      </w:pPr>
    </w:p>
    <w:p>
      <w:pPr>
        <w:adjustRightInd w:val="0"/>
        <w:snapToGrid w:val="0"/>
        <w:spacing w:line="360" w:lineRule="auto"/>
        <w:jc w:val="center"/>
        <w:rPr>
          <w:rFonts w:ascii="仿宋_GB2312" w:hAnsi="宋体" w:eastAsia="仿宋_GB2312"/>
          <w:b/>
          <w:bCs/>
          <w:snapToGrid w:val="0"/>
          <w:color w:val="000000" w:themeColor="text1"/>
          <w:kern w:val="0"/>
          <w:sz w:val="28"/>
          <w:szCs w:val="28"/>
          <w:highlight w:val="none"/>
          <w14:textFill>
            <w14:solidFill>
              <w14:schemeClr w14:val="tx1"/>
            </w14:solidFill>
          </w14:textFill>
        </w:rPr>
        <w:sectPr>
          <w:headerReference r:id="rId3" w:type="first"/>
          <w:footerReference r:id="rId4" w:type="default"/>
          <w:pgSz w:w="11906" w:h="16838"/>
          <w:pgMar w:top="1418" w:right="1555" w:bottom="1418" w:left="1531" w:header="851" w:footer="992" w:gutter="0"/>
          <w:pgNumType w:start="0"/>
          <w:cols w:space="720" w:num="1"/>
          <w:titlePg/>
          <w:docGrid w:type="lines" w:linePitch="312" w:charSpace="0"/>
        </w:sectPr>
      </w:pPr>
    </w:p>
    <w:p>
      <w:pPr>
        <w:pStyle w:val="43"/>
        <w:ind w:left="63" w:right="63" w:firstLine="210"/>
        <w:rPr>
          <w:color w:val="000000" w:themeColor="text1"/>
          <w:highlight w:val="none"/>
          <w14:textFill>
            <w14:solidFill>
              <w14:schemeClr w14:val="tx1"/>
            </w14:solidFill>
          </w14:textFill>
        </w:rPr>
      </w:pPr>
    </w:p>
    <w:p>
      <w:pPr>
        <w:adjustRightInd w:val="0"/>
        <w:snapToGrid w:val="0"/>
        <w:spacing w:line="360" w:lineRule="auto"/>
        <w:jc w:val="center"/>
        <w:rPr>
          <w:rFonts w:ascii="仿宋_GB2312" w:hAnsi="宋体" w:eastAsia="仿宋_GB2312"/>
          <w:b/>
          <w:bCs/>
          <w:snapToGrid w:val="0"/>
          <w:color w:val="000000" w:themeColor="text1"/>
          <w:kern w:val="0"/>
          <w:sz w:val="44"/>
          <w:szCs w:val="44"/>
          <w:highlight w:val="none"/>
          <w14:textFill>
            <w14:solidFill>
              <w14:schemeClr w14:val="tx1"/>
            </w14:solidFill>
          </w14:textFill>
        </w:rPr>
      </w:pPr>
      <w:r>
        <w:rPr>
          <w:rFonts w:hint="eastAsia" w:ascii="仿宋_GB2312" w:hAnsi="宋体" w:eastAsia="仿宋_GB2312"/>
          <w:b/>
          <w:bCs/>
          <w:snapToGrid w:val="0"/>
          <w:color w:val="000000" w:themeColor="text1"/>
          <w:kern w:val="0"/>
          <w:sz w:val="44"/>
          <w:szCs w:val="44"/>
          <w:highlight w:val="none"/>
          <w14:textFill>
            <w14:solidFill>
              <w14:schemeClr w14:val="tx1"/>
            </w14:solidFill>
          </w14:textFill>
        </w:rPr>
        <w:t>重要提示</w:t>
      </w:r>
    </w:p>
    <w:p>
      <w:pPr>
        <w:adjustRightInd w:val="0"/>
        <w:snapToGrid w:val="0"/>
        <w:spacing w:line="360" w:lineRule="auto"/>
        <w:rPr>
          <w:rFonts w:ascii="仿宋_GB2312" w:hAnsi="宋体" w:eastAsia="仿宋_GB2312"/>
          <w:b/>
          <w:snapToGrid w:val="0"/>
          <w:color w:val="000000" w:themeColor="text1"/>
          <w:kern w:val="0"/>
          <w:sz w:val="28"/>
          <w:szCs w:val="28"/>
          <w:highlight w:val="none"/>
          <w14:textFill>
            <w14:solidFill>
              <w14:schemeClr w14:val="tx1"/>
            </w14:solidFill>
          </w14:textFill>
        </w:rPr>
      </w:pPr>
    </w:p>
    <w:p>
      <w:pPr>
        <w:adjustRightInd w:val="0"/>
        <w:snapToGrid w:val="0"/>
        <w:spacing w:line="360" w:lineRule="auto"/>
        <w:ind w:firstLine="548" w:firstLineChars="196"/>
        <w:rPr>
          <w:rFonts w:ascii="仿宋_GB2312" w:hAnsi="宋体" w:eastAsia="仿宋_GB2312"/>
          <w:b/>
          <w:snapToGrid w:val="0"/>
          <w:color w:val="000000" w:themeColor="text1"/>
          <w:kern w:val="0"/>
          <w:sz w:val="28"/>
          <w:szCs w:val="28"/>
          <w:highlight w:val="none"/>
          <w14:textFill>
            <w14:solidFill>
              <w14:schemeClr w14:val="tx1"/>
            </w14:solidFill>
          </w14:textFill>
        </w:rPr>
      </w:pPr>
      <w:r>
        <w:rPr>
          <w:rFonts w:hint="eastAsia" w:ascii="仿宋_GB2312" w:hAnsi="宋体" w:eastAsia="仿宋_GB2312"/>
          <w:snapToGrid w:val="0"/>
          <w:color w:val="000000" w:themeColor="text1"/>
          <w:kern w:val="0"/>
          <w:sz w:val="28"/>
          <w:szCs w:val="28"/>
          <w:highlight w:val="none"/>
          <w14:textFill>
            <w14:solidFill>
              <w14:schemeClr w14:val="tx1"/>
            </w14:solidFill>
          </w14:textFill>
        </w:rPr>
        <w:t>一、本合同由《合同协议书》、《专用合同条件》、《通用合同条件》和《合同附件》组成</w:t>
      </w:r>
      <w:r>
        <w:rPr>
          <w:rFonts w:hint="eastAsia" w:ascii="仿宋_GB2312" w:eastAsia="仿宋_GB2312"/>
          <w:snapToGrid w:val="0"/>
          <w:color w:val="000000" w:themeColor="text1"/>
          <w:kern w:val="0"/>
          <w:sz w:val="28"/>
          <w:szCs w:val="28"/>
          <w:highlight w:val="none"/>
          <w14:textFill>
            <w14:solidFill>
              <w14:schemeClr w14:val="tx1"/>
            </w14:solidFill>
          </w14:textFill>
        </w:rPr>
        <w:t>。</w:t>
      </w:r>
    </w:p>
    <w:p>
      <w:pPr>
        <w:adjustRightInd w:val="0"/>
        <w:snapToGrid w:val="0"/>
        <w:spacing w:line="360" w:lineRule="auto"/>
        <w:ind w:firstLine="548" w:firstLineChars="196"/>
        <w:rPr>
          <w:rFonts w:ascii="仿宋_GB2312" w:hAnsi="宋体" w:eastAsia="仿宋_GB2312"/>
          <w:snapToGrid w:val="0"/>
          <w:color w:val="000000" w:themeColor="text1"/>
          <w:kern w:val="0"/>
          <w:sz w:val="28"/>
          <w:szCs w:val="28"/>
          <w:highlight w:val="none"/>
          <w14:textFill>
            <w14:solidFill>
              <w14:schemeClr w14:val="tx1"/>
            </w14:solidFill>
          </w14:textFill>
        </w:rPr>
      </w:pPr>
      <w:r>
        <w:rPr>
          <w:rFonts w:hint="eastAsia" w:ascii="仿宋_GB2312" w:hAnsi="宋体" w:eastAsia="仿宋_GB2312"/>
          <w:snapToGrid w:val="0"/>
          <w:color w:val="000000" w:themeColor="text1"/>
          <w:kern w:val="0"/>
          <w:sz w:val="28"/>
          <w:szCs w:val="28"/>
          <w:highlight w:val="none"/>
          <w14:textFill>
            <w14:solidFill>
              <w14:schemeClr w14:val="tx1"/>
            </w14:solidFill>
          </w14:textFill>
        </w:rPr>
        <w:t>二、使用说明：</w:t>
      </w:r>
    </w:p>
    <w:p>
      <w:pPr>
        <w:adjustRightInd w:val="0"/>
        <w:snapToGrid w:val="0"/>
        <w:spacing w:line="360" w:lineRule="auto"/>
        <w:ind w:firstLine="548" w:firstLineChars="196"/>
        <w:rPr>
          <w:rFonts w:ascii="仿宋_GB2312" w:hAnsi="宋体" w:eastAsia="仿宋_GB2312"/>
          <w:snapToGrid w:val="0"/>
          <w:color w:val="000000" w:themeColor="text1"/>
          <w:kern w:val="0"/>
          <w:sz w:val="28"/>
          <w:szCs w:val="28"/>
          <w:highlight w:val="none"/>
          <w14:textFill>
            <w14:solidFill>
              <w14:schemeClr w14:val="tx1"/>
            </w14:solidFill>
          </w14:textFill>
        </w:rPr>
      </w:pPr>
      <w:r>
        <w:rPr>
          <w:rFonts w:ascii="仿宋_GB2312" w:hAnsi="宋体" w:eastAsia="仿宋_GB2312"/>
          <w:snapToGrid w:val="0"/>
          <w:color w:val="000000" w:themeColor="text1"/>
          <w:kern w:val="0"/>
          <w:sz w:val="28"/>
          <w:szCs w:val="28"/>
          <w:highlight w:val="none"/>
          <w14:textFill>
            <w14:solidFill>
              <w14:schemeClr w14:val="tx1"/>
            </w14:solidFill>
          </w14:textFill>
        </w:rPr>
        <w:t>1</w:t>
      </w:r>
      <w:r>
        <w:rPr>
          <w:rFonts w:hint="eastAsia" w:ascii="仿宋_GB2312" w:hAnsi="宋体" w:eastAsia="仿宋_GB2312"/>
          <w:snapToGrid w:val="0"/>
          <w:color w:val="000000" w:themeColor="text1"/>
          <w:kern w:val="0"/>
          <w:sz w:val="28"/>
          <w:szCs w:val="28"/>
          <w:highlight w:val="none"/>
          <w14:textFill>
            <w14:solidFill>
              <w14:schemeClr w14:val="tx1"/>
            </w14:solidFill>
          </w14:textFill>
        </w:rPr>
        <w:t>、下划线“</w:t>
      </w:r>
      <w:r>
        <w:rPr>
          <w:rFonts w:hint="eastAsia" w:ascii="仿宋_GB2312" w:hAnsi="宋体" w:eastAsia="仿宋_GB2312"/>
          <w:snapToGrid w:val="0"/>
          <w:color w:val="000000" w:themeColor="text1"/>
          <w:kern w:val="0"/>
          <w:sz w:val="28"/>
          <w:szCs w:val="28"/>
          <w:highlight w:val="none"/>
          <w:u w:val="single"/>
          <w14:textFill>
            <w14:solidFill>
              <w14:schemeClr w14:val="tx1"/>
            </w14:solidFill>
          </w14:textFill>
        </w:rPr>
        <w:t xml:space="preserve">        </w:t>
      </w:r>
      <w:r>
        <w:rPr>
          <w:rFonts w:hint="eastAsia" w:ascii="仿宋_GB2312" w:hAnsi="宋体" w:eastAsia="仿宋_GB2312"/>
          <w:snapToGrid w:val="0"/>
          <w:color w:val="000000" w:themeColor="text1"/>
          <w:kern w:val="0"/>
          <w:sz w:val="28"/>
          <w:szCs w:val="28"/>
          <w:highlight w:val="none"/>
          <w14:textFill>
            <w14:solidFill>
              <w14:schemeClr w14:val="tx1"/>
            </w14:solidFill>
          </w14:textFill>
        </w:rPr>
        <w:t>”部分为根据项目的特点和条件填充的内容；</w:t>
      </w:r>
    </w:p>
    <w:p>
      <w:pPr>
        <w:adjustRightInd w:val="0"/>
        <w:snapToGrid w:val="0"/>
        <w:spacing w:line="360" w:lineRule="auto"/>
        <w:ind w:firstLine="548" w:firstLineChars="196"/>
        <w:rPr>
          <w:rFonts w:ascii="仿宋_GB2312" w:hAnsi="宋体" w:eastAsia="仿宋_GB2312"/>
          <w:snapToGrid w:val="0"/>
          <w:color w:val="000000" w:themeColor="text1"/>
          <w:kern w:val="0"/>
          <w:sz w:val="28"/>
          <w:szCs w:val="28"/>
          <w:highlight w:val="none"/>
          <w14:textFill>
            <w14:solidFill>
              <w14:schemeClr w14:val="tx1"/>
            </w14:solidFill>
          </w14:textFill>
        </w:rPr>
      </w:pPr>
      <w:r>
        <w:rPr>
          <w:rFonts w:ascii="仿宋_GB2312" w:hAnsi="宋体" w:eastAsia="仿宋_GB2312"/>
          <w:snapToGrid w:val="0"/>
          <w:color w:val="000000" w:themeColor="text1"/>
          <w:kern w:val="0"/>
          <w:sz w:val="28"/>
          <w:szCs w:val="28"/>
          <w:highlight w:val="none"/>
          <w14:textFill>
            <w14:solidFill>
              <w14:schemeClr w14:val="tx1"/>
            </w14:solidFill>
          </w14:textFill>
        </w:rPr>
        <w:t>2</w:t>
      </w:r>
      <w:r>
        <w:rPr>
          <w:rFonts w:hint="eastAsia" w:ascii="仿宋_GB2312" w:hAnsi="宋体" w:eastAsia="仿宋_GB2312"/>
          <w:snapToGrid w:val="0"/>
          <w:color w:val="000000" w:themeColor="text1"/>
          <w:kern w:val="0"/>
          <w:sz w:val="28"/>
          <w:szCs w:val="28"/>
          <w:highlight w:val="none"/>
          <w14:textFill>
            <w14:solidFill>
              <w14:schemeClr w14:val="tx1"/>
            </w14:solidFill>
          </w14:textFill>
        </w:rPr>
        <w:t>、中括号“【】/[</w:t>
      </w:r>
      <w:r>
        <w:rPr>
          <w:rFonts w:ascii="仿宋_GB2312" w:hAnsi="宋体" w:eastAsia="仿宋_GB2312"/>
          <w:snapToGrid w:val="0"/>
          <w:color w:val="000000" w:themeColor="text1"/>
          <w:kern w:val="0"/>
          <w:sz w:val="28"/>
          <w:szCs w:val="28"/>
          <w:highlight w:val="none"/>
          <w14:textFill>
            <w14:solidFill>
              <w14:schemeClr w14:val="tx1"/>
            </w14:solidFill>
          </w14:textFill>
        </w:rPr>
        <w:t xml:space="preserve">  ]</w:t>
      </w:r>
      <w:r>
        <w:rPr>
          <w:rFonts w:hint="eastAsia" w:ascii="仿宋_GB2312" w:hAnsi="宋体" w:eastAsia="仿宋_GB2312"/>
          <w:snapToGrid w:val="0"/>
          <w:color w:val="000000" w:themeColor="text1"/>
          <w:kern w:val="0"/>
          <w:sz w:val="28"/>
          <w:szCs w:val="28"/>
          <w:highlight w:val="none"/>
          <w14:textFill>
            <w14:solidFill>
              <w14:schemeClr w14:val="tx1"/>
            </w14:solidFill>
          </w14:textFill>
        </w:rPr>
        <w:t>”、</w:t>
      </w:r>
      <w:r>
        <w:rPr>
          <w:rFonts w:hint="eastAsia" w:ascii="仿宋_GB2312" w:hAnsi="宋体" w:eastAsia="仿宋_GB2312"/>
          <w:i/>
          <w:iCs/>
          <w:snapToGrid w:val="0"/>
          <w:color w:val="000000" w:themeColor="text1"/>
          <w:kern w:val="0"/>
          <w:sz w:val="28"/>
          <w:szCs w:val="28"/>
          <w:highlight w:val="none"/>
          <w14:textFill>
            <w14:solidFill>
              <w14:schemeClr w14:val="tx1"/>
            </w14:solidFill>
          </w14:textFill>
        </w:rPr>
        <w:t>[标黄斜体字</w:t>
      </w:r>
      <w:r>
        <w:rPr>
          <w:rFonts w:ascii="仿宋_GB2312" w:hAnsi="宋体" w:eastAsia="仿宋_GB2312"/>
          <w:i/>
          <w:iCs/>
          <w:snapToGrid w:val="0"/>
          <w:color w:val="000000" w:themeColor="text1"/>
          <w:kern w:val="0"/>
          <w:sz w:val="28"/>
          <w:szCs w:val="28"/>
          <w:highlight w:val="none"/>
          <w14:textFill>
            <w14:solidFill>
              <w14:schemeClr w14:val="tx1"/>
            </w14:solidFill>
          </w14:textFill>
        </w:rPr>
        <w:t>]</w:t>
      </w:r>
      <w:r>
        <w:rPr>
          <w:rFonts w:hint="eastAsia" w:ascii="仿宋_GB2312" w:hAnsi="宋体" w:eastAsia="仿宋_GB2312"/>
          <w:snapToGrid w:val="0"/>
          <w:color w:val="000000" w:themeColor="text1"/>
          <w:kern w:val="0"/>
          <w:sz w:val="28"/>
          <w:szCs w:val="28"/>
          <w:highlight w:val="none"/>
          <w14:textFill>
            <w14:solidFill>
              <w14:schemeClr w14:val="tx1"/>
            </w14:solidFill>
          </w14:textFill>
        </w:rPr>
        <w:t>的部分为根据说明进行填写或修改的内容；</w:t>
      </w:r>
    </w:p>
    <w:p>
      <w:pPr>
        <w:adjustRightInd w:val="0"/>
        <w:snapToGrid w:val="0"/>
        <w:spacing w:line="360" w:lineRule="auto"/>
        <w:ind w:firstLine="548" w:firstLineChars="196"/>
        <w:rPr>
          <w:rFonts w:ascii="仿宋_GB2312" w:hAnsi="宋体" w:eastAsia="仿宋_GB2312"/>
          <w:snapToGrid w:val="0"/>
          <w:color w:val="000000" w:themeColor="text1"/>
          <w:kern w:val="0"/>
          <w:sz w:val="28"/>
          <w:szCs w:val="28"/>
          <w:highlight w:val="none"/>
          <w14:textFill>
            <w14:solidFill>
              <w14:schemeClr w14:val="tx1"/>
            </w14:solidFill>
          </w14:textFill>
        </w:rPr>
      </w:pPr>
      <w:r>
        <w:rPr>
          <w:rFonts w:ascii="仿宋_GB2312" w:hAnsi="宋体" w:eastAsia="仿宋_GB2312"/>
          <w:snapToGrid w:val="0"/>
          <w:color w:val="000000" w:themeColor="text1"/>
          <w:kern w:val="0"/>
          <w:sz w:val="28"/>
          <w:szCs w:val="28"/>
          <w:highlight w:val="none"/>
          <w14:textFill>
            <w14:solidFill>
              <w14:schemeClr w14:val="tx1"/>
            </w14:solidFill>
          </w14:textFill>
        </w:rPr>
        <w:t>3</w:t>
      </w:r>
      <w:r>
        <w:rPr>
          <w:rFonts w:hint="eastAsia" w:ascii="仿宋_GB2312" w:hAnsi="宋体" w:eastAsia="仿宋_GB2312"/>
          <w:snapToGrid w:val="0"/>
          <w:color w:val="000000" w:themeColor="text1"/>
          <w:kern w:val="0"/>
          <w:sz w:val="28"/>
          <w:szCs w:val="28"/>
          <w:highlight w:val="none"/>
          <w14:textFill>
            <w14:solidFill>
              <w14:schemeClr w14:val="tx1"/>
            </w14:solidFill>
          </w14:textFill>
        </w:rPr>
        <w:t>、有标明“□”的内容为可选择项，签订合同时按照项目实际进行选择，在相应的选项内打“√”，未打“√”项目则代表不在合同工作范围；</w:t>
      </w:r>
    </w:p>
    <w:p>
      <w:pPr>
        <w:adjustRightInd w:val="0"/>
        <w:snapToGrid w:val="0"/>
        <w:spacing w:line="360" w:lineRule="auto"/>
        <w:ind w:firstLine="548" w:firstLineChars="196"/>
        <w:rPr>
          <w:rFonts w:ascii="仿宋_GB2312" w:hAnsi="宋体" w:eastAsia="仿宋_GB2312"/>
          <w:snapToGrid w:val="0"/>
          <w:color w:val="000000" w:themeColor="text1"/>
          <w:kern w:val="0"/>
          <w:sz w:val="28"/>
          <w:szCs w:val="28"/>
          <w:highlight w:val="none"/>
          <w14:textFill>
            <w14:solidFill>
              <w14:schemeClr w14:val="tx1"/>
            </w14:solidFill>
          </w14:textFill>
        </w:rPr>
      </w:pPr>
      <w:r>
        <w:rPr>
          <w:rFonts w:ascii="仿宋_GB2312" w:hAnsi="宋体" w:eastAsia="仿宋_GB2312"/>
          <w:snapToGrid w:val="0"/>
          <w:color w:val="000000" w:themeColor="text1"/>
          <w:kern w:val="0"/>
          <w:sz w:val="28"/>
          <w:szCs w:val="28"/>
          <w:highlight w:val="none"/>
          <w14:textFill>
            <w14:solidFill>
              <w14:schemeClr w14:val="tx1"/>
            </w14:solidFill>
          </w14:textFill>
        </w:rPr>
        <w:t>4</w:t>
      </w:r>
      <w:r>
        <w:rPr>
          <w:rFonts w:hint="eastAsia" w:ascii="仿宋_GB2312" w:hAnsi="宋体" w:eastAsia="仿宋_GB2312"/>
          <w:snapToGrid w:val="0"/>
          <w:color w:val="000000" w:themeColor="text1"/>
          <w:kern w:val="0"/>
          <w:sz w:val="28"/>
          <w:szCs w:val="28"/>
          <w:highlight w:val="none"/>
          <w14:textFill>
            <w14:solidFill>
              <w14:schemeClr w14:val="tx1"/>
            </w14:solidFill>
          </w14:textFill>
        </w:rPr>
        <w:t>、其他条款内容一般按本标准版本执行。</w:t>
      </w:r>
    </w:p>
    <w:p>
      <w:pPr>
        <w:adjustRightInd w:val="0"/>
        <w:snapToGrid w:val="0"/>
        <w:spacing w:line="360" w:lineRule="auto"/>
        <w:ind w:firstLine="548" w:firstLineChars="196"/>
        <w:rPr>
          <w:rFonts w:ascii="仿宋_GB2312" w:hAnsi="宋体" w:eastAsia="仿宋_GB2312"/>
          <w:snapToGrid w:val="0"/>
          <w:color w:val="000000" w:themeColor="text1"/>
          <w:kern w:val="0"/>
          <w:sz w:val="28"/>
          <w:szCs w:val="28"/>
          <w:highlight w:val="none"/>
          <w14:textFill>
            <w14:solidFill>
              <w14:schemeClr w14:val="tx1"/>
            </w14:solidFill>
          </w14:textFill>
        </w:rPr>
      </w:pPr>
    </w:p>
    <w:p>
      <w:pPr>
        <w:adjustRightInd w:val="0"/>
        <w:snapToGrid w:val="0"/>
        <w:spacing w:line="360" w:lineRule="auto"/>
        <w:ind w:firstLine="548" w:firstLineChars="196"/>
        <w:rPr>
          <w:rFonts w:ascii="仿宋_GB2312" w:hAnsi="宋体" w:eastAsia="仿宋_GB2312"/>
          <w:snapToGrid w:val="0"/>
          <w:color w:val="000000" w:themeColor="text1"/>
          <w:kern w:val="0"/>
          <w:sz w:val="28"/>
          <w:szCs w:val="28"/>
          <w:highlight w:val="none"/>
          <w14:textFill>
            <w14:solidFill>
              <w14:schemeClr w14:val="tx1"/>
            </w14:solidFill>
          </w14:textFill>
        </w:rPr>
      </w:pPr>
    </w:p>
    <w:p>
      <w:pPr>
        <w:spacing w:line="360" w:lineRule="auto"/>
        <w:rPr>
          <w:rFonts w:ascii="仿宋_GB2312" w:eastAsia="仿宋_GB2312"/>
          <w:b/>
          <w:color w:val="000000" w:themeColor="text1"/>
          <w:sz w:val="28"/>
          <w:szCs w:val="28"/>
          <w:highlight w:val="none"/>
          <w14:textFill>
            <w14:solidFill>
              <w14:schemeClr w14:val="tx1"/>
            </w14:solidFill>
          </w14:textFill>
        </w:rPr>
      </w:pP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sectPr>
          <w:headerReference r:id="rId6" w:type="first"/>
          <w:headerReference r:id="rId5" w:type="default"/>
          <w:footerReference r:id="rId7" w:type="default"/>
          <w:pgSz w:w="11906" w:h="16838"/>
          <w:pgMar w:top="1418" w:right="1555" w:bottom="1418" w:left="1531" w:header="851" w:footer="992" w:gutter="0"/>
          <w:pgNumType w:start="1"/>
          <w:cols w:space="720" w:num="1"/>
          <w:titlePg/>
          <w:docGrid w:type="lines" w:linePitch="312" w:charSpace="0"/>
        </w:sectPr>
      </w:pPr>
      <w:bookmarkStart w:id="3" w:name="_Toc296503025"/>
      <w:bookmarkStart w:id="4" w:name="_Toc296890982"/>
    </w:p>
    <w:p>
      <w:pPr>
        <w:jc w:val="center"/>
        <w:rPr>
          <w:b/>
          <w:color w:val="000000" w:themeColor="text1"/>
          <w:sz w:val="40"/>
          <w:highlight w:val="none"/>
          <w14:textFill>
            <w14:solidFill>
              <w14:schemeClr w14:val="tx1"/>
            </w14:solidFill>
          </w14:textFill>
        </w:rPr>
      </w:pPr>
      <w:r>
        <w:rPr>
          <w:rFonts w:ascii="宋体" w:hAnsi="宋体"/>
          <w:b/>
          <w:color w:val="000000" w:themeColor="text1"/>
          <w:sz w:val="40"/>
          <w:highlight w:val="none"/>
          <w14:textFill>
            <w14:solidFill>
              <w14:schemeClr w14:val="tx1"/>
            </w14:solidFill>
          </w14:textFill>
        </w:rPr>
        <w:t>目录</w:t>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rFonts w:ascii="仿宋_GB2312" w:eastAsia="宋体"/>
          <w:bCs w:val="0"/>
          <w:i/>
          <w:iCs/>
          <w:caps w:val="0"/>
          <w:color w:val="000000" w:themeColor="text1"/>
          <w:kern w:val="0"/>
          <w:highlight w:val="none"/>
          <w14:textFill>
            <w14:solidFill>
              <w14:schemeClr w14:val="tx1"/>
            </w14:solidFill>
          </w14:textFill>
        </w:rPr>
        <w:fldChar w:fldCharType="begin"/>
      </w:r>
      <w:r>
        <w:rPr>
          <w:rFonts w:ascii="仿宋_GB2312" w:eastAsia="宋体"/>
          <w:bCs w:val="0"/>
          <w:i/>
          <w:iCs/>
          <w:caps w:val="0"/>
          <w:color w:val="000000" w:themeColor="text1"/>
          <w:kern w:val="0"/>
          <w:highlight w:val="none"/>
          <w14:textFill>
            <w14:solidFill>
              <w14:schemeClr w14:val="tx1"/>
            </w14:solidFill>
          </w14:textFill>
        </w:rPr>
        <w:instrText xml:space="preserve"> </w:instrText>
      </w:r>
      <w:r>
        <w:rPr>
          <w:rFonts w:hint="eastAsia" w:ascii="仿宋_GB2312" w:eastAsia="宋体"/>
          <w:bCs w:val="0"/>
          <w:i/>
          <w:iCs/>
          <w:caps w:val="0"/>
          <w:color w:val="000000" w:themeColor="text1"/>
          <w:kern w:val="0"/>
          <w:highlight w:val="none"/>
          <w14:textFill>
            <w14:solidFill>
              <w14:schemeClr w14:val="tx1"/>
            </w14:solidFill>
          </w14:textFill>
        </w:rPr>
        <w:instrText xml:space="preserve">TOC \h \z \t "标题 1,1,标题 2,2,标题 3,3,标题,1,通用标题3,3,专用标题3,3,专用标题2,2,通用标题2,2"</w:instrText>
      </w:r>
      <w:r>
        <w:rPr>
          <w:rFonts w:ascii="仿宋_GB2312" w:eastAsia="宋体"/>
          <w:bCs w:val="0"/>
          <w:i/>
          <w:iCs/>
          <w:caps w:val="0"/>
          <w:color w:val="000000" w:themeColor="text1"/>
          <w:kern w:val="0"/>
          <w:highlight w:val="none"/>
          <w14:textFill>
            <w14:solidFill>
              <w14:schemeClr w14:val="tx1"/>
            </w14:solidFill>
          </w14:textFill>
        </w:rPr>
        <w:instrText xml:space="preserve"> </w:instrText>
      </w:r>
      <w:r>
        <w:rPr>
          <w:rFonts w:ascii="仿宋_GB2312" w:eastAsia="宋体"/>
          <w:bCs w:val="0"/>
          <w:i/>
          <w:iCs/>
          <w:caps w:val="0"/>
          <w:color w:val="000000" w:themeColor="text1"/>
          <w:kern w:val="0"/>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第一部分 合同协议书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一、 工程概况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"_Toc102745872"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二、 合同工期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三、 质量标准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四、 签约合同价与合同价格形式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五、 施工总承包项目负责人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六、 合同文件构成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"_Toc102745877"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七、 承诺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八、 订立时间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"_Toc102745879"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九、 订立地点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"_Toc102745880"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十、 合同生效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"_Toc102745881"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十一、 合同份数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第二部分 通用合同条件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第1条 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 词语定义和解释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 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 标准和规范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 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"_Toc102745889"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 文件的提供和照管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 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 严禁贿赂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1.9 化石、文物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1.10 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1.11 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1.12 《发包人要求》和基础资料中的错误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1.13 责任限制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1.14 建筑信息模型技术的应用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第2条 发包人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"_Toc102745899"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2.1 遵守法律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2.2 提供施工现场和工作条件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2.3 提供基础资料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2.4 办理许可和批准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2.5 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2.6 现场管理配合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2.7 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第3条 发包人的管理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3.1 发包人代表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3.2 发包人人员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"_Toc102745909"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3.3 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3.5 指示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3.6 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3.7 会议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第4条 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4.1 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4.2 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4.3 工程总承包项目经理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4.4 承包人人员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4.5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"_Toc102745919"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4.6 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4.7 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4.8 不可预见的困难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4.9 工程质量管理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第5条 设计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5.1 承包人的设计义务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5.2 承包人文件审查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5.3 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5.4 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5.5 操作和维修手册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"_Toc102745929"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5.6 承包人文件错误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第6条 材料、工程设备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6.1 实施方法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6.2 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6.3 样品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6.4 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6.5 由承包人试验和检验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6.6 缺陷和修补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第7条 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7.1 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"_Toc102745939"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7.2 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7.3 现场合作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7.4 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7.5 现场劳动用工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7.6 安全文明施工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7.7 职业健康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7.8 环境保护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7.9 临时性公用设施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7.10 现场安保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7.11 工程照管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"_Toc102745949"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第8条 工期和进度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8.1 开始工作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8.2 竣工日期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8.3 项目实施计划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8.4 项目进度计划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8.5 进度报告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8.6 提前预警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8.7 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8.8 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8.9 暂停工作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"_Toc102745959"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8.10 复工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第9条 竣工试验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9.1 竣工试验的义务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9.2 延误的试验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9.3 重新试验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9.4 未能通过竣工试验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第10条 验收和工程接收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10.1 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10.2 单位/区段（子项）工程的验收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10.3 工程的接收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"_Toc102745969"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10.4 接收证书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10.5 竣工退场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第11条 缺陷责任与保修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11.1 工程保修的原则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11.2 缺陷责任期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11.3 缺陷调查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11.4 缺陷修复后的进一步试验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11.5 承包人出入权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11.6 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11.7 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"_Toc102745979"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第12条 竣工后试验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12.1 竣工后试验的程序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12.2 延误的试验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12.3 重新试验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12.4 未能通过竣工后试验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第13条 变更与调整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13.1 发包人变更权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13.2 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13.3 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13.4 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"_Toc102745989"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13.5 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13.6 计日工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13.7 法律变化引起的调整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13.8 市场价格波动引起的调整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第14条 合同价格与支付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14.1 合同价格形式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14.2 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14.3 工程进度款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14.4 付款计划表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14.5 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"_Toc102745999"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14.6 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_Toc102745999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14.7 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第15条 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15.1 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15.2 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15.3 第三人造成的违约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第16条 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16.1 由发包人解除合同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16.2 由承包人解除合同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16.3 合同解除后的事项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"_Toc102746009"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第17条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17.1 不可抗力的定义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17.2 不可抗力的通知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17.3 将损失减至最小的义务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17.4 不可抗力后果的承担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17.5 不可抗力影响分包人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17.6 因不可抗力解除合同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第18条 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18.1 设计和工程保险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18.2 工伤和意外伤害保险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"_Toc102746019"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18.3 货物保险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18.4 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18.5 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第19条 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19.1 索赔的提出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19.2 承包人索赔的处理程序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19.3 发包人索赔的处理程序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19.4 提出索赔的期限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第20条 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20.1 和解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"_Toc102746029"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20.2 调解</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20.3 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20.4 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20.5 争议解决条款效力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第三部分 专用合同条件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第一条 一般约定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 词语定义和解释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 语言文字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 法律</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 标准和规范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"_Toc102746039"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 合同文件的优先顺序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 文件的提供和照管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 联络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1.10 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1.11 保密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1.12 《发包人要求》和基础资料中的错误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1.13 责任限制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1.14 建筑信息模型技术的应用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 xml:space="preserve">第2条 </w:t>
      </w:r>
      <w:r>
        <w:rPr>
          <w:rStyle w:val="51"/>
          <w:rFonts w:hAnsi="宋体"/>
          <w:color w:val="000000" w:themeColor="text1"/>
          <w:highlight w:val="none"/>
          <w14:textFill>
            <w14:solidFill>
              <w14:schemeClr w14:val="tx1"/>
            </w14:solidFill>
          </w14:textFill>
        </w:rPr>
        <w:t>发包人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2.2 提供施工现场和工作条件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"_Toc102746049"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2.3 提供基础资料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2.4 办理许可和批准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2.5 支付合同价款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2.7 其他义务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2.8 发包人的主要权利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第3条 发包人的管理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3.1 发包人代表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3.2 发包人人员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3.3 工程师</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3.4 任命和授权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"_Toc102746059"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3.6 商定或确定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3.7 会议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第4条 承包人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4.1 承包人的一般义务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4.2 履约担保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4.3 施工总承包项目经理、项目技术负责人及其他</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4.4 承包人人员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4.5 分包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"_Toc102746067" </w:instrText>
      </w:r>
      <w:r>
        <w:rPr>
          <w:color w:val="000000" w:themeColor="text1"/>
          <w:highlight w:val="none"/>
          <w14:textFill>
            <w14:solidFill>
              <w14:schemeClr w14:val="tx1"/>
            </w14:solidFill>
          </w14:textFill>
        </w:rPr>
        <w:fldChar w:fldCharType="separate"/>
      </w:r>
      <w:r>
        <w:rPr>
          <w:rStyle w:val="51"/>
          <w:rFonts w:hAnsi="宋体"/>
          <w:color w:val="000000" w:themeColor="text1"/>
          <w:highlight w:val="none"/>
          <w14:textFill>
            <w14:solidFill>
              <w14:schemeClr w14:val="tx1"/>
            </w14:solidFill>
          </w14:textFill>
        </w:rPr>
        <w:t>□</w:t>
      </w:r>
      <w:r>
        <w:rPr>
          <w:rStyle w:val="51"/>
          <w:color w:val="000000" w:themeColor="text1"/>
          <w:highlight w:val="none"/>
          <w14:textFill>
            <w14:solidFill>
              <w14:schemeClr w14:val="tx1"/>
            </w14:solidFill>
          </w14:textFill>
        </w:rPr>
        <w:t>4.6 联合体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4.7 承包人现场查勘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"_Toc102746069"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4.8 不可预见的困难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_Toc102746069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第5条 设计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5.1 承包人的设计义务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5.2 承包人文件审查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5.3 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5.4 竣工文件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5.5 操作和维修手册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5.6  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第6条 材料、工程设备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6.1 实施方法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"_Toc102746079"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6.2 材料和工程设备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6.3 样品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6.4 质量检查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6.5 由承包人试验和检验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第7条 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7.1 交通运输</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7.2施工设备和临时设施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7.3 现场合作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7.4 测量放线</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7.5 现场劳动用工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"_Toc102746089"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7.6 安全文明施工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7.9 临时性公用设施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7.10 现场安保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第8条 工期和进度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8.1 开始工作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8.2 竣工日期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8.3 项目实施计划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8.4 项目进度计划</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8.5 进度报告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8.7 工期延误</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"_Toc102746099"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8.8 工期提前</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_Toc102746099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8.9 暂停工作</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第9条 竣工试验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9.1 竣工试验的义务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第10条 验收和工程接收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10.1 竣工验收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10.3 工程的接收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10.4 接收证书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10.5 竣工退场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第11条 缺陷责任与保修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"_Toc102746109"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11.2 缺陷责任期</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11.3 缺陷调查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11.4 缺陷修复后的进一步试验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11.6 缺陷责任期终止证书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11.7 保修责任</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第12条 竣工后试验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12.1 竣工后试验的程序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12.2 延误的试验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第13条 变更与调整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13.2 承包人的合理化建议</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"_Toc102746119"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13.3 变更程序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_Toc102746119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13.4 暂估价</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13.5 暂列金额</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13.8 市场价格波动引起的调整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第14条 合同价格与支付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14.1 合同价格形式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14.2 预付款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14.3 工程进度款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14.4 付款计划表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14.5 竣工结算</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"_Toc102746129"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14.6 质量保证金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14.7 最终结清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第15条 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15.1 发包人违约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15.2 承包人违约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第16条 合同解除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16.1 由发包人解除合同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16.2 由承包人解除合同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第17条 不可抗力</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17.1 不可抗力的定义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"_Toc102746139"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17.6 因不可抗力解除合同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第18条 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18.1 设计和工程保险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18.2 工伤和意外伤害保险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18.3 货物保险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18.4 其他保险</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18.5 对各项保险的一般要求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"_Toc102746146"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第19条 索赔</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19.2 承包人索赔的处理程序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6"/>
        <w:tabs>
          <w:tab w:val="right" w:leader="dot" w:pos="8343"/>
        </w:tabs>
        <w:rPr>
          <w:rFonts w:hAnsiTheme="minorHAnsi" w:eastAsiaTheme="minorEastAsia" w:cstheme="minorBidi"/>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"_Toc102746148"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第20条 争议解决</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"_Toc102746149"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20.3 争议评审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"_Toc102746150"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20.4 仲裁或诉讼</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31"/>
        <w:tabs>
          <w:tab w:val="right" w:leader="dot" w:pos="8343"/>
        </w:tabs>
        <w:rPr>
          <w:rFonts w:hAnsiTheme="minorHAnsi" w:eastAsiaTheme="minorEastAsia" w:cstheme="minorBidi"/>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第四部分 合同附件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附件1：合同清单（即含清单的投标报价文件）及结算原则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"_Toc102746153"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附件2：发包人要求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"_Toc102746154"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附件3：发包人供应材料设备一览表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"_Toc102746155"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附件4：工程质量保修书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"_Toc102746156"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附件5：拟投入本工程的主要施工设备表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"_Toc102746157"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附件6：承包人主要管理人员表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"_Toc102746158"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附件7：南沙区建设工程项目廉洁责任合同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"_Toc102746159" </w:instrText>
      </w:r>
      <w:r>
        <w:rPr>
          <w:color w:val="000000" w:themeColor="text1"/>
          <w:highlight w:val="none"/>
          <w14:textFill>
            <w14:solidFill>
              <w14:schemeClr w14:val="tx1"/>
            </w14:solidFill>
          </w14:textFill>
        </w:rPr>
        <w:fldChar w:fldCharType="separate"/>
      </w:r>
      <w:r>
        <w:rPr>
          <w:rStyle w:val="51"/>
          <w:rFonts w:ascii="宋体"/>
          <w:color w:val="000000" w:themeColor="text1"/>
          <w:highlight w:val="none"/>
          <w14:textFill>
            <w14:solidFill>
              <w14:schemeClr w14:val="tx1"/>
            </w14:solidFill>
          </w14:textFill>
        </w:rPr>
        <w:t>附件8：中标通知书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"_Toc102746160" </w:instrText>
      </w:r>
      <w:r>
        <w:rPr>
          <w:color w:val="000000" w:themeColor="text1"/>
          <w:highlight w:val="none"/>
          <w14:textFill>
            <w14:solidFill>
              <w14:schemeClr w14:val="tx1"/>
            </w14:solidFill>
          </w14:textFill>
        </w:rPr>
        <w:fldChar w:fldCharType="separate"/>
      </w:r>
      <w:r>
        <w:rPr>
          <w:rStyle w:val="51"/>
          <w:rFonts w:ascii="宋体" w:hAnsi="黑体"/>
          <w:color w:val="000000" w:themeColor="text1"/>
          <w:kern w:val="0"/>
          <w:highlight w:val="none"/>
          <w14:textFill>
            <w14:solidFill>
              <w14:schemeClr w14:val="tx1"/>
            </w14:solidFill>
          </w14:textFill>
        </w:rPr>
        <w:t>附件9：承诺函、履约银行保函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"_Toc102746161"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附件10：招标答疑及澄清</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"_Toc102746162"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附件11：联合体协议书（如有则附，如无删除）</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"_Toc102746163"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附件12：发改局可行性研究报告的复函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"_Toc102746164"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附件13：发改局确定本项目建设管理单位的复函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2"/>
        <w:tabs>
          <w:tab w:val="right" w:leader="dot" w:pos="8343"/>
        </w:tabs>
        <w:rPr>
          <w:rFonts w:hAnsiTheme="minorHAnsi" w:eastAsiaTheme="minorEastAsia" w:cstheme="minorBidi"/>
          <w:i w:val="0"/>
          <w:iC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"_Toc102746165" </w:instrText>
      </w:r>
      <w:r>
        <w:rPr>
          <w:color w:val="000000" w:themeColor="text1"/>
          <w:highlight w:val="none"/>
          <w14:textFill>
            <w14:solidFill>
              <w14:schemeClr w14:val="tx1"/>
            </w14:solidFill>
          </w14:textFill>
        </w:rPr>
        <w:fldChar w:fldCharType="separate"/>
      </w:r>
      <w:r>
        <w:rPr>
          <w:rStyle w:val="51"/>
          <w:color w:val="000000" w:themeColor="text1"/>
          <w:highlight w:val="none"/>
          <w14:textFill>
            <w14:solidFill>
              <w14:schemeClr w14:val="tx1"/>
            </w14:solidFill>
          </w14:textFill>
        </w:rPr>
        <w:t>附件14：临时使用工程免责承诺函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_Toc102746165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spacing w:line="360" w:lineRule="auto"/>
        <w:jc w:val="left"/>
        <w:rPr>
          <w:rFonts w:ascii="宋体" w:hAnsi="宋体"/>
          <w:color w:val="000000" w:themeColor="text1"/>
          <w:highlight w:val="none"/>
          <w14:textFill>
            <w14:solidFill>
              <w14:schemeClr w14:val="tx1"/>
            </w14:solidFill>
          </w14:textFill>
        </w:rPr>
      </w:pPr>
      <w:r>
        <w:rPr>
          <w:bCs/>
          <w:i/>
          <w:iCs/>
          <w:caps/>
          <w:color w:val="000000" w:themeColor="text1"/>
          <w:kern w:val="0"/>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5"/>
        <w:spacing w:line="360" w:lineRule="auto"/>
        <w:jc w:val="center"/>
        <w:rPr>
          <w:rFonts w:ascii="仿宋_GB2312" w:hAnsi="华文中宋" w:eastAsia="仿宋_GB2312"/>
          <w:color w:val="000000" w:themeColor="text1"/>
          <w:sz w:val="28"/>
          <w:szCs w:val="28"/>
          <w:highlight w:val="none"/>
          <w14:textFill>
            <w14:solidFill>
              <w14:schemeClr w14:val="tx1"/>
            </w14:solidFill>
          </w14:textFill>
        </w:rPr>
        <w:sectPr>
          <w:headerReference r:id="rId8" w:type="default"/>
          <w:footerReference r:id="rId9" w:type="default"/>
          <w:pgSz w:w="11900" w:h="16840"/>
          <w:pgMar w:top="2194" w:right="1771" w:bottom="1613" w:left="1776" w:header="1474" w:footer="850" w:gutter="0"/>
          <w:cols w:space="720" w:num="1"/>
          <w:docGrid w:linePitch="360" w:charSpace="0"/>
        </w:sectPr>
      </w:pPr>
      <w:bookmarkStart w:id="5" w:name="_Toc351203480"/>
    </w:p>
    <w:p>
      <w:pPr>
        <w:pStyle w:val="41"/>
        <w:rPr>
          <w:rFonts w:ascii="宋体"/>
          <w:color w:val="000000" w:themeColor="text1"/>
          <w:highlight w:val="none"/>
          <w14:textFill>
            <w14:solidFill>
              <w14:schemeClr w14:val="tx1"/>
            </w14:solidFill>
          </w14:textFill>
        </w:rPr>
      </w:pPr>
      <w:bookmarkStart w:id="6" w:name="_Toc12322"/>
      <w:bookmarkStart w:id="7" w:name="_Toc24261"/>
      <w:bookmarkStart w:id="8" w:name="_Toc21741"/>
      <w:bookmarkStart w:id="9" w:name="_Toc24543"/>
      <w:bookmarkStart w:id="10" w:name="_Toc102745870"/>
      <w:bookmarkStart w:id="11" w:name="_Toc4681"/>
      <w:bookmarkStart w:id="12" w:name="_Toc13779"/>
      <w:bookmarkStart w:id="13" w:name="_Toc10532"/>
      <w:bookmarkStart w:id="14" w:name="_Toc32460"/>
      <w:r>
        <w:rPr>
          <w:rFonts w:hint="eastAsia" w:ascii="宋体"/>
          <w:color w:val="000000" w:themeColor="text1"/>
          <w:highlight w:val="none"/>
          <w14:textFill>
            <w14:solidFill>
              <w14:schemeClr w14:val="tx1"/>
            </w14:solidFill>
          </w14:textFill>
        </w:rPr>
        <w:t>第一部分</w:t>
      </w:r>
      <w:r>
        <w:rPr>
          <w:rFonts w:ascii="宋体"/>
          <w:color w:val="000000" w:themeColor="text1"/>
          <w:highlight w:val="none"/>
          <w14:textFill>
            <w14:solidFill>
              <w14:schemeClr w14:val="tx1"/>
            </w14:solidFill>
          </w14:textFill>
        </w:rPr>
        <w:t xml:space="preserve"> </w:t>
      </w:r>
      <w:r>
        <w:rPr>
          <w:rFonts w:hint="eastAsia" w:ascii="宋体"/>
          <w:color w:val="000000" w:themeColor="text1"/>
          <w:highlight w:val="none"/>
          <w14:textFill>
            <w14:solidFill>
              <w14:schemeClr w14:val="tx1"/>
            </w14:solidFill>
          </w14:textFill>
        </w:rPr>
        <w:t>合同协议书</w:t>
      </w:r>
      <w:bookmarkEnd w:id="3"/>
      <w:bookmarkEnd w:id="4"/>
      <w:bookmarkEnd w:id="5"/>
      <w:bookmarkEnd w:id="6"/>
      <w:bookmarkEnd w:id="7"/>
      <w:bookmarkEnd w:id="8"/>
      <w:bookmarkEnd w:id="9"/>
      <w:bookmarkEnd w:id="10"/>
      <w:bookmarkEnd w:id="11"/>
      <w:bookmarkEnd w:id="12"/>
      <w:bookmarkEnd w:id="13"/>
      <w:bookmarkEnd w:id="14"/>
    </w:p>
    <w:p>
      <w:pPr>
        <w:snapToGrid w:val="0"/>
        <w:spacing w:line="360" w:lineRule="auto"/>
        <w:rPr>
          <w:rFonts w:ascii="宋体" w:hAnsi="宋体"/>
          <w:b/>
          <w:color w:val="000000" w:themeColor="text1"/>
          <w:sz w:val="24"/>
          <w:szCs w:val="21"/>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发包人（甲方）：</w:t>
      </w:r>
      <w:r>
        <w:rPr>
          <w:rFonts w:hint="eastAsia" w:ascii="宋体" w:hAnsi="宋体" w:cs="宋体"/>
          <w:b/>
          <w:color w:val="000000" w:themeColor="text1"/>
          <w:sz w:val="24"/>
          <w:szCs w:val="24"/>
          <w:highlight w:val="none"/>
          <w:u w:val="single"/>
          <w14:textFill>
            <w14:solidFill>
              <w14:schemeClr w14:val="tx1"/>
            </w14:solidFill>
          </w14:textFill>
        </w:rPr>
        <w:t>广州市南沙新区产业园区开发建设管理局（业主）</w:t>
      </w:r>
    </w:p>
    <w:p>
      <w:pPr>
        <w:snapToGrid w:val="0"/>
        <w:spacing w:line="360" w:lineRule="auto"/>
        <w:ind w:firstLine="1928" w:firstLineChars="800"/>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i/>
          <w:iCs/>
          <w:color w:val="000000" w:themeColor="text1"/>
          <w:sz w:val="24"/>
          <w:szCs w:val="24"/>
          <w:highlight w:val="none"/>
          <w:u w:val="single"/>
          <w14:textFill>
            <w14:solidFill>
              <w14:schemeClr w14:val="tx1"/>
            </w14:solidFill>
          </w14:textFill>
        </w:rPr>
        <w:t>[如有则补充,无则删除]（建设管理单位）</w:t>
      </w:r>
    </w:p>
    <w:p>
      <w:pPr>
        <w:snapToGrid w:val="0"/>
        <w:spacing w:line="360" w:lineRule="auto"/>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承包人（乙方）：</w:t>
      </w:r>
      <w:r>
        <w:rPr>
          <w:rFonts w:ascii="宋体" w:hAnsi="宋体" w:cs="宋体"/>
          <w:b/>
          <w:i/>
          <w:iCs/>
          <w:color w:val="000000" w:themeColor="text1"/>
          <w:sz w:val="24"/>
          <w:szCs w:val="24"/>
          <w:highlight w:val="none"/>
          <w:u w:val="single"/>
          <w14:textFill>
            <w14:solidFill>
              <w14:schemeClr w14:val="tx1"/>
            </w14:solidFill>
          </w14:textFill>
        </w:rPr>
        <w:t>[</w:t>
      </w:r>
      <w:r>
        <w:rPr>
          <w:rFonts w:hint="eastAsia" w:ascii="宋体" w:hAnsi="宋体" w:cs="宋体"/>
          <w:b/>
          <w:i/>
          <w:iCs/>
          <w:color w:val="000000" w:themeColor="text1"/>
          <w:sz w:val="24"/>
          <w:szCs w:val="24"/>
          <w:highlight w:val="none"/>
          <w:u w:val="single"/>
          <w14:textFill>
            <w14:solidFill>
              <w14:schemeClr w14:val="tx1"/>
            </w14:solidFill>
          </w14:textFill>
        </w:rPr>
        <w:t>中标单位全称]</w:t>
      </w:r>
      <w:r>
        <w:rPr>
          <w:rFonts w:ascii="宋体" w:hAnsi="宋体" w:cs="宋体"/>
          <w:b/>
          <w:color w:val="000000" w:themeColor="text1"/>
          <w:sz w:val="24"/>
          <w:szCs w:val="24"/>
          <w:highlight w:val="none"/>
          <w:u w:val="single"/>
          <w14:textFill>
            <w14:solidFill>
              <w14:schemeClr w14:val="tx1"/>
            </w14:solidFill>
          </w14:textFill>
        </w:rPr>
        <w:t xml:space="preserve">                               </w:t>
      </w:r>
    </w:p>
    <w:p>
      <w:pPr>
        <w:snapToGrid w:val="0"/>
        <w:spacing w:line="360" w:lineRule="auto"/>
        <w:ind w:firstLine="640"/>
        <w:rPr>
          <w:rFonts w:ascii="宋体"/>
          <w:color w:val="000000" w:themeColor="text1"/>
          <w:sz w:val="24"/>
          <w:szCs w:val="24"/>
          <w:highlight w:val="none"/>
          <w14:textFill>
            <w14:solidFill>
              <w14:schemeClr w14:val="tx1"/>
            </w14:solidFill>
          </w14:textFill>
        </w:rPr>
      </w:pPr>
    </w:p>
    <w:p>
      <w:pPr>
        <w:snapToGrid w:val="0"/>
        <w:spacing w:line="360" w:lineRule="auto"/>
        <w:ind w:firstLine="480" w:firstLineChars="200"/>
        <w:rPr>
          <w:rFonts w:ascii="宋体" w:hAnsi="仿宋_GB2312" w:cs="仿宋_GB2312"/>
          <w:color w:val="000000" w:themeColor="text1"/>
          <w:sz w:val="24"/>
          <w:szCs w:val="24"/>
          <w:highlight w:val="none"/>
          <w14:textFill>
            <w14:solidFill>
              <w14:schemeClr w14:val="tx1"/>
            </w14:solidFill>
          </w14:textFill>
        </w:rPr>
      </w:pPr>
      <w:r>
        <w:rPr>
          <w:rFonts w:hint="eastAsia" w:ascii="宋体" w:hAnsi="仿宋_GB2312" w:cs="仿宋_GB2312"/>
          <w:color w:val="000000" w:themeColor="text1"/>
          <w:sz w:val="24"/>
          <w:szCs w:val="24"/>
          <w:highlight w:val="none"/>
          <w14:textFill>
            <w14:solidFill>
              <w14:schemeClr w14:val="tx1"/>
            </w14:solidFill>
          </w14:textFill>
        </w:rPr>
        <w:t>根据《中华人民共和国民法典》、《中华人民共和国建筑法》及有关法律规定，遵循平等、自愿、公平和诚实信用的原则，各方就</w:t>
      </w:r>
      <w:bookmarkStart w:id="15" w:name="_Hlk100822021"/>
      <w:r>
        <w:rPr>
          <w:rFonts w:hint="eastAsia" w:ascii="宋体" w:hAnsi="仿宋_GB2312" w:cs="仿宋_GB2312"/>
          <w:i/>
          <w:iCs/>
          <w:color w:val="000000" w:themeColor="text1"/>
          <w:sz w:val="24"/>
          <w:szCs w:val="24"/>
          <w:highlight w:val="none"/>
          <w:u w:val="single"/>
          <w14:textFill>
            <w14:solidFill>
              <w14:schemeClr w14:val="tx1"/>
            </w14:solidFill>
          </w14:textFill>
        </w:rPr>
        <w:t>[中标/委托项目名称]</w:t>
      </w:r>
      <w:bookmarkEnd w:id="15"/>
      <w:r>
        <w:rPr>
          <w:rFonts w:hint="eastAsia" w:ascii="宋体" w:hAnsi="仿宋_GB2312" w:cs="仿宋_GB2312"/>
          <w:color w:val="000000" w:themeColor="text1"/>
          <w:sz w:val="24"/>
          <w:szCs w:val="24"/>
          <w:highlight w:val="none"/>
          <w14:textFill>
            <w14:solidFill>
              <w14:schemeClr w14:val="tx1"/>
            </w14:solidFill>
          </w14:textFill>
        </w:rPr>
        <w:t>及有关事项协商一致，共同达成如下协议：</w:t>
      </w:r>
    </w:p>
    <w:p>
      <w:pPr>
        <w:pStyle w:val="3"/>
        <w:numPr>
          <w:ilvl w:val="0"/>
          <w:numId w:val="10"/>
        </w:numPr>
        <w:rPr>
          <w:rFonts w:ascii="宋体"/>
          <w:color w:val="000000" w:themeColor="text1"/>
          <w:sz w:val="28"/>
          <w:highlight w:val="none"/>
          <w14:textFill>
            <w14:solidFill>
              <w14:schemeClr w14:val="tx1"/>
            </w14:solidFill>
          </w14:textFill>
        </w:rPr>
      </w:pPr>
      <w:bookmarkStart w:id="16" w:name="_Toc23033"/>
      <w:bookmarkStart w:id="17" w:name="_Toc3430"/>
      <w:bookmarkStart w:id="18" w:name="_Toc17074"/>
      <w:bookmarkStart w:id="19" w:name="_Toc9215"/>
      <w:bookmarkStart w:id="20" w:name="_Toc23405"/>
      <w:bookmarkStart w:id="21" w:name="_Toc351203481"/>
      <w:bookmarkStart w:id="22" w:name="_Toc102745871"/>
      <w:bookmarkStart w:id="23" w:name="_Toc31571"/>
      <w:bookmarkStart w:id="24" w:name="_Toc2768"/>
      <w:bookmarkStart w:id="25" w:name="_Toc9182"/>
      <w:r>
        <w:rPr>
          <w:rFonts w:hint="eastAsia" w:ascii="宋体"/>
          <w:color w:val="000000" w:themeColor="text1"/>
          <w:sz w:val="28"/>
          <w:highlight w:val="none"/>
          <w14:textFill>
            <w14:solidFill>
              <w14:schemeClr w14:val="tx1"/>
            </w14:solidFill>
          </w14:textFill>
        </w:rPr>
        <w:t>工程概况</w:t>
      </w:r>
      <w:bookmarkEnd w:id="16"/>
      <w:bookmarkEnd w:id="17"/>
      <w:bookmarkEnd w:id="18"/>
      <w:bookmarkEnd w:id="19"/>
      <w:bookmarkEnd w:id="20"/>
      <w:bookmarkEnd w:id="21"/>
      <w:bookmarkEnd w:id="22"/>
      <w:bookmarkEnd w:id="23"/>
      <w:bookmarkEnd w:id="24"/>
      <w:bookmarkEnd w:id="25"/>
    </w:p>
    <w:p>
      <w:pPr>
        <w:adjustRightInd w:val="0"/>
        <w:snapToGrid w:val="0"/>
        <w:spacing w:line="360" w:lineRule="auto"/>
        <w:ind w:firstLine="480" w:firstLineChars="200"/>
        <w:rPr>
          <w:rFonts w:ascii="宋体" w:hAnsi="仿宋_GB2312" w:cs="仿宋_GB2312"/>
          <w:color w:val="000000" w:themeColor="text1"/>
          <w:sz w:val="24"/>
          <w:szCs w:val="24"/>
          <w:highlight w:val="none"/>
          <w14:textFill>
            <w14:solidFill>
              <w14:schemeClr w14:val="tx1"/>
            </w14:solidFill>
          </w14:textFill>
        </w:rPr>
      </w:pPr>
      <w:r>
        <w:rPr>
          <w:rFonts w:hint="eastAsia" w:ascii="宋体" w:hAnsi="仿宋_GB2312" w:cs="仿宋_GB2312"/>
          <w:bCs/>
          <w:color w:val="000000" w:themeColor="text1"/>
          <w:sz w:val="24"/>
          <w:szCs w:val="24"/>
          <w:highlight w:val="none"/>
          <w14:textFill>
            <w14:solidFill>
              <w14:schemeClr w14:val="tx1"/>
            </w14:solidFill>
          </w14:textFill>
        </w:rPr>
        <w:t>（一）工程名称</w:t>
      </w:r>
      <w:r>
        <w:rPr>
          <w:rFonts w:hint="eastAsia" w:ascii="宋体" w:hAnsi="仿宋_GB2312" w:cs="仿宋_GB2312"/>
          <w:color w:val="000000" w:themeColor="text1"/>
          <w:sz w:val="24"/>
          <w:szCs w:val="24"/>
          <w:highlight w:val="none"/>
          <w14:textFill>
            <w14:solidFill>
              <w14:schemeClr w14:val="tx1"/>
            </w14:solidFill>
          </w14:textFill>
        </w:rPr>
        <w:t>：</w:t>
      </w:r>
      <w:r>
        <w:rPr>
          <w:rFonts w:hint="eastAsia" w:ascii="宋体" w:hAnsi="仿宋_GB2312" w:cs="仿宋_GB2312"/>
          <w:i/>
          <w:iCs/>
          <w:color w:val="000000" w:themeColor="text1"/>
          <w:sz w:val="24"/>
          <w:szCs w:val="24"/>
          <w:highlight w:val="none"/>
          <w:u w:val="single"/>
          <w14:textFill>
            <w14:solidFill>
              <w14:schemeClr w14:val="tx1"/>
            </w14:solidFill>
          </w14:textFill>
        </w:rPr>
        <w:t>[中标/委托项目名称]</w:t>
      </w:r>
      <w:r>
        <w:rPr>
          <w:rFonts w:hint="eastAsia" w:ascii="宋体" w:hAnsi="仿宋_GB2312" w:cs="仿宋_GB2312"/>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仿宋_GB2312" w:cs="仿宋_GB2312"/>
          <w:color w:val="000000" w:themeColor="text1"/>
          <w:sz w:val="24"/>
          <w:szCs w:val="24"/>
          <w:highlight w:val="none"/>
          <w14:textFill>
            <w14:solidFill>
              <w14:schemeClr w14:val="tx1"/>
            </w14:solidFill>
          </w14:textFill>
        </w:rPr>
      </w:pPr>
      <w:r>
        <w:rPr>
          <w:rFonts w:hint="eastAsia" w:ascii="宋体" w:hAnsi="仿宋_GB2312" w:cs="仿宋_GB2312"/>
          <w:bCs/>
          <w:color w:val="000000" w:themeColor="text1"/>
          <w:sz w:val="24"/>
          <w:szCs w:val="24"/>
          <w:highlight w:val="none"/>
          <w14:textFill>
            <w14:solidFill>
              <w14:schemeClr w14:val="tx1"/>
            </w14:solidFill>
          </w14:textFill>
        </w:rPr>
        <w:t>（二）</w:t>
      </w:r>
      <w:r>
        <w:rPr>
          <w:rFonts w:hint="eastAsia" w:ascii="宋体" w:hAnsi="仿宋_GB2312" w:cs="仿宋_GB2312"/>
          <w:color w:val="000000" w:themeColor="text1"/>
          <w:sz w:val="24"/>
          <w:szCs w:val="24"/>
          <w:highlight w:val="none"/>
          <w14:textFill>
            <w14:solidFill>
              <w14:schemeClr w14:val="tx1"/>
            </w14:solidFill>
          </w14:textFill>
        </w:rPr>
        <w:t>工程地点：</w:t>
      </w:r>
      <w:r>
        <w:rPr>
          <w:rFonts w:ascii="宋体" w:hAnsi="仿宋_GB2312" w:cs="仿宋_GB2312"/>
          <w:color w:val="000000" w:themeColor="text1"/>
          <w:sz w:val="24"/>
          <w:szCs w:val="24"/>
          <w:highlight w:val="none"/>
          <w:u w:val="single"/>
          <w14:textFill>
            <w14:solidFill>
              <w14:schemeClr w14:val="tx1"/>
            </w14:solidFill>
          </w14:textFill>
        </w:rPr>
        <w:t>广州市南沙区</w:t>
      </w:r>
      <w:r>
        <w:rPr>
          <w:rFonts w:hint="eastAsia" w:ascii="宋体" w:hAnsi="仿宋_GB2312" w:cs="仿宋_GB2312"/>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仿宋_GB2312" w:cs="仿宋_GB2312"/>
          <w:color w:val="000000" w:themeColor="text1"/>
          <w:sz w:val="24"/>
          <w:szCs w:val="24"/>
          <w:highlight w:val="none"/>
          <w:u w:val="single"/>
          <w14:textFill>
            <w14:solidFill>
              <w14:schemeClr w14:val="tx1"/>
            </w14:solidFill>
          </w14:textFill>
        </w:rPr>
      </w:pPr>
      <w:r>
        <w:rPr>
          <w:rFonts w:hint="eastAsia" w:ascii="宋体" w:hAnsi="仿宋_GB2312" w:cs="仿宋_GB2312"/>
          <w:bCs/>
          <w:color w:val="000000" w:themeColor="text1"/>
          <w:sz w:val="24"/>
          <w:szCs w:val="24"/>
          <w:highlight w:val="none"/>
          <w14:textFill>
            <w14:solidFill>
              <w14:schemeClr w14:val="tx1"/>
            </w14:solidFill>
          </w14:textFill>
        </w:rPr>
        <w:t>（三）</w:t>
      </w:r>
      <w:r>
        <w:rPr>
          <w:rFonts w:hint="eastAsia" w:ascii="宋体" w:hAnsi="仿宋_GB2312" w:cs="仿宋_GB2312"/>
          <w:color w:val="000000" w:themeColor="text1"/>
          <w:sz w:val="24"/>
          <w:szCs w:val="24"/>
          <w:highlight w:val="none"/>
          <w14:textFill>
            <w14:solidFill>
              <w14:schemeClr w14:val="tx1"/>
            </w14:solidFill>
          </w14:textFill>
        </w:rPr>
        <w:t>工程立项批准文号：</w:t>
      </w:r>
      <w:r>
        <w:rPr>
          <w:rFonts w:hint="eastAsia" w:ascii="宋体" w:hAnsi="仿宋_GB2312" w:cs="仿宋_GB2312"/>
          <w:color w:val="000000" w:themeColor="text1"/>
          <w:sz w:val="24"/>
          <w:szCs w:val="24"/>
          <w:highlight w:val="none"/>
          <w:u w:val="single"/>
          <w14:textFill>
            <w14:solidFill>
              <w14:schemeClr w14:val="tx1"/>
            </w14:solidFill>
          </w14:textFill>
        </w:rPr>
        <w:t xml:space="preserve"> </w:t>
      </w:r>
      <w:r>
        <w:rPr>
          <w:rFonts w:ascii="宋体" w:hAnsi="仿宋_GB2312" w:cs="仿宋_GB2312"/>
          <w:color w:val="000000" w:themeColor="text1"/>
          <w:sz w:val="24"/>
          <w:szCs w:val="24"/>
          <w:highlight w:val="none"/>
          <w:u w:val="single"/>
          <w14:textFill>
            <w14:solidFill>
              <w14:schemeClr w14:val="tx1"/>
            </w14:solidFill>
          </w14:textFill>
        </w:rPr>
        <w:t xml:space="preserve">                  </w:t>
      </w:r>
      <w:r>
        <w:rPr>
          <w:rFonts w:hint="eastAsia" w:ascii="宋体" w:hAnsi="仿宋_GB2312" w:cs="仿宋_GB2312"/>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仿宋_GB2312" w:cs="仿宋_GB2312"/>
          <w:color w:val="000000" w:themeColor="text1"/>
          <w:sz w:val="24"/>
          <w:szCs w:val="24"/>
          <w:highlight w:val="none"/>
          <w14:textFill>
            <w14:solidFill>
              <w14:schemeClr w14:val="tx1"/>
            </w14:solidFill>
          </w14:textFill>
        </w:rPr>
      </w:pPr>
      <w:r>
        <w:rPr>
          <w:rFonts w:hint="eastAsia" w:ascii="宋体" w:hAnsi="仿宋_GB2312" w:cs="仿宋_GB2312"/>
          <w:bCs/>
          <w:color w:val="000000" w:themeColor="text1"/>
          <w:sz w:val="24"/>
          <w:szCs w:val="24"/>
          <w:highlight w:val="none"/>
          <w14:textFill>
            <w14:solidFill>
              <w14:schemeClr w14:val="tx1"/>
            </w14:solidFill>
          </w14:textFill>
        </w:rPr>
        <w:t>（四）</w:t>
      </w:r>
      <w:r>
        <w:rPr>
          <w:rFonts w:hint="eastAsia" w:ascii="宋体" w:hAnsi="仿宋_GB2312" w:cs="仿宋_GB2312"/>
          <w:color w:val="000000" w:themeColor="text1"/>
          <w:sz w:val="24"/>
          <w:szCs w:val="24"/>
          <w:highlight w:val="none"/>
          <w14:textFill>
            <w14:solidFill>
              <w14:schemeClr w14:val="tx1"/>
            </w14:solidFill>
          </w14:textFill>
        </w:rPr>
        <w:t>工程概况：</w:t>
      </w:r>
      <w:bookmarkStart w:id="26" w:name="_Hlk102689721"/>
      <w:r>
        <w:rPr>
          <w:rFonts w:hint="eastAsia" w:ascii="宋体" w:hAnsi="仿宋_GB2312" w:cs="仿宋_GB2312"/>
          <w:color w:val="000000" w:themeColor="text1"/>
          <w:sz w:val="24"/>
          <w:szCs w:val="24"/>
          <w:highlight w:val="none"/>
          <w:u w:val="single"/>
          <w14:textFill>
            <w14:solidFill>
              <w14:schemeClr w14:val="tx1"/>
            </w14:solidFill>
          </w14:textFill>
        </w:rPr>
        <w:t>[</w:t>
      </w:r>
      <w:r>
        <w:rPr>
          <w:rFonts w:hint="eastAsia" w:ascii="宋体" w:hAnsi="仿宋_GB2312" w:cs="仿宋_GB2312"/>
          <w:i/>
          <w:iCs/>
          <w:color w:val="000000" w:themeColor="text1"/>
          <w:sz w:val="24"/>
          <w:szCs w:val="24"/>
          <w:highlight w:val="none"/>
          <w:u w:val="single"/>
          <w14:textFill>
            <w14:solidFill>
              <w14:schemeClr w14:val="tx1"/>
            </w14:solidFill>
          </w14:textFill>
        </w:rPr>
        <w:t>按招标公告、招标文件（含答疑）等招标人发布的文件中明确的内容填写</w:t>
      </w:r>
      <w:r>
        <w:rPr>
          <w:rFonts w:hint="eastAsia" w:ascii="宋体" w:hAnsi="仿宋_GB2312" w:cs="仿宋_GB2312"/>
          <w:color w:val="000000" w:themeColor="text1"/>
          <w:sz w:val="24"/>
          <w:szCs w:val="24"/>
          <w:highlight w:val="none"/>
          <w:u w:val="single"/>
          <w14:textFill>
            <w14:solidFill>
              <w14:schemeClr w14:val="tx1"/>
            </w14:solidFill>
          </w14:textFill>
        </w:rPr>
        <w:t>]</w:t>
      </w:r>
      <w:bookmarkEnd w:id="26"/>
      <w:r>
        <w:rPr>
          <w:rFonts w:ascii="宋体" w:hAnsi="仿宋_GB2312" w:cs="仿宋_GB2312"/>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仿宋_GB2312" w:cs="仿宋_GB2312"/>
          <w:color w:val="000000" w:themeColor="text1"/>
          <w:sz w:val="24"/>
          <w:szCs w:val="24"/>
          <w:highlight w:val="none"/>
          <w14:textFill>
            <w14:solidFill>
              <w14:schemeClr w14:val="tx1"/>
            </w14:solidFill>
          </w14:textFill>
        </w:rPr>
      </w:pPr>
      <w:r>
        <w:rPr>
          <w:rFonts w:hint="eastAsia" w:ascii="宋体" w:hAnsi="仿宋_GB2312" w:cs="仿宋_GB2312"/>
          <w:bCs/>
          <w:color w:val="000000" w:themeColor="text1"/>
          <w:sz w:val="24"/>
          <w:szCs w:val="24"/>
          <w:highlight w:val="none"/>
          <w14:textFill>
            <w14:solidFill>
              <w14:schemeClr w14:val="tx1"/>
            </w14:solidFill>
          </w14:textFill>
        </w:rPr>
        <w:t>（五）</w:t>
      </w:r>
      <w:r>
        <w:rPr>
          <w:rFonts w:hint="eastAsia" w:ascii="宋体" w:hAnsi="仿宋_GB2312" w:cs="仿宋_GB2312"/>
          <w:color w:val="000000" w:themeColor="text1"/>
          <w:sz w:val="24"/>
          <w:szCs w:val="24"/>
          <w:highlight w:val="none"/>
          <w14:textFill>
            <w14:solidFill>
              <w14:schemeClr w14:val="tx1"/>
            </w14:solidFill>
          </w14:textFill>
        </w:rPr>
        <w:t>资金来源：</w:t>
      </w:r>
      <w:r>
        <w:rPr>
          <w:rFonts w:ascii="宋体" w:hAnsi="仿宋_GB2312" w:cs="仿宋_GB2312"/>
          <w:color w:val="000000" w:themeColor="text1"/>
          <w:sz w:val="24"/>
          <w:szCs w:val="24"/>
          <w:highlight w:val="none"/>
          <w:u w:val="single"/>
          <w14:textFill>
            <w14:solidFill>
              <w14:schemeClr w14:val="tx1"/>
            </w14:solidFill>
          </w14:textFill>
        </w:rPr>
        <w:t xml:space="preserve">  </w:t>
      </w:r>
      <w:r>
        <w:rPr>
          <w:rFonts w:hint="eastAsia" w:ascii="宋体" w:hAnsi="仿宋_GB2312" w:cs="仿宋_GB2312"/>
          <w:color w:val="000000" w:themeColor="text1"/>
          <w:sz w:val="24"/>
          <w:szCs w:val="24"/>
          <w:highlight w:val="none"/>
          <w:u w:val="single"/>
          <w14:textFill>
            <w14:solidFill>
              <w14:schemeClr w14:val="tx1"/>
            </w14:solidFill>
          </w14:textFill>
        </w:rPr>
        <w:t xml:space="preserve"> </w:t>
      </w:r>
      <w:r>
        <w:rPr>
          <w:rFonts w:ascii="宋体" w:hAnsi="仿宋_GB2312" w:cs="仿宋_GB2312"/>
          <w:color w:val="000000" w:themeColor="text1"/>
          <w:sz w:val="24"/>
          <w:szCs w:val="24"/>
          <w:highlight w:val="none"/>
          <w:u w:val="single"/>
          <w14:textFill>
            <w14:solidFill>
              <w14:schemeClr w14:val="tx1"/>
            </w14:solidFill>
          </w14:textFill>
        </w:rPr>
        <w:t xml:space="preserve">                         </w:t>
      </w:r>
      <w:r>
        <w:rPr>
          <w:rFonts w:hint="eastAsia" w:ascii="宋体" w:hAnsi="仿宋_GB2312" w:cs="仿宋_GB2312"/>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hAnsi="仿宋_GB2312" w:cs="仿宋_GB2312"/>
          <w:color w:val="000000" w:themeColor="text1"/>
          <w:sz w:val="24"/>
          <w:szCs w:val="24"/>
          <w:highlight w:val="none"/>
          <w:u w:val="single"/>
          <w14:textFill>
            <w14:solidFill>
              <w14:schemeClr w14:val="tx1"/>
            </w14:solidFill>
          </w14:textFill>
        </w:rPr>
      </w:pPr>
      <w:r>
        <w:rPr>
          <w:rFonts w:hint="eastAsia" w:ascii="宋体" w:hAnsi="仿宋_GB2312" w:cs="仿宋_GB2312"/>
          <w:color w:val="000000" w:themeColor="text1"/>
          <w:sz w:val="24"/>
          <w:szCs w:val="24"/>
          <w:highlight w:val="none"/>
          <w14:textFill>
            <w14:solidFill>
              <w14:schemeClr w14:val="tx1"/>
            </w14:solidFill>
          </w14:textFill>
        </w:rPr>
        <w:t>（六）工程承包范围：</w:t>
      </w:r>
      <w:r>
        <w:rPr>
          <w:rFonts w:hint="eastAsia" w:ascii="宋体" w:hAnsi="仿宋_GB2312" w:cs="仿宋_GB2312"/>
          <w:color w:val="000000" w:themeColor="text1"/>
          <w:sz w:val="24"/>
          <w:szCs w:val="24"/>
          <w:highlight w:val="none"/>
          <w:u w:val="single"/>
          <w14:textFill>
            <w14:solidFill>
              <w14:schemeClr w14:val="tx1"/>
            </w14:solidFill>
          </w14:textFill>
        </w:rPr>
        <w:t>[</w:t>
      </w:r>
      <w:r>
        <w:rPr>
          <w:rFonts w:hint="eastAsia" w:ascii="宋体" w:hAnsi="仿宋_GB2312" w:cs="仿宋_GB2312"/>
          <w:i/>
          <w:iCs/>
          <w:color w:val="000000" w:themeColor="text1"/>
          <w:sz w:val="24"/>
          <w:szCs w:val="24"/>
          <w:highlight w:val="none"/>
          <w:u w:val="single"/>
          <w14:textFill>
            <w14:solidFill>
              <w14:schemeClr w14:val="tx1"/>
            </w14:solidFill>
          </w14:textFill>
        </w:rPr>
        <w:t>按招标公告、招标文件（含答疑）等招标人发布的文件中明确的内容填写</w:t>
      </w:r>
      <w:r>
        <w:rPr>
          <w:rFonts w:hint="eastAsia" w:ascii="宋体" w:hAnsi="仿宋_GB2312" w:cs="仿宋_GB2312"/>
          <w:color w:val="000000" w:themeColor="text1"/>
          <w:sz w:val="24"/>
          <w:szCs w:val="24"/>
          <w:highlight w:val="none"/>
          <w:u w:val="single"/>
          <w14:textFill>
            <w14:solidFill>
              <w14:schemeClr w14:val="tx1"/>
            </w14:solidFill>
          </w14:textFill>
        </w:rPr>
        <w:t>]</w:t>
      </w:r>
    </w:p>
    <w:p>
      <w:pPr>
        <w:adjustRightInd w:val="0"/>
        <w:snapToGrid w:val="0"/>
        <w:spacing w:line="360" w:lineRule="auto"/>
        <w:ind w:firstLine="480" w:firstLineChars="200"/>
        <w:rPr>
          <w:rFonts w:ascii="宋体" w:hAnsi="仿宋_GB2312" w:cs="仿宋_GB2312"/>
          <w:color w:val="000000" w:themeColor="text1"/>
          <w:sz w:val="24"/>
          <w:szCs w:val="24"/>
          <w:highlight w:val="none"/>
          <w:u w:val="single"/>
          <w14:textFill>
            <w14:solidFill>
              <w14:schemeClr w14:val="tx1"/>
            </w14:solidFill>
          </w14:textFill>
        </w:rPr>
      </w:pPr>
      <w:r>
        <w:rPr>
          <w:rFonts w:hint="eastAsia" w:ascii="宋体" w:hAnsi="仿宋_GB2312" w:cs="仿宋_GB2312"/>
          <w:color w:val="000000" w:themeColor="text1"/>
          <w:sz w:val="24"/>
          <w:szCs w:val="24"/>
          <w:highlight w:val="none"/>
          <w:u w:val="single"/>
          <w14:textFill>
            <w14:solidFill>
              <w14:schemeClr w14:val="tx1"/>
            </w14:solidFill>
          </w14:textFill>
        </w:rPr>
        <w:t>本工程实施内容包括但不限于以下内容：1）协助发包人办理工程相关的报建、报批、验收工作；2）根据发包人和设计要求，负责本项目的工程施工、采购、编制项目</w:t>
      </w:r>
      <w:r>
        <w:rPr>
          <w:rFonts w:hint="eastAsia" w:ascii="宋体" w:hAnsi="仿宋_GB2312" w:cs="仿宋_GB2312"/>
          <w:strike/>
          <w:color w:val="000000" w:themeColor="text1"/>
          <w:sz w:val="24"/>
          <w:szCs w:val="24"/>
          <w:highlight w:val="none"/>
          <w:u w:val="single"/>
          <w14:textFill>
            <w14:solidFill>
              <w14:schemeClr w14:val="tx1"/>
            </w14:solidFill>
          </w14:textFill>
        </w:rPr>
        <w:t>预算、</w:t>
      </w:r>
      <w:r>
        <w:rPr>
          <w:rFonts w:hint="eastAsia" w:ascii="宋体" w:hAnsi="仿宋_GB2312" w:cs="仿宋_GB2312"/>
          <w:color w:val="000000" w:themeColor="text1"/>
          <w:sz w:val="24"/>
          <w:szCs w:val="24"/>
          <w:highlight w:val="none"/>
          <w:u w:val="single"/>
          <w14:textFill>
            <w14:solidFill>
              <w14:schemeClr w14:val="tx1"/>
            </w14:solidFill>
          </w14:textFill>
        </w:rPr>
        <w:t>结算、竣工图及相应的报建报批、资料档案管理等工作。</w:t>
      </w:r>
    </w:p>
    <w:p>
      <w:pPr>
        <w:adjustRightInd w:val="0"/>
        <w:snapToGrid w:val="0"/>
        <w:spacing w:line="360" w:lineRule="auto"/>
        <w:ind w:firstLine="480" w:firstLineChars="200"/>
        <w:rPr>
          <w:rFonts w:ascii="宋体" w:hAnsi="仿宋_GB2312" w:cs="仿宋_GB2312"/>
          <w:color w:val="000000" w:themeColor="text1"/>
          <w:sz w:val="24"/>
          <w:szCs w:val="24"/>
          <w:highlight w:val="none"/>
          <w14:textFill>
            <w14:solidFill>
              <w14:schemeClr w14:val="tx1"/>
            </w14:solidFill>
          </w14:textFill>
        </w:rPr>
      </w:pPr>
      <w:r>
        <w:rPr>
          <w:rFonts w:hint="eastAsia" w:ascii="宋体" w:hAnsi="仿宋_GB2312" w:cs="仿宋_GB2312"/>
          <w:color w:val="000000" w:themeColor="text1"/>
          <w:sz w:val="24"/>
          <w:szCs w:val="24"/>
          <w:highlight w:val="none"/>
          <w:u w:val="single"/>
          <w14:textFill>
            <w14:solidFill>
              <w14:schemeClr w14:val="tx1"/>
            </w14:solidFill>
          </w14:textFill>
        </w:rPr>
        <w:t>1</w:t>
      </w:r>
      <w:r>
        <w:rPr>
          <w:rFonts w:ascii="宋体" w:hAnsi="仿宋_GB2312" w:cs="仿宋_GB2312"/>
          <w:color w:val="000000" w:themeColor="text1"/>
          <w:sz w:val="24"/>
          <w:szCs w:val="24"/>
          <w:highlight w:val="none"/>
          <w:u w:val="single"/>
          <w14:textFill>
            <w14:solidFill>
              <w14:schemeClr w14:val="tx1"/>
            </w14:solidFill>
          </w14:textFill>
        </w:rPr>
        <w:t>.</w:t>
      </w:r>
      <w:r>
        <w:rPr>
          <w:rFonts w:hint="eastAsia" w:ascii="宋体" w:hAnsi="仿宋_GB2312" w:cs="仿宋_GB2312"/>
          <w:color w:val="000000" w:themeColor="text1"/>
          <w:sz w:val="24"/>
          <w:szCs w:val="24"/>
          <w:highlight w:val="none"/>
          <w:u w:val="single"/>
          <w14:textFill>
            <w14:solidFill>
              <w14:schemeClr w14:val="tx1"/>
            </w14:solidFill>
          </w14:textFill>
        </w:rPr>
        <w:t>施工部分（包括但不限于）：承包人承担[</w:t>
      </w:r>
      <w:r>
        <w:rPr>
          <w:rFonts w:hint="eastAsia" w:ascii="宋体" w:hAnsi="仿宋_GB2312" w:cs="仿宋_GB2312"/>
          <w:i/>
          <w:iCs/>
          <w:color w:val="000000" w:themeColor="text1"/>
          <w:sz w:val="24"/>
          <w:szCs w:val="24"/>
          <w:highlight w:val="none"/>
          <w:u w:val="single"/>
          <w14:textFill>
            <w14:solidFill>
              <w14:schemeClr w14:val="tx1"/>
            </w14:solidFill>
          </w14:textFill>
        </w:rPr>
        <w:t>项目名称</w:t>
      </w:r>
      <w:r>
        <w:rPr>
          <w:rFonts w:hint="eastAsia" w:ascii="宋体" w:hAnsi="仿宋_GB2312" w:cs="仿宋_GB2312"/>
          <w:color w:val="000000" w:themeColor="text1"/>
          <w:sz w:val="24"/>
          <w:szCs w:val="24"/>
          <w:highlight w:val="none"/>
          <w:u w:val="single"/>
          <w14:textFill>
            <w14:solidFill>
              <w14:schemeClr w14:val="tx1"/>
            </w14:solidFill>
          </w14:textFill>
        </w:rPr>
        <w:t>]的施工总承包工作，完成本工程招标文件约定范围和设计图纸内包含的所有工程内容的施工，</w:t>
      </w:r>
      <w:r>
        <w:rPr>
          <w:rFonts w:hint="eastAsia" w:ascii="宋体" w:hAnsi="仿宋_GB2312" w:cs="仿宋_GB2312"/>
          <w:color w:val="000000" w:themeColor="text1"/>
          <w:sz w:val="24"/>
          <w:szCs w:val="24"/>
          <w:highlight w:val="none"/>
          <w:u w:val="single"/>
          <w14:textFill>
            <w14:solidFill>
              <w14:schemeClr w14:val="tx1"/>
            </w14:solidFill>
          </w14:textFill>
        </w:rPr>
        <w:t>包括但不限于包工、包料、包设备、包工期、包质量、包安全生产、包文明施工、包深化设计（如有）、包材料和设备检验及试验、包质保期内工程质量保修、包施工措施（含场地准备及临时设施、临水临电、临时便道（含迁改项目的临时便道）、临时排水、周边建筑物安全鉴定和保护等，负责和当地单位或村民协调，确保施工期间场地周边路通水通等）、包外水外电燃气等（如有）、包环境保护、包施工所涉及的安全评估方案、包保险、包承包范围内工程验收通过（含附属工程验收）、包移交、包结算、包竣工图和资料整理移交档案、包竣工备案、包施工承包管理和现场整体组织、包专业协调及配合等</w:t>
      </w:r>
      <w:r>
        <w:rPr>
          <w:rFonts w:hint="eastAsia" w:ascii="宋体" w:hAnsi="仿宋_GB2312" w:cs="仿宋_GB2312"/>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综合单价包干。</w:t>
      </w:r>
      <w:r>
        <w:rPr>
          <w:rFonts w:hint="eastAsia" w:ascii="宋体" w:hAnsi="仿宋_GB2312" w:cs="仿宋_GB2312"/>
          <w:color w:val="000000" w:themeColor="text1"/>
          <w:sz w:val="24"/>
          <w:szCs w:val="24"/>
          <w:highlight w:val="none"/>
          <w:u w:val="single"/>
          <w14:textFill>
            <w14:solidFill>
              <w14:schemeClr w14:val="tx1"/>
            </w14:solidFill>
          </w14:textFill>
        </w:rPr>
        <w:t>具体以招标人提供的招标文件、招标答疑文件、工程量清单及相关资料为准</w:t>
      </w:r>
      <w:r>
        <w:rPr>
          <w:rFonts w:hint="eastAsia" w:ascii="宋体" w:hAnsi="仿宋_GB2312" w:cs="仿宋_GB2312"/>
          <w:color w:val="000000" w:themeColor="text1"/>
          <w:sz w:val="24"/>
          <w:szCs w:val="24"/>
          <w:highlight w:val="none"/>
          <w14:textFill>
            <w14:solidFill>
              <w14:schemeClr w14:val="tx1"/>
            </w14:solidFill>
          </w14:textFill>
        </w:rPr>
        <w:t>。</w:t>
      </w:r>
    </w:p>
    <w:p>
      <w:pPr>
        <w:spacing w:line="360" w:lineRule="auto"/>
        <w:ind w:firstLine="480" w:firstLineChars="200"/>
        <w:rPr>
          <w:rFonts w:ascii="宋体" w:hAnsi="仿宋_GB2312" w:cs="仿宋_GB2312"/>
          <w:color w:val="000000" w:themeColor="text1"/>
          <w:sz w:val="24"/>
          <w:szCs w:val="24"/>
          <w:highlight w:val="none"/>
          <w:u w:val="single"/>
          <w14:textFill>
            <w14:solidFill>
              <w14:schemeClr w14:val="tx1"/>
            </w14:solidFill>
          </w14:textFill>
        </w:rPr>
      </w:pPr>
      <w:r>
        <w:rPr>
          <w:rFonts w:ascii="宋体" w:hAnsi="仿宋_GB2312" w:cs="仿宋_GB2312"/>
          <w:color w:val="000000" w:themeColor="text1"/>
          <w:sz w:val="24"/>
          <w:szCs w:val="24"/>
          <w:highlight w:val="none"/>
          <w:u w:val="single"/>
          <w14:textFill>
            <w14:solidFill>
              <w14:schemeClr w14:val="tx1"/>
            </w14:solidFill>
          </w14:textFill>
        </w:rPr>
        <w:t>2</w:t>
      </w:r>
      <w:r>
        <w:rPr>
          <w:rFonts w:hint="eastAsia" w:ascii="宋体" w:hAnsi="仿宋_GB2312" w:cs="仿宋_GB2312"/>
          <w:color w:val="000000" w:themeColor="text1"/>
          <w:sz w:val="24"/>
          <w:szCs w:val="24"/>
          <w:highlight w:val="none"/>
          <w:u w:val="single"/>
          <w14:textFill>
            <w14:solidFill>
              <w14:schemeClr w14:val="tx1"/>
            </w14:solidFill>
          </w14:textFill>
        </w:rPr>
        <w:t>.承包人协助相关报批、报建、验收：发包人委托承包人代为办理除项目立项批复和规划选址意见书以外的本项目交付使用前所必须履行的项目建设审查、审批、许可、批准或备案手续（包括但不限于</w:t>
      </w:r>
      <w:r>
        <w:rPr>
          <w:rFonts w:hint="eastAsia" w:ascii="宋体" w:hAnsi="仿宋_GB2312" w:cs="仿宋_GB2312"/>
          <w:strike/>
          <w:color w:val="000000" w:themeColor="text1"/>
          <w:sz w:val="24"/>
          <w:szCs w:val="24"/>
          <w:highlight w:val="none"/>
          <w:u w:val="single"/>
          <w14:textFill>
            <w14:solidFill>
              <w14:schemeClr w14:val="tx1"/>
            </w14:solidFill>
          </w14:textFill>
        </w:rPr>
        <w:t>设计文件审查、</w:t>
      </w:r>
      <w:r>
        <w:rPr>
          <w:rFonts w:hint="eastAsia" w:ascii="宋体" w:hAnsi="仿宋_GB2312" w:cs="仿宋_GB2312"/>
          <w:color w:val="000000" w:themeColor="text1"/>
          <w:sz w:val="24"/>
          <w:szCs w:val="24"/>
          <w:highlight w:val="none"/>
          <w:u w:val="single"/>
          <w14:textFill>
            <w14:solidFill>
              <w14:schemeClr w14:val="tx1"/>
            </w14:solidFill>
          </w14:textFill>
        </w:rPr>
        <w:t>建设工程规划许可证、消防、防雷、人防、环保、电力办理报审等），承包人负责征地拆迁、管线迁移的具体工作。凡工程中涉及到劳动、消防、人防、环保、节能、</w:t>
      </w:r>
      <w:r>
        <w:rPr>
          <w:rFonts w:hint="eastAsia" w:ascii="宋体" w:hAnsi="仿宋_GB2312" w:cs="仿宋_GB2312"/>
          <w:strike/>
          <w:color w:val="000000" w:themeColor="text1"/>
          <w:sz w:val="24"/>
          <w:szCs w:val="24"/>
          <w:highlight w:val="none"/>
          <w:u w:val="single"/>
          <w14:textFill>
            <w14:solidFill>
              <w14:schemeClr w14:val="tx1"/>
            </w14:solidFill>
          </w14:textFill>
        </w:rPr>
        <w:t>绿色建筑、</w:t>
      </w:r>
      <w:r>
        <w:rPr>
          <w:rFonts w:hint="eastAsia" w:ascii="宋体" w:hAnsi="仿宋_GB2312" w:cs="仿宋_GB2312"/>
          <w:color w:val="000000" w:themeColor="text1"/>
          <w:sz w:val="24"/>
          <w:szCs w:val="24"/>
          <w:highlight w:val="none"/>
          <w:u w:val="single"/>
          <w14:textFill>
            <w14:solidFill>
              <w14:schemeClr w14:val="tx1"/>
            </w14:solidFill>
          </w14:textFill>
        </w:rPr>
        <w:t>规划、卫生防疫、档案、质量等有关政府部门验收的项目，及时做好验收准备工作。验收通过后，向发包人提交书面验收报告，办理竣工备案等。</w:t>
      </w:r>
    </w:p>
    <w:p>
      <w:pPr>
        <w:spacing w:line="360" w:lineRule="auto"/>
        <w:ind w:firstLine="482" w:firstLineChars="200"/>
        <w:rPr>
          <w:rFonts w:ascii="宋体" w:hAnsi="仿宋_GB2312" w:cs="仿宋_GB2312"/>
          <w:b/>
          <w:bCs/>
          <w:color w:val="000000" w:themeColor="text1"/>
          <w:sz w:val="24"/>
          <w:szCs w:val="24"/>
          <w:highlight w:val="none"/>
          <w14:textFill>
            <w14:solidFill>
              <w14:schemeClr w14:val="tx1"/>
            </w14:solidFill>
          </w14:textFill>
        </w:rPr>
      </w:pPr>
      <w:r>
        <w:rPr>
          <w:rFonts w:hint="eastAsia" w:ascii="宋体" w:hAnsi="仿宋_GB2312" w:cs="仿宋_GB2312"/>
          <w:b/>
          <w:bCs/>
          <w:color w:val="000000" w:themeColor="text1"/>
          <w:sz w:val="24"/>
          <w:szCs w:val="24"/>
          <w:highlight w:val="none"/>
          <w14:textFill>
            <w14:solidFill>
              <w14:schemeClr w14:val="tx1"/>
            </w14:solidFill>
          </w14:textFill>
        </w:rPr>
        <w:t>根据项目规划实施的具体情况，如遇该项目的投资规模、结构形式、项目名称、平面（位置）或者造价等发生调整，也可能会新增或减少、甚至取消部分（子）项目工程，承包人已充分理解此风险并无条件接受</w:t>
      </w:r>
      <w:r>
        <w:rPr>
          <w:rFonts w:ascii="宋体" w:hAnsi="仿宋_GB2312" w:cs="仿宋_GB2312"/>
          <w:b/>
          <w:bCs/>
          <w:color w:val="000000" w:themeColor="text1"/>
          <w:sz w:val="24"/>
          <w:szCs w:val="24"/>
          <w:highlight w:val="none"/>
          <w14:textFill>
            <w14:solidFill>
              <w14:schemeClr w14:val="tx1"/>
            </w14:solidFill>
          </w14:textFill>
        </w:rPr>
        <w:t>,不得据此向</w:t>
      </w:r>
      <w:r>
        <w:rPr>
          <w:rFonts w:hint="eastAsia" w:ascii="宋体" w:hAnsi="仿宋_GB2312" w:cs="仿宋_GB2312"/>
          <w:b/>
          <w:bCs/>
          <w:color w:val="000000" w:themeColor="text1"/>
          <w:sz w:val="24"/>
          <w:szCs w:val="24"/>
          <w:highlight w:val="none"/>
          <w14:textFill>
            <w14:solidFill>
              <w14:schemeClr w14:val="tx1"/>
            </w14:solidFill>
          </w14:textFill>
        </w:rPr>
        <w:t>发包人索赔。</w:t>
      </w:r>
    </w:p>
    <w:p>
      <w:pPr>
        <w:pStyle w:val="3"/>
        <w:numPr>
          <w:ilvl w:val="0"/>
          <w:numId w:val="10"/>
        </w:numPr>
        <w:rPr>
          <w:rFonts w:ascii="宋体"/>
          <w:color w:val="000000" w:themeColor="text1"/>
          <w:highlight w:val="none"/>
          <w14:textFill>
            <w14:solidFill>
              <w14:schemeClr w14:val="tx1"/>
            </w14:solidFill>
          </w14:textFill>
        </w:rPr>
      </w:pPr>
      <w:bookmarkStart w:id="27" w:name="_Toc16692"/>
      <w:bookmarkStart w:id="28" w:name="_Toc26757"/>
      <w:bookmarkStart w:id="29" w:name="_Toc8468"/>
      <w:bookmarkStart w:id="30" w:name="_Toc31083"/>
      <w:bookmarkStart w:id="31" w:name="_Toc2364"/>
      <w:bookmarkStart w:id="32" w:name="_Toc28067"/>
      <w:bookmarkStart w:id="33" w:name="_Toc4376"/>
      <w:bookmarkStart w:id="34" w:name="_Toc102745872"/>
      <w:bookmarkStart w:id="35" w:name="_Toc25729"/>
      <w:r>
        <w:rPr>
          <w:rFonts w:hint="eastAsia" w:ascii="宋体"/>
          <w:color w:val="000000" w:themeColor="text1"/>
          <w:highlight w:val="none"/>
          <w14:textFill>
            <w14:solidFill>
              <w14:schemeClr w14:val="tx1"/>
            </w14:solidFill>
          </w14:textFill>
        </w:rPr>
        <w:t>合同工期</w:t>
      </w:r>
      <w:bookmarkEnd w:id="27"/>
      <w:bookmarkEnd w:id="28"/>
      <w:bookmarkEnd w:id="29"/>
      <w:bookmarkEnd w:id="30"/>
      <w:bookmarkEnd w:id="31"/>
      <w:bookmarkEnd w:id="32"/>
      <w:bookmarkEnd w:id="33"/>
      <w:bookmarkEnd w:id="34"/>
      <w:bookmarkEnd w:id="35"/>
    </w:p>
    <w:p>
      <w:pPr>
        <w:spacing w:line="360" w:lineRule="auto"/>
        <w:ind w:firstLine="601"/>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计划开始工作日期：</w:t>
      </w:r>
      <w:r>
        <w:rPr>
          <w:rFonts w:hint="eastAsia" w:ascii="宋体"/>
          <w:color w:val="000000" w:themeColor="text1"/>
          <w:sz w:val="24"/>
          <w:szCs w:val="24"/>
          <w:highlight w:val="none"/>
          <w:u w:val="single"/>
          <w14:textFill>
            <w14:solidFill>
              <w14:schemeClr w14:val="tx1"/>
            </w14:solidFill>
          </w14:textFill>
        </w:rPr>
        <w:t>中标通知书签发次日起算，具体按发包人批准的工作计划执行</w:t>
      </w:r>
      <w:r>
        <w:rPr>
          <w:rFonts w:hint="eastAsia" w:ascii="宋体"/>
          <w:color w:val="000000" w:themeColor="text1"/>
          <w:sz w:val="24"/>
          <w:szCs w:val="24"/>
          <w:highlight w:val="none"/>
          <w14:textFill>
            <w14:solidFill>
              <w14:schemeClr w14:val="tx1"/>
            </w14:solidFill>
          </w14:textFill>
        </w:rPr>
        <w:t>。</w:t>
      </w:r>
    </w:p>
    <w:p>
      <w:pPr>
        <w:spacing w:line="360" w:lineRule="auto"/>
        <w:ind w:firstLine="601"/>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计划开始现场施工日期：</w:t>
      </w:r>
      <w:r>
        <w:rPr>
          <w:rFonts w:hint="eastAsia" w:ascii="宋体"/>
          <w:color w:val="000000" w:themeColor="text1"/>
          <w:sz w:val="24"/>
          <w:szCs w:val="24"/>
          <w:highlight w:val="none"/>
          <w:u w:val="single"/>
          <w14:textFill>
            <w14:solidFill>
              <w14:schemeClr w14:val="tx1"/>
            </w14:solidFill>
          </w14:textFill>
        </w:rPr>
        <w:t>开工日期具体以业主通知或监理开工令的日期为准</w:t>
      </w:r>
      <w:r>
        <w:rPr>
          <w:rFonts w:hint="eastAsia" w:ascii="宋体"/>
          <w:color w:val="000000" w:themeColor="text1"/>
          <w:sz w:val="24"/>
          <w:szCs w:val="24"/>
          <w:highlight w:val="none"/>
          <w14:textFill>
            <w14:solidFill>
              <w14:schemeClr w14:val="tx1"/>
            </w14:solidFill>
          </w14:textFill>
        </w:rPr>
        <w:t>。</w:t>
      </w:r>
    </w:p>
    <w:p>
      <w:pPr>
        <w:spacing w:line="360" w:lineRule="auto"/>
        <w:ind w:firstLine="601"/>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计划竣工日期：</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年</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月</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日。（暂定）</w:t>
      </w:r>
    </w:p>
    <w:p>
      <w:pPr>
        <w:spacing w:line="360" w:lineRule="auto"/>
        <w:ind w:firstLine="601"/>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工期总日历天数：</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天</w:t>
      </w:r>
      <w:r>
        <w:rPr>
          <w:rFonts w:hint="eastAsia" w:hAnsi="仿宋_GB2312" w:cs="仿宋_GB2312"/>
          <w:bCs/>
          <w:i/>
          <w:iCs/>
          <w:snapToGrid w:val="0"/>
          <w:color w:val="000000" w:themeColor="text1"/>
          <w:kern w:val="0"/>
          <w:sz w:val="24"/>
          <w:szCs w:val="24"/>
          <w:highlight w:val="none"/>
          <w:u w:val="single"/>
          <w14:textFill>
            <w14:solidFill>
              <w14:schemeClr w14:val="tx1"/>
            </w14:solidFill>
          </w14:textFill>
        </w:rPr>
        <w:t>[具体以招标文件要求及承包人投标文件中更严格者为准。</w:t>
      </w:r>
      <w:r>
        <w:rPr>
          <w:rFonts w:hAnsi="仿宋_GB2312" w:cs="仿宋_GB2312"/>
          <w:bCs/>
          <w:i/>
          <w:iCs/>
          <w:snapToGrid w:val="0"/>
          <w:color w:val="000000" w:themeColor="text1"/>
          <w:kern w:val="0"/>
          <w:sz w:val="24"/>
          <w:szCs w:val="24"/>
          <w:highlight w:val="none"/>
          <w:u w:val="singl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，工期总日历天数与根据前述计划日期计算的工期天数不一致的，以工期总日历天数为准。</w:t>
      </w:r>
    </w:p>
    <w:p>
      <w:pPr>
        <w:widowControl/>
        <w:shd w:val="clear" w:color="auto" w:fill="FFFFFF"/>
        <w:adjustRightInd w:val="0"/>
        <w:snapToGrid w:val="0"/>
        <w:spacing w:line="360" w:lineRule="auto"/>
        <w:ind w:firstLine="480" w:firstLineChars="200"/>
        <w:rPr>
          <w:rFonts w:ascii="宋体" w:hAnsi="仿宋_GB2312" w:cs="仿宋_GB2312"/>
          <w:bCs/>
          <w:snapToGrid w:val="0"/>
          <w:color w:val="000000" w:themeColor="text1"/>
          <w:kern w:val="0"/>
          <w:sz w:val="24"/>
          <w:szCs w:val="24"/>
          <w:highlight w:val="none"/>
          <w:u w:val="single"/>
          <w14:textFill>
            <w14:solidFill>
              <w14:schemeClr w14:val="tx1"/>
            </w14:solidFill>
          </w14:textFill>
        </w:rPr>
      </w:pPr>
      <w:r>
        <w:rPr>
          <w:rFonts w:hint="eastAsia" w:ascii="宋体" w:hAnsi="仿宋_GB2312" w:cs="仿宋_GB2312"/>
          <w:bCs/>
          <w:snapToGrid w:val="0"/>
          <w:color w:val="000000" w:themeColor="text1"/>
          <w:kern w:val="0"/>
          <w:sz w:val="24"/>
          <w:szCs w:val="24"/>
          <w:highlight w:val="none"/>
          <w:u w:val="single"/>
          <w14:textFill>
            <w14:solidFill>
              <w14:schemeClr w14:val="tx1"/>
            </w14:solidFill>
          </w14:textFill>
        </w:rPr>
        <w:t>发包人有权根据工程实际情况，对本工程中的关键节点工期进行适当调整，承包人必须采取一切有效措施保证关键节点工期的调整，不得延误，相关工期配合措施费用应在投标合同价格中综合考虑，不得要求另行增加费用。</w:t>
      </w:r>
    </w:p>
    <w:p>
      <w:pPr>
        <w:pStyle w:val="3"/>
        <w:numPr>
          <w:ilvl w:val="0"/>
          <w:numId w:val="10"/>
        </w:numPr>
        <w:rPr>
          <w:rFonts w:ascii="宋体"/>
          <w:color w:val="000000" w:themeColor="text1"/>
          <w:highlight w:val="none"/>
          <w14:textFill>
            <w14:solidFill>
              <w14:schemeClr w14:val="tx1"/>
            </w14:solidFill>
          </w14:textFill>
        </w:rPr>
      </w:pPr>
      <w:bookmarkStart w:id="36" w:name="_Toc27503"/>
      <w:bookmarkStart w:id="37" w:name="_Toc1511"/>
      <w:bookmarkStart w:id="38" w:name="_Toc2851"/>
      <w:bookmarkStart w:id="39" w:name="_Toc21957"/>
      <w:bookmarkStart w:id="40" w:name="_Toc10081"/>
      <w:bookmarkStart w:id="41" w:name="_Toc18886"/>
      <w:bookmarkStart w:id="42" w:name="_Toc25733"/>
      <w:bookmarkStart w:id="43" w:name="_Toc4317"/>
      <w:bookmarkStart w:id="44" w:name="_Toc102745873"/>
      <w:r>
        <w:rPr>
          <w:rFonts w:hint="eastAsia" w:ascii="宋体"/>
          <w:color w:val="000000" w:themeColor="text1"/>
          <w:highlight w:val="none"/>
          <w14:textFill>
            <w14:solidFill>
              <w14:schemeClr w14:val="tx1"/>
            </w14:solidFill>
          </w14:textFill>
        </w:rPr>
        <w:t>质量标准</w:t>
      </w:r>
      <w:bookmarkEnd w:id="36"/>
      <w:bookmarkEnd w:id="37"/>
      <w:bookmarkEnd w:id="38"/>
      <w:bookmarkEnd w:id="39"/>
      <w:bookmarkEnd w:id="40"/>
      <w:bookmarkEnd w:id="41"/>
      <w:bookmarkEnd w:id="42"/>
      <w:bookmarkEnd w:id="43"/>
      <w:bookmarkEnd w:id="44"/>
    </w:p>
    <w:p>
      <w:pPr>
        <w:pStyle w:val="23"/>
        <w:spacing w:line="360" w:lineRule="auto"/>
        <w:ind w:firstLine="480" w:firstLineChars="200"/>
        <w:rPr>
          <w:rFonts w:hAnsi="仿宋_GB2312" w:cs="仿宋_GB2312"/>
          <w:bCs/>
          <w:snapToGrid w:val="0"/>
          <w:color w:val="000000" w:themeColor="text1"/>
          <w:kern w:val="0"/>
          <w:sz w:val="24"/>
          <w:szCs w:val="24"/>
          <w:highlight w:val="none"/>
          <w:u w:val="single"/>
          <w14:textFill>
            <w14:solidFill>
              <w14:schemeClr w14:val="tx1"/>
            </w14:solidFill>
          </w14:textFill>
        </w:rPr>
      </w:pPr>
      <w:r>
        <w:rPr>
          <w:rFonts w:hAnsi="仿宋_GB2312" w:cs="仿宋_GB2312"/>
          <w:bCs/>
          <w:snapToGrid w:val="0"/>
          <w:color w:val="000000" w:themeColor="text1"/>
          <w:kern w:val="0"/>
          <w:sz w:val="24"/>
          <w:szCs w:val="24"/>
          <w:highlight w:val="none"/>
          <w14:textFill>
            <w14:solidFill>
              <w14:schemeClr w14:val="tx1"/>
            </w14:solidFill>
          </w14:textFill>
        </w:rPr>
        <w:t xml:space="preserve">1. </w:t>
      </w:r>
      <w:r>
        <w:rPr>
          <w:rFonts w:hint="eastAsia" w:hAnsi="仿宋_GB2312" w:cs="仿宋_GB2312"/>
          <w:bCs/>
          <w:snapToGrid w:val="0"/>
          <w:color w:val="000000" w:themeColor="text1"/>
          <w:kern w:val="0"/>
          <w:sz w:val="24"/>
          <w:szCs w:val="24"/>
          <w:highlight w:val="none"/>
          <w14:textFill>
            <w14:solidFill>
              <w14:schemeClr w14:val="tx1"/>
            </w14:solidFill>
          </w14:textFill>
        </w:rPr>
        <w:t>工程质量标准：</w:t>
      </w:r>
      <w:r>
        <w:rPr>
          <w:rFonts w:hint="eastAsia" w:hAnsi="仿宋_GB2312" w:cs="仿宋_GB2312"/>
          <w:bCs/>
          <w:snapToGrid w:val="0"/>
          <w:color w:val="000000" w:themeColor="text1"/>
          <w:kern w:val="0"/>
          <w:sz w:val="24"/>
          <w:szCs w:val="24"/>
          <w:highlight w:val="none"/>
          <w:u w:val="single"/>
          <w14:textFill>
            <w14:solidFill>
              <w14:schemeClr w14:val="tx1"/>
            </w14:solidFill>
          </w14:textFill>
        </w:rPr>
        <w:t>符合设计图纸要求和国家、省、市相关法律法规规定要求及行业颁发的工程质量验收标准。符合现行《工程质量验收规范》合格标准。[</w:t>
      </w:r>
      <w:r>
        <w:rPr>
          <w:rFonts w:hint="eastAsia" w:hAnsi="仿宋_GB2312" w:cs="仿宋_GB2312"/>
          <w:bCs/>
          <w:i/>
          <w:iCs/>
          <w:snapToGrid w:val="0"/>
          <w:color w:val="000000" w:themeColor="text1"/>
          <w:kern w:val="0"/>
          <w:sz w:val="24"/>
          <w:szCs w:val="24"/>
          <w:highlight w:val="none"/>
          <w:u w:val="single"/>
          <w14:textFill>
            <w14:solidFill>
              <w14:schemeClr w14:val="tx1"/>
            </w14:solidFill>
          </w14:textFill>
        </w:rPr>
        <w:t>具体以招标文件要求及承包人投标文件中更严格者为准</w:t>
      </w:r>
      <w:r>
        <w:rPr>
          <w:rFonts w:hint="eastAsia" w:hAnsi="仿宋_GB2312" w:cs="仿宋_GB2312"/>
          <w:bCs/>
          <w:snapToGrid w:val="0"/>
          <w:color w:val="000000" w:themeColor="text1"/>
          <w:kern w:val="0"/>
          <w:sz w:val="24"/>
          <w:szCs w:val="24"/>
          <w:highlight w:val="none"/>
          <w:u w:val="single"/>
          <w14:textFill>
            <w14:solidFill>
              <w14:schemeClr w14:val="tx1"/>
            </w14:solidFill>
          </w14:textFill>
        </w:rPr>
        <w:t>。</w:t>
      </w:r>
      <w:r>
        <w:rPr>
          <w:rFonts w:hAnsi="仿宋_GB2312" w:cs="仿宋_GB2312"/>
          <w:bCs/>
          <w:snapToGrid w:val="0"/>
          <w:color w:val="000000" w:themeColor="text1"/>
          <w:kern w:val="0"/>
          <w:sz w:val="24"/>
          <w:szCs w:val="24"/>
          <w:highlight w:val="none"/>
          <w:u w:val="single"/>
          <w14:textFill>
            <w14:solidFill>
              <w14:schemeClr w14:val="tx1"/>
            </w14:solidFill>
          </w14:textFill>
        </w:rPr>
        <w:t>]</w:t>
      </w:r>
    </w:p>
    <w:p>
      <w:pPr>
        <w:pStyle w:val="3"/>
        <w:numPr>
          <w:ilvl w:val="0"/>
          <w:numId w:val="10"/>
        </w:numPr>
        <w:rPr>
          <w:rFonts w:ascii="宋体"/>
          <w:bCs w:val="0"/>
          <w:color w:val="000000" w:themeColor="text1"/>
          <w:sz w:val="28"/>
          <w:highlight w:val="none"/>
          <w14:textFill>
            <w14:solidFill>
              <w14:schemeClr w14:val="tx1"/>
            </w14:solidFill>
          </w14:textFill>
        </w:rPr>
      </w:pPr>
      <w:bookmarkStart w:id="45" w:name="_Toc32571"/>
      <w:bookmarkStart w:id="46" w:name="_Toc2121"/>
      <w:bookmarkStart w:id="47" w:name="_Toc12891"/>
      <w:bookmarkStart w:id="48" w:name="_Toc14223"/>
      <w:bookmarkStart w:id="49" w:name="_Toc6483"/>
      <w:bookmarkStart w:id="50" w:name="_Toc54862168"/>
      <w:bookmarkStart w:id="51" w:name="_Toc19943"/>
      <w:bookmarkStart w:id="52" w:name="_Toc8761"/>
      <w:bookmarkStart w:id="53" w:name="_Toc18331"/>
      <w:bookmarkStart w:id="54" w:name="_Toc102745874"/>
      <w:r>
        <w:rPr>
          <w:rFonts w:hint="eastAsia" w:ascii="宋体"/>
          <w:color w:val="000000" w:themeColor="text1"/>
          <w:sz w:val="28"/>
          <w:highlight w:val="none"/>
          <w14:textFill>
            <w14:solidFill>
              <w14:schemeClr w14:val="tx1"/>
            </w14:solidFill>
          </w14:textFill>
        </w:rPr>
        <w:t>签约合同价与合同价格形式</w:t>
      </w:r>
      <w:bookmarkEnd w:id="45"/>
      <w:bookmarkEnd w:id="46"/>
      <w:bookmarkEnd w:id="47"/>
      <w:bookmarkEnd w:id="48"/>
      <w:bookmarkEnd w:id="49"/>
      <w:bookmarkEnd w:id="50"/>
      <w:bookmarkEnd w:id="51"/>
      <w:bookmarkEnd w:id="52"/>
      <w:bookmarkEnd w:id="53"/>
      <w:bookmarkEnd w:id="54"/>
    </w:p>
    <w:p>
      <w:pPr>
        <w:spacing w:line="360" w:lineRule="auto"/>
        <w:ind w:firstLine="600"/>
        <w:rPr>
          <w:rFonts w:ascii="宋体"/>
          <w:color w:val="000000" w:themeColor="text1"/>
          <w:sz w:val="24"/>
          <w:highlight w:val="none"/>
          <w14:textFill>
            <w14:solidFill>
              <w14:schemeClr w14:val="tx1"/>
            </w14:solidFill>
          </w14:textFill>
        </w:rPr>
      </w:pPr>
      <w:r>
        <w:rPr>
          <w:rFonts w:ascii="宋体"/>
          <w:color w:val="000000" w:themeColor="text1"/>
          <w:sz w:val="24"/>
          <w:szCs w:val="28"/>
          <w:highlight w:val="none"/>
          <w14:textFill>
            <w14:solidFill>
              <w14:schemeClr w14:val="tx1"/>
            </w14:solidFill>
          </w14:textFill>
        </w:rPr>
        <w:t xml:space="preserve">1. </w:t>
      </w:r>
      <w:r>
        <w:rPr>
          <w:rFonts w:hint="eastAsia" w:ascii="宋体"/>
          <w:color w:val="000000" w:themeColor="text1"/>
          <w:sz w:val="24"/>
          <w:szCs w:val="28"/>
          <w:highlight w:val="none"/>
          <w14:textFill>
            <w14:solidFill>
              <w14:schemeClr w14:val="tx1"/>
            </w14:solidFill>
          </w14:textFill>
        </w:rPr>
        <w:t>签约合同价（含税）为：</w:t>
      </w:r>
      <w:r>
        <w:rPr>
          <w:rFonts w:hint="eastAsia" w:ascii="宋体"/>
          <w:color w:val="000000" w:themeColor="text1"/>
          <w:sz w:val="24"/>
          <w:szCs w:val="28"/>
          <w:highlight w:val="none"/>
          <w:u w:val="single"/>
          <w14:textFill>
            <w14:solidFill>
              <w14:schemeClr w14:val="tx1"/>
            </w14:solidFill>
          </w14:textFill>
        </w:rPr>
        <w:t xml:space="preserve">人民币（大写）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u w:val="single"/>
          <w14:textFill>
            <w14:solidFill>
              <w14:schemeClr w14:val="tx1"/>
            </w14:solidFill>
          </w14:textFill>
        </w:rPr>
        <w:t>元）</w:t>
      </w:r>
      <w:r>
        <w:rPr>
          <w:rFonts w:hint="eastAsia" w:ascii="宋体"/>
          <w:color w:val="000000" w:themeColor="text1"/>
          <w:sz w:val="24"/>
          <w:szCs w:val="28"/>
          <w:highlight w:val="none"/>
          <w14:textFill>
            <w14:solidFill>
              <w14:schemeClr w14:val="tx1"/>
            </w14:solidFill>
          </w14:textFill>
        </w:rPr>
        <w:t>。其中，人工费（含税）为人民币（大写）</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元）；绿色施工安全防护措施费为：人民币（大写）</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元）。具体构成详见价格清单（</w:t>
      </w:r>
      <w:r>
        <w:rPr>
          <w:rFonts w:hint="eastAsia" w:ascii="宋体"/>
          <w:color w:val="000000" w:themeColor="text1"/>
          <w:sz w:val="24"/>
          <w:szCs w:val="28"/>
          <w:highlight w:val="none"/>
          <w:u w:val="single"/>
          <w14:textFill>
            <w14:solidFill>
              <w14:schemeClr w14:val="tx1"/>
            </w14:solidFill>
          </w14:textFill>
        </w:rPr>
        <w:t>附件1《合同清单（即含清单的投标报价文件）及结算原则》）</w:t>
      </w:r>
      <w:r>
        <w:rPr>
          <w:rFonts w:hint="eastAsia" w:ascii="宋体"/>
          <w:color w:val="000000" w:themeColor="text1"/>
          <w:sz w:val="24"/>
          <w:szCs w:val="28"/>
          <w:highlight w:val="none"/>
          <w14:textFill>
            <w14:solidFill>
              <w14:schemeClr w14:val="tx1"/>
            </w14:solidFill>
          </w14:textFill>
        </w:rPr>
        <w:t>，最终合同价格以有审核权部门的审定意见为准。</w:t>
      </w:r>
    </w:p>
    <w:p>
      <w:pPr>
        <w:spacing w:line="360" w:lineRule="auto"/>
        <w:ind w:firstLine="600"/>
        <w:rPr>
          <w:rFonts w:ascii="宋体"/>
          <w:color w:val="000000" w:themeColor="text1"/>
          <w:sz w:val="24"/>
          <w:szCs w:val="28"/>
          <w:highlight w:val="none"/>
          <w14:textFill>
            <w14:solidFill>
              <w14:schemeClr w14:val="tx1"/>
            </w14:solidFill>
          </w14:textFill>
        </w:rPr>
      </w:pPr>
      <w:r>
        <w:rPr>
          <w:rFonts w:ascii="宋体"/>
          <w:color w:val="000000" w:themeColor="text1"/>
          <w:sz w:val="24"/>
          <w:szCs w:val="28"/>
          <w:highlight w:val="none"/>
          <w14:textFill>
            <w14:solidFill>
              <w14:schemeClr w14:val="tx1"/>
            </w14:solidFill>
          </w14:textFill>
        </w:rPr>
        <w:t xml:space="preserve">2. </w:t>
      </w:r>
      <w:r>
        <w:rPr>
          <w:rFonts w:hint="eastAsia" w:ascii="宋体"/>
          <w:color w:val="000000" w:themeColor="text1"/>
          <w:sz w:val="24"/>
          <w:szCs w:val="28"/>
          <w:highlight w:val="none"/>
          <w14:textFill>
            <w14:solidFill>
              <w14:schemeClr w14:val="tx1"/>
            </w14:solidFill>
          </w14:textFill>
        </w:rPr>
        <w:t>合同价格形式：</w:t>
      </w:r>
    </w:p>
    <w:p>
      <w:pPr>
        <w:kinsoku w:val="0"/>
        <w:spacing w:line="360" w:lineRule="auto"/>
        <w:ind w:firstLine="566" w:firstLineChars="236"/>
        <w:jc w:val="left"/>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合同价格形式为综合单价包干，除根据合同约定的在工程实施过程中需进行增减的款项外，合同综合单价不予调整，但合同当事人另有约定的除外。</w:t>
      </w:r>
    </w:p>
    <w:p>
      <w:pPr>
        <w:kinsoku w:val="0"/>
        <w:spacing w:line="360" w:lineRule="auto"/>
        <w:ind w:firstLine="566" w:firstLineChars="236"/>
        <w:jc w:val="left"/>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合同当事人对合同价格形式的其他约定：</w:t>
      </w:r>
      <w:r>
        <w:rPr>
          <w:rFonts w:hint="eastAsia" w:ascii="宋体"/>
          <w:color w:val="000000" w:themeColor="text1"/>
          <w:sz w:val="24"/>
          <w:szCs w:val="28"/>
          <w:highlight w:val="none"/>
          <w:u w:val="single"/>
          <w14:textFill>
            <w14:solidFill>
              <w14:schemeClr w14:val="tx1"/>
            </w14:solidFill>
          </w14:textFill>
        </w:rPr>
        <w:t>见附件1《合同清单（即含清单的投标报价文件）及结算原则》。</w:t>
      </w:r>
    </w:p>
    <w:p>
      <w:pPr>
        <w:pStyle w:val="3"/>
        <w:numPr>
          <w:ilvl w:val="0"/>
          <w:numId w:val="10"/>
        </w:numPr>
        <w:rPr>
          <w:rFonts w:ascii="宋体"/>
          <w:bCs w:val="0"/>
          <w:color w:val="000000" w:themeColor="text1"/>
          <w:sz w:val="28"/>
          <w:highlight w:val="none"/>
          <w14:textFill>
            <w14:solidFill>
              <w14:schemeClr w14:val="tx1"/>
            </w14:solidFill>
          </w14:textFill>
        </w:rPr>
      </w:pPr>
      <w:bookmarkStart w:id="55" w:name="_Toc30909"/>
      <w:bookmarkStart w:id="56" w:name="_Toc54862169"/>
      <w:bookmarkStart w:id="57" w:name="_Toc14901"/>
      <w:bookmarkStart w:id="58" w:name="_Toc17570"/>
      <w:bookmarkStart w:id="59" w:name="_Toc11330"/>
      <w:bookmarkStart w:id="60" w:name="_Toc20699"/>
      <w:bookmarkStart w:id="61" w:name="_Toc10261"/>
      <w:bookmarkStart w:id="62" w:name="_Toc19084"/>
      <w:bookmarkStart w:id="63" w:name="_Toc21789"/>
      <w:bookmarkStart w:id="64" w:name="_Toc102745875"/>
      <w:r>
        <w:rPr>
          <w:rFonts w:hint="eastAsia" w:ascii="宋体"/>
          <w:color w:val="000000" w:themeColor="text1"/>
          <w:sz w:val="28"/>
          <w:highlight w:val="none"/>
          <w14:textFill>
            <w14:solidFill>
              <w14:schemeClr w14:val="tx1"/>
            </w14:solidFill>
          </w14:textFill>
        </w:rPr>
        <w:t>施工总承包项目</w:t>
      </w:r>
      <w:bookmarkEnd w:id="55"/>
      <w:bookmarkEnd w:id="56"/>
      <w:bookmarkEnd w:id="57"/>
      <w:bookmarkEnd w:id="58"/>
      <w:bookmarkEnd w:id="59"/>
      <w:bookmarkEnd w:id="60"/>
      <w:bookmarkEnd w:id="61"/>
      <w:bookmarkEnd w:id="62"/>
      <w:bookmarkEnd w:id="63"/>
      <w:r>
        <w:rPr>
          <w:rFonts w:hint="eastAsia" w:ascii="宋体"/>
          <w:color w:val="000000" w:themeColor="text1"/>
          <w:sz w:val="28"/>
          <w:highlight w:val="none"/>
          <w14:textFill>
            <w14:solidFill>
              <w14:schemeClr w14:val="tx1"/>
            </w14:solidFill>
          </w14:textFill>
        </w:rPr>
        <w:t>负责人</w:t>
      </w:r>
      <w:bookmarkEnd w:id="64"/>
    </w:p>
    <w:p>
      <w:pPr>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施工总承包项目负责人：</w:t>
      </w:r>
      <w:r>
        <w:rPr>
          <w:rFonts w:hint="eastAsia" w:ascii="宋体"/>
          <w:color w:val="000000" w:themeColor="text1"/>
          <w:sz w:val="24"/>
          <w:szCs w:val="24"/>
          <w:highlight w:val="none"/>
          <w:u w:val="single"/>
          <w14:textFill>
            <w14:solidFill>
              <w14:schemeClr w14:val="tx1"/>
            </w14:solidFill>
          </w14:textFill>
        </w:rPr>
        <w:t xml:space="preserve"> </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，身份证号：</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，证书编号为：</w:t>
      </w:r>
      <w:r>
        <w:rPr>
          <w:rFonts w:hint="eastAsia" w:ascii="宋体"/>
          <w:color w:val="000000" w:themeColor="text1"/>
          <w:sz w:val="24"/>
          <w:szCs w:val="24"/>
          <w:highlight w:val="none"/>
          <w:u w:val="single"/>
          <w14:textFill>
            <w14:solidFill>
              <w14:schemeClr w14:val="tx1"/>
            </w14:solidFill>
          </w14:textFill>
        </w:rPr>
        <w:t xml:space="preserve"> </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，联系电话：</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w:t>
      </w:r>
    </w:p>
    <w:p>
      <w:pPr>
        <w:pStyle w:val="3"/>
        <w:numPr>
          <w:ilvl w:val="0"/>
          <w:numId w:val="10"/>
        </w:numPr>
        <w:rPr>
          <w:rFonts w:ascii="宋体"/>
          <w:bCs w:val="0"/>
          <w:color w:val="000000" w:themeColor="text1"/>
          <w:sz w:val="28"/>
          <w:highlight w:val="none"/>
          <w14:textFill>
            <w14:solidFill>
              <w14:schemeClr w14:val="tx1"/>
            </w14:solidFill>
          </w14:textFill>
        </w:rPr>
      </w:pPr>
      <w:bookmarkStart w:id="65" w:name="_Toc3480"/>
      <w:bookmarkStart w:id="66" w:name="_Toc13127"/>
      <w:bookmarkStart w:id="67" w:name="_Toc102745876"/>
      <w:bookmarkStart w:id="68" w:name="_Toc25616"/>
      <w:bookmarkStart w:id="69" w:name="_Toc29680"/>
      <w:bookmarkStart w:id="70" w:name="_Toc13061"/>
      <w:bookmarkStart w:id="71" w:name="_Toc1671"/>
      <w:bookmarkStart w:id="72" w:name="_Toc21841"/>
      <w:bookmarkStart w:id="73" w:name="_Toc54862170"/>
      <w:bookmarkStart w:id="74" w:name="_Toc27312"/>
      <w:r>
        <w:rPr>
          <w:rFonts w:hint="eastAsia" w:ascii="宋体"/>
          <w:color w:val="000000" w:themeColor="text1"/>
          <w:sz w:val="28"/>
          <w:highlight w:val="none"/>
          <w14:textFill>
            <w14:solidFill>
              <w14:schemeClr w14:val="tx1"/>
            </w14:solidFill>
          </w14:textFill>
        </w:rPr>
        <w:t>合同文件构成</w:t>
      </w:r>
      <w:bookmarkEnd w:id="65"/>
      <w:bookmarkEnd w:id="66"/>
      <w:bookmarkEnd w:id="67"/>
      <w:bookmarkEnd w:id="68"/>
      <w:bookmarkEnd w:id="69"/>
      <w:bookmarkEnd w:id="70"/>
      <w:bookmarkEnd w:id="71"/>
      <w:bookmarkEnd w:id="72"/>
      <w:bookmarkEnd w:id="73"/>
      <w:bookmarkEnd w:id="74"/>
    </w:p>
    <w:p>
      <w:pPr>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以本合同通用条件1.5条以及专用条件1.5条约定为准。</w:t>
      </w:r>
    </w:p>
    <w:p>
      <w:pPr>
        <w:pStyle w:val="3"/>
        <w:numPr>
          <w:ilvl w:val="0"/>
          <w:numId w:val="10"/>
        </w:numPr>
        <w:rPr>
          <w:rFonts w:ascii="宋体"/>
          <w:bCs w:val="0"/>
          <w:color w:val="000000" w:themeColor="text1"/>
          <w:sz w:val="28"/>
          <w:highlight w:val="none"/>
          <w14:textFill>
            <w14:solidFill>
              <w14:schemeClr w14:val="tx1"/>
            </w14:solidFill>
          </w14:textFill>
        </w:rPr>
      </w:pPr>
      <w:bookmarkStart w:id="75" w:name="_Toc8006"/>
      <w:bookmarkStart w:id="76" w:name="_Toc17952"/>
      <w:bookmarkStart w:id="77" w:name="_Toc10794"/>
      <w:bookmarkStart w:id="78" w:name="_Toc10492"/>
      <w:bookmarkStart w:id="79" w:name="_Toc32040"/>
      <w:bookmarkStart w:id="80" w:name="_Toc54862171"/>
      <w:bookmarkStart w:id="81" w:name="_Toc16559"/>
      <w:bookmarkStart w:id="82" w:name="_Toc12443"/>
      <w:bookmarkStart w:id="83" w:name="_Toc756"/>
      <w:bookmarkStart w:id="84" w:name="_Toc102745877"/>
      <w:r>
        <w:rPr>
          <w:rFonts w:hint="eastAsia" w:ascii="宋体"/>
          <w:color w:val="000000" w:themeColor="text1"/>
          <w:sz w:val="28"/>
          <w:highlight w:val="none"/>
          <w14:textFill>
            <w14:solidFill>
              <w14:schemeClr w14:val="tx1"/>
            </w14:solidFill>
          </w14:textFill>
        </w:rPr>
        <w:t>承诺</w:t>
      </w:r>
      <w:bookmarkEnd w:id="75"/>
      <w:bookmarkEnd w:id="76"/>
      <w:bookmarkEnd w:id="77"/>
      <w:bookmarkEnd w:id="78"/>
      <w:bookmarkEnd w:id="79"/>
      <w:bookmarkEnd w:id="80"/>
      <w:bookmarkEnd w:id="81"/>
      <w:bookmarkEnd w:id="82"/>
      <w:bookmarkEnd w:id="83"/>
      <w:bookmarkEnd w:id="84"/>
    </w:p>
    <w:p>
      <w:pPr>
        <w:spacing w:line="360" w:lineRule="auto"/>
        <w:ind w:firstLine="6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1. </w:t>
      </w:r>
      <w:r>
        <w:rPr>
          <w:rFonts w:hint="eastAsia" w:ascii="宋体"/>
          <w:color w:val="000000" w:themeColor="text1"/>
          <w:sz w:val="24"/>
          <w:szCs w:val="24"/>
          <w:highlight w:val="none"/>
          <w14:textFill>
            <w14:solidFill>
              <w14:schemeClr w14:val="tx1"/>
            </w14:solidFill>
          </w14:textFill>
        </w:rPr>
        <w:t>发包人承诺按照法律规定履行项目审批手续、筹集工程建设资金并按照合同约定的期限和方式支付合同价款。</w:t>
      </w:r>
    </w:p>
    <w:p>
      <w:pPr>
        <w:spacing w:line="360" w:lineRule="auto"/>
        <w:ind w:firstLine="6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 </w:t>
      </w:r>
      <w:r>
        <w:rPr>
          <w:rFonts w:hint="eastAsia" w:ascii="宋体"/>
          <w:color w:val="000000" w:themeColor="text1"/>
          <w:sz w:val="24"/>
          <w:szCs w:val="24"/>
          <w:highlight w:val="none"/>
          <w14:textFill>
            <w14:solidFill>
              <w14:schemeClr w14:val="tx1"/>
            </w14:solidFill>
          </w14:textFill>
        </w:rPr>
        <w:t>承包人承诺按照法律规定及合同约定组织完成相关工作，确保工程质量和安全，不进行转包及违法分包，并在缺陷责任期及保修期内承担相应的工程维修责任。</w:t>
      </w:r>
    </w:p>
    <w:p>
      <w:pPr>
        <w:adjustRightInd w:val="0"/>
        <w:snapToGrid w:val="0"/>
        <w:spacing w:line="400" w:lineRule="exact"/>
        <w:ind w:firstLine="480" w:firstLineChars="200"/>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3.</w:t>
      </w:r>
      <w:r>
        <w:rPr>
          <w:rFonts w:hint="eastAsia" w:ascii="宋体"/>
          <w:color w:val="000000" w:themeColor="text1"/>
          <w:sz w:val="24"/>
          <w:highlight w:val="none"/>
          <w14:textFill>
            <w14:solidFill>
              <w14:schemeClr w14:val="tx1"/>
            </w14:solidFill>
          </w14:textFill>
        </w:rPr>
        <w:t>承包人承诺全面配合发包人（业主）的企业筹建等职能工作，如在项目建设过程中，因发包人或相关企业需部分或全部使用承包人承建但尚未竣工验收的设施的，不属于擅自使用，不视为工程质量验收合格，承包人收到发包人通知后应无条件予以配合，并按附件14的内容盖章出具《临时使用工程免责承诺函》。如承包人不按约定提供相关设施给发包人或相关企业使用的，经发包人书面通知仍未在限期内提供的，承包人须承担</w:t>
      </w:r>
      <w:r>
        <w:rPr>
          <w:rFonts w:ascii="宋体"/>
          <w:color w:val="000000" w:themeColor="text1"/>
          <w:sz w:val="24"/>
          <w:highlight w:val="none"/>
          <w14:textFill>
            <w14:solidFill>
              <w14:schemeClr w14:val="tx1"/>
            </w14:solidFill>
          </w14:textFill>
        </w:rPr>
        <w:t>5</w:t>
      </w:r>
      <w:r>
        <w:rPr>
          <w:rFonts w:hint="eastAsia" w:ascii="宋体"/>
          <w:color w:val="000000" w:themeColor="text1"/>
          <w:sz w:val="24"/>
          <w:highlight w:val="none"/>
          <w14:textFill>
            <w14:solidFill>
              <w14:schemeClr w14:val="tx1"/>
            </w14:solidFill>
          </w14:textFill>
        </w:rPr>
        <w:t>次严重违约责任，如因此给发包人、南沙区造成损失或负面影响的，承包人须赔偿相关损失并负责消除影响。</w:t>
      </w:r>
    </w:p>
    <w:p>
      <w:pPr>
        <w:adjustRightInd w:val="0"/>
        <w:snapToGrid w:val="0"/>
        <w:spacing w:line="400" w:lineRule="exact"/>
        <w:ind w:firstLine="480" w:firstLineChars="200"/>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4.</w:t>
      </w:r>
      <w:r>
        <w:rPr>
          <w:rFonts w:hint="eastAsia" w:ascii="宋体"/>
          <w:color w:val="000000" w:themeColor="text1"/>
          <w:sz w:val="24"/>
          <w:highlight w:val="none"/>
          <w14:textFill>
            <w14:solidFill>
              <w14:schemeClr w14:val="tx1"/>
            </w14:solidFill>
          </w14:textFill>
        </w:rPr>
        <w:t>合同生效后，承包人应履行合同义务及参建单位职责，并视为接受及认同发包人各项相关建设管理规定，包括但不限于管理制度、作业指导书、工作流程等。如承包人未达到发包人相关建设管理要求，发包人有权依据相关管理办法要求承包人承担违约责任及赔偿损失。</w:t>
      </w:r>
    </w:p>
    <w:p>
      <w:pPr>
        <w:adjustRightInd w:val="0"/>
        <w:snapToGrid w:val="0"/>
        <w:spacing w:line="400" w:lineRule="exact"/>
        <w:ind w:firstLine="480" w:firstLineChars="200"/>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5.</w:t>
      </w:r>
      <w:r>
        <w:rPr>
          <w:rFonts w:hint="eastAsia" w:ascii="宋体"/>
          <w:color w:val="000000" w:themeColor="text1"/>
          <w:sz w:val="24"/>
          <w:highlight w:val="none"/>
          <w14:textFill>
            <w14:solidFill>
              <w14:schemeClr w14:val="tx1"/>
            </w14:solidFill>
          </w14:textFill>
        </w:rPr>
        <w:t>因质量、进度、造价控制需要，除建设管理单位、监理单位外，发包人有权另行委托造价咨询、设计咨询、审计等单位负责本项目全过程造价咨询管理、勘察设计技术管理、审计等工作，承包人应无条件服从并配合其开展工作。如承包人与上述单位就具体事宜存在较大分歧，发包人将组织专家（咨询）会，承包人须无条件执行专家评审（咨询）意见，如承包人对相关意见消极抵制或拒绝执行，发包人有权单方面将争议涉及的内容从合同中剥离，扣除该部分费用，并另外委托其他单位实施，承包人不得有异议，同时，发包人保留按合同追究承包人的违约责任的权利。</w:t>
      </w:r>
    </w:p>
    <w:p>
      <w:pPr>
        <w:adjustRightInd w:val="0"/>
        <w:snapToGrid w:val="0"/>
        <w:spacing w:line="400" w:lineRule="exact"/>
        <w:ind w:firstLine="480" w:firstLineChars="200"/>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6.</w:t>
      </w:r>
      <w:r>
        <w:rPr>
          <w:rFonts w:hint="eastAsia" w:ascii="宋体"/>
          <w:color w:val="000000" w:themeColor="text1"/>
          <w:sz w:val="24"/>
          <w:highlight w:val="none"/>
          <w14:textFill>
            <w14:solidFill>
              <w14:schemeClr w14:val="tx1"/>
            </w14:solidFill>
          </w14:textFill>
        </w:rPr>
        <w:t>本项目实行全过程限额设计施工，限额投资。施工图预算审定金额不得超过概算批复建安工程费，如出现不符合约定的情况，承包人应无条件自行优化图纸以及造价直至满足要求，否则超出发包人/有审核权部门审定造价的费用与风险均由承包人自行承担，同时发包人有权终止合同并保留追讨相关责任的权利。因规划调整等客观原因导致投资发生重大调整时，应按南沙区相关变更程序报批。</w:t>
      </w:r>
    </w:p>
    <w:p>
      <w:pPr>
        <w:adjustRightInd w:val="0"/>
        <w:snapToGrid w:val="0"/>
        <w:spacing w:line="400" w:lineRule="exact"/>
        <w:ind w:firstLine="480" w:firstLineChars="200"/>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7.</w:t>
      </w:r>
      <w:r>
        <w:rPr>
          <w:rFonts w:hint="eastAsia" w:ascii="宋体"/>
          <w:color w:val="000000" w:themeColor="text1"/>
          <w:sz w:val="24"/>
          <w:highlight w:val="none"/>
          <w14:textFill>
            <w14:solidFill>
              <w14:schemeClr w14:val="tx1"/>
            </w14:solidFill>
          </w14:textFill>
        </w:rPr>
        <w:t>发包人可视项目实际需求要求承包人开发应用建筑信息模型（</w:t>
      </w:r>
      <w:r>
        <w:rPr>
          <w:rFonts w:ascii="宋体"/>
          <w:color w:val="000000" w:themeColor="text1"/>
          <w:sz w:val="24"/>
          <w:highlight w:val="none"/>
          <w14:textFill>
            <w14:solidFill>
              <w14:schemeClr w14:val="tx1"/>
            </w14:solidFill>
          </w14:textFill>
        </w:rPr>
        <w:t>BIM</w:t>
      </w:r>
      <w:r>
        <w:rPr>
          <w:rFonts w:hint="eastAsia" w:ascii="宋体"/>
          <w:color w:val="000000" w:themeColor="text1"/>
          <w:sz w:val="24"/>
          <w:highlight w:val="none"/>
          <w14:textFill>
            <w14:solidFill>
              <w14:schemeClr w14:val="tx1"/>
            </w14:solidFill>
          </w14:textFill>
        </w:rPr>
        <w:t>）系统和施工计量统计信息系统（系统模块包括但不限于标准管理、进度管理、台账管理、中间计量报表、中间计量单、工程计算表等）并提供使用。相关系统开发成功后权属承包人和业主共同所有。费用由承包人从工程费中统筹考虑，业主不另外费用补偿。</w:t>
      </w:r>
    </w:p>
    <w:p>
      <w:pPr>
        <w:adjustRightInd w:val="0"/>
        <w:snapToGrid w:val="0"/>
        <w:spacing w:line="400"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8.承包人施工各阶段进度汇报展示须以BIM技术达到构件级进度管控及汇报可视化效果，且相关费用承包人已在投标报价中统筹考虑，发包人不另外计取。</w:t>
      </w:r>
    </w:p>
    <w:p>
      <w:pPr>
        <w:adjustRightInd w:val="0"/>
        <w:snapToGrid w:val="0"/>
        <w:spacing w:line="400" w:lineRule="exact"/>
        <w:ind w:firstLine="480" w:firstLineChars="200"/>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t>9.</w:t>
      </w:r>
      <w:r>
        <w:rPr>
          <w:rFonts w:hint="eastAsia" w:ascii="宋体"/>
          <w:color w:val="000000" w:themeColor="text1"/>
          <w:sz w:val="24"/>
          <w:highlight w:val="none"/>
          <w14:textFill>
            <w14:solidFill>
              <w14:schemeClr w14:val="tx1"/>
            </w14:solidFill>
          </w14:textFill>
        </w:rPr>
        <w:t>因项目建设管理需要，发包人有权委托建设管理单位（或代建单位）负责本工程的建设管理，承包人应服从建设管理单位（或代建单位）管理并配合其开展工作。发包人委托管理的权限、内容、范围等将另行签订书面合同予以明确，建设管理单位（或代建单位）按合同约定代表发包人履行项目建设管理职责。如本项目有建设管理单位（或代建单位），则本合同中所约定的有关承包人报发包人审核或确认等内容，均应按项目建设管理流程先由承包人报建设管理单位（或代建单位）审核确认，再由建设管理单位（或代建单位）报发包人批准后方可执行。</w:t>
      </w:r>
    </w:p>
    <w:p>
      <w:pPr>
        <w:pStyle w:val="3"/>
        <w:numPr>
          <w:ilvl w:val="0"/>
          <w:numId w:val="10"/>
        </w:numPr>
        <w:rPr>
          <w:rFonts w:ascii="宋体"/>
          <w:bCs w:val="0"/>
          <w:color w:val="000000" w:themeColor="text1"/>
          <w:sz w:val="28"/>
          <w:highlight w:val="none"/>
          <w14:textFill>
            <w14:solidFill>
              <w14:schemeClr w14:val="tx1"/>
            </w14:solidFill>
          </w14:textFill>
        </w:rPr>
      </w:pPr>
      <w:bookmarkStart w:id="85" w:name="_Toc19369"/>
      <w:bookmarkStart w:id="86" w:name="_Toc1033"/>
      <w:bookmarkStart w:id="87" w:name="_Toc1210"/>
      <w:bookmarkStart w:id="88" w:name="_Toc26026"/>
      <w:bookmarkStart w:id="89" w:name="_Toc54862172"/>
      <w:bookmarkStart w:id="90" w:name="_Toc7032"/>
      <w:bookmarkStart w:id="91" w:name="_Toc26261"/>
      <w:bookmarkStart w:id="92" w:name="_Toc2818"/>
      <w:bookmarkStart w:id="93" w:name="_Toc102745878"/>
      <w:bookmarkStart w:id="94" w:name="_Toc8377"/>
      <w:r>
        <w:rPr>
          <w:rFonts w:hint="eastAsia" w:ascii="宋体"/>
          <w:color w:val="000000" w:themeColor="text1"/>
          <w:sz w:val="28"/>
          <w:highlight w:val="none"/>
          <w14:textFill>
            <w14:solidFill>
              <w14:schemeClr w14:val="tx1"/>
            </w14:solidFill>
          </w14:textFill>
        </w:rPr>
        <w:t>订立时间</w:t>
      </w:r>
      <w:bookmarkEnd w:id="85"/>
      <w:bookmarkEnd w:id="86"/>
      <w:bookmarkEnd w:id="87"/>
      <w:bookmarkEnd w:id="88"/>
      <w:bookmarkEnd w:id="89"/>
      <w:bookmarkEnd w:id="90"/>
      <w:bookmarkEnd w:id="91"/>
      <w:bookmarkEnd w:id="92"/>
      <w:bookmarkEnd w:id="93"/>
      <w:bookmarkEnd w:id="94"/>
    </w:p>
    <w:p>
      <w:pPr>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本合同于</w:t>
      </w:r>
      <w:r>
        <w:rPr>
          <w:rFonts w:ascii="宋体"/>
          <w:color w:val="000000" w:themeColor="text1"/>
          <w:sz w:val="24"/>
          <w:szCs w:val="28"/>
          <w:highlight w:val="none"/>
          <w:u w:val="single"/>
          <w14:textFill>
            <w14:solidFill>
              <w14:schemeClr w14:val="tx1"/>
            </w14:solidFill>
          </w14:textFill>
        </w:rPr>
        <w:t>2022</w:t>
      </w:r>
      <w:r>
        <w:rPr>
          <w:rFonts w:hint="eastAsia" w:ascii="宋体"/>
          <w:color w:val="000000" w:themeColor="text1"/>
          <w:sz w:val="24"/>
          <w:szCs w:val="28"/>
          <w:highlight w:val="none"/>
          <w14:textFill>
            <w14:solidFill>
              <w14:schemeClr w14:val="tx1"/>
            </w14:solidFill>
          </w14:textFill>
        </w:rPr>
        <w:t>年</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月</w:t>
      </w:r>
      <w:r>
        <w:rPr>
          <w:rFonts w:hint="eastAsia" w:ascii="宋体"/>
          <w:color w:val="000000" w:themeColor="text1"/>
          <w:sz w:val="24"/>
          <w:highlight w:val="none"/>
          <w14:textFill>
            <w14:solidFill>
              <w14:schemeClr w14:val="tx1"/>
            </w14:solidFill>
          </w14:textFill>
        </w:rPr>
        <w:t>订立。</w:t>
      </w:r>
    </w:p>
    <w:p>
      <w:pPr>
        <w:pStyle w:val="3"/>
        <w:numPr>
          <w:ilvl w:val="0"/>
          <w:numId w:val="10"/>
        </w:numPr>
        <w:rPr>
          <w:rFonts w:ascii="宋体"/>
          <w:bCs w:val="0"/>
          <w:color w:val="000000" w:themeColor="text1"/>
          <w:sz w:val="28"/>
          <w:highlight w:val="none"/>
          <w14:textFill>
            <w14:solidFill>
              <w14:schemeClr w14:val="tx1"/>
            </w14:solidFill>
          </w14:textFill>
        </w:rPr>
      </w:pPr>
      <w:bookmarkStart w:id="95" w:name="_Toc54862173"/>
      <w:bookmarkStart w:id="96" w:name="_Toc29080"/>
      <w:bookmarkStart w:id="97" w:name="_Toc102745879"/>
      <w:bookmarkStart w:id="98" w:name="_Toc8895"/>
      <w:bookmarkStart w:id="99" w:name="_Toc30992"/>
      <w:bookmarkStart w:id="100" w:name="_Toc17501"/>
      <w:bookmarkStart w:id="101" w:name="_Toc25346"/>
      <w:bookmarkStart w:id="102" w:name="_Toc26153"/>
      <w:bookmarkStart w:id="103" w:name="_Toc16206"/>
      <w:bookmarkStart w:id="104" w:name="_Toc21346"/>
      <w:r>
        <w:rPr>
          <w:rFonts w:hint="eastAsia" w:ascii="宋体"/>
          <w:color w:val="000000" w:themeColor="text1"/>
          <w:sz w:val="28"/>
          <w:highlight w:val="none"/>
          <w14:textFill>
            <w14:solidFill>
              <w14:schemeClr w14:val="tx1"/>
            </w14:solidFill>
          </w14:textFill>
        </w:rPr>
        <w:t>订立地点</w:t>
      </w:r>
      <w:bookmarkEnd w:id="95"/>
      <w:bookmarkEnd w:id="96"/>
      <w:bookmarkEnd w:id="97"/>
      <w:bookmarkEnd w:id="98"/>
      <w:bookmarkEnd w:id="99"/>
      <w:bookmarkEnd w:id="100"/>
      <w:bookmarkEnd w:id="101"/>
      <w:bookmarkEnd w:id="102"/>
      <w:bookmarkEnd w:id="103"/>
      <w:bookmarkEnd w:id="104"/>
    </w:p>
    <w:p>
      <w:pPr>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本合同在</w:t>
      </w:r>
      <w:r>
        <w:rPr>
          <w:rFonts w:hint="eastAsia" w:ascii="宋体"/>
          <w:color w:val="000000" w:themeColor="text1"/>
          <w:sz w:val="24"/>
          <w:szCs w:val="28"/>
          <w:highlight w:val="none"/>
          <w:u w:val="single"/>
          <w14:textFill>
            <w14:solidFill>
              <w14:schemeClr w14:val="tx1"/>
            </w14:solidFill>
          </w14:textFill>
        </w:rPr>
        <w:t>广州市南沙区</w:t>
      </w:r>
      <w:r>
        <w:rPr>
          <w:rFonts w:hint="eastAsia" w:ascii="宋体"/>
          <w:color w:val="000000" w:themeColor="text1"/>
          <w:sz w:val="24"/>
          <w:szCs w:val="28"/>
          <w:highlight w:val="none"/>
          <w14:textFill>
            <w14:solidFill>
              <w14:schemeClr w14:val="tx1"/>
            </w14:solidFill>
          </w14:textFill>
        </w:rPr>
        <w:t>订立。</w:t>
      </w:r>
    </w:p>
    <w:p>
      <w:pPr>
        <w:pStyle w:val="3"/>
        <w:numPr>
          <w:ilvl w:val="0"/>
          <w:numId w:val="10"/>
        </w:numPr>
        <w:rPr>
          <w:rFonts w:ascii="宋体"/>
          <w:bCs w:val="0"/>
          <w:color w:val="000000" w:themeColor="text1"/>
          <w:sz w:val="28"/>
          <w:highlight w:val="none"/>
          <w14:textFill>
            <w14:solidFill>
              <w14:schemeClr w14:val="tx1"/>
            </w14:solidFill>
          </w14:textFill>
        </w:rPr>
      </w:pPr>
      <w:bookmarkStart w:id="105" w:name="_Toc297"/>
      <w:bookmarkStart w:id="106" w:name="_Toc16521"/>
      <w:bookmarkStart w:id="107" w:name="_Toc28535"/>
      <w:bookmarkStart w:id="108" w:name="_Toc11061"/>
      <w:bookmarkStart w:id="109" w:name="_Toc102745880"/>
      <w:bookmarkStart w:id="110" w:name="_Toc16174"/>
      <w:bookmarkStart w:id="111" w:name="_Toc27097"/>
      <w:bookmarkStart w:id="112" w:name="_Toc7941"/>
      <w:bookmarkStart w:id="113" w:name="_Toc4717"/>
      <w:bookmarkStart w:id="114" w:name="_Toc54862174"/>
      <w:r>
        <w:rPr>
          <w:rFonts w:hint="eastAsia" w:ascii="宋体"/>
          <w:color w:val="000000" w:themeColor="text1"/>
          <w:sz w:val="28"/>
          <w:highlight w:val="none"/>
          <w14:textFill>
            <w14:solidFill>
              <w14:schemeClr w14:val="tx1"/>
            </w14:solidFill>
          </w14:textFill>
        </w:rPr>
        <w:t>合同生效</w:t>
      </w:r>
      <w:bookmarkEnd w:id="105"/>
      <w:bookmarkEnd w:id="106"/>
      <w:bookmarkEnd w:id="107"/>
      <w:bookmarkEnd w:id="108"/>
      <w:bookmarkEnd w:id="109"/>
      <w:bookmarkEnd w:id="110"/>
      <w:bookmarkEnd w:id="111"/>
      <w:bookmarkEnd w:id="112"/>
      <w:bookmarkEnd w:id="113"/>
      <w:bookmarkEnd w:id="114"/>
    </w:p>
    <w:p>
      <w:pPr>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本合同经双方法定代表人或委托代理人签字或盖章并加盖单位印章后生效，合同生效之后，双方一致同意就中标通知书发出之日起至合同生效之日期间按合同约定的履约行为予以追认。</w:t>
      </w:r>
    </w:p>
    <w:p>
      <w:pPr>
        <w:pStyle w:val="3"/>
        <w:numPr>
          <w:ilvl w:val="0"/>
          <w:numId w:val="10"/>
        </w:numPr>
        <w:rPr>
          <w:rFonts w:ascii="宋体"/>
          <w:bCs w:val="0"/>
          <w:color w:val="000000" w:themeColor="text1"/>
          <w:sz w:val="28"/>
          <w:highlight w:val="none"/>
          <w14:textFill>
            <w14:solidFill>
              <w14:schemeClr w14:val="tx1"/>
            </w14:solidFill>
          </w14:textFill>
        </w:rPr>
      </w:pPr>
      <w:bookmarkStart w:id="115" w:name="_Toc8363"/>
      <w:bookmarkStart w:id="116" w:name="_Toc7719"/>
      <w:bookmarkStart w:id="117" w:name="_Toc17523"/>
      <w:bookmarkStart w:id="118" w:name="_Toc23423"/>
      <w:bookmarkStart w:id="119" w:name="_Toc12206"/>
      <w:bookmarkStart w:id="120" w:name="_Toc10182"/>
      <w:bookmarkStart w:id="121" w:name="_Toc54862175"/>
      <w:bookmarkStart w:id="122" w:name="_Toc102745881"/>
      <w:bookmarkStart w:id="123" w:name="_Toc14709"/>
      <w:bookmarkStart w:id="124" w:name="_Toc13747"/>
      <w:r>
        <w:rPr>
          <w:rFonts w:hint="eastAsia" w:ascii="宋体"/>
          <w:color w:val="000000" w:themeColor="text1"/>
          <w:sz w:val="28"/>
          <w:highlight w:val="none"/>
          <w14:textFill>
            <w14:solidFill>
              <w14:schemeClr w14:val="tx1"/>
            </w14:solidFill>
          </w14:textFill>
        </w:rPr>
        <w:t>合同份数</w:t>
      </w:r>
      <w:bookmarkEnd w:id="115"/>
      <w:bookmarkEnd w:id="116"/>
      <w:bookmarkEnd w:id="117"/>
      <w:bookmarkEnd w:id="118"/>
      <w:bookmarkEnd w:id="119"/>
      <w:bookmarkEnd w:id="120"/>
      <w:bookmarkEnd w:id="121"/>
      <w:bookmarkEnd w:id="122"/>
      <w:bookmarkEnd w:id="123"/>
      <w:bookmarkEnd w:id="124"/>
    </w:p>
    <w:p>
      <w:pPr>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本合同正本一式</w:t>
      </w:r>
      <w:r>
        <w:rPr>
          <w:rFonts w:hint="eastAsia" w:ascii="宋体"/>
          <w:color w:val="000000" w:themeColor="text1"/>
          <w:sz w:val="24"/>
          <w:szCs w:val="24"/>
          <w:highlight w:val="none"/>
          <w:u w:val="single"/>
          <w14:textFill>
            <w14:solidFill>
              <w14:schemeClr w14:val="tx1"/>
            </w14:solidFill>
          </w14:textFill>
        </w:rPr>
        <w:t xml:space="preserve"> </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份，副本一式</w:t>
      </w:r>
      <w:r>
        <w:rPr>
          <w:rFonts w:hint="eastAsia" w:ascii="宋体"/>
          <w:color w:val="000000" w:themeColor="text1"/>
          <w:sz w:val="24"/>
          <w:szCs w:val="21"/>
          <w:highlight w:val="none"/>
          <w:u w:val="single"/>
          <w14:textFill>
            <w14:solidFill>
              <w14:schemeClr w14:val="tx1"/>
            </w14:solidFill>
          </w14:textFill>
        </w:rPr>
        <w:t xml:space="preserve"> </w:t>
      </w:r>
      <w:r>
        <w:rPr>
          <w:rFonts w:ascii="宋体"/>
          <w:color w:val="000000" w:themeColor="text1"/>
          <w:sz w:val="24"/>
          <w:szCs w:val="21"/>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份，均具有同等法律效力，发包人各执壹正肆副，承包人各执壹正肆副。</w:t>
      </w:r>
    </w:p>
    <w:p>
      <w:pPr>
        <w:spacing w:line="360" w:lineRule="auto"/>
        <w:ind w:firstLine="600"/>
        <w:rPr>
          <w:rFonts w:asci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color w:val="000000" w:themeColor="text1"/>
          <w:sz w:val="24"/>
          <w:szCs w:val="28"/>
          <w:highlight w:val="none"/>
          <w14:textFill>
            <w14:solidFill>
              <w14:schemeClr w14:val="tx1"/>
            </w14:solidFill>
          </w14:textFill>
        </w:rPr>
      </w:pPr>
      <w:bookmarkStart w:id="125" w:name="_Toc351203494"/>
      <w:r>
        <w:rPr>
          <w:rFonts w:ascii="宋体" w:hAnsi="宋体"/>
          <w:color w:val="000000" w:themeColor="text1"/>
          <w:sz w:val="28"/>
          <w:szCs w:val="28"/>
          <w:highlight w:val="none"/>
          <w14:textFill>
            <w14:solidFill>
              <w14:schemeClr w14:val="tx1"/>
            </w14:solidFill>
          </w14:textFill>
        </w:rPr>
        <w:br w:type="page"/>
      </w:r>
      <w:r>
        <w:rPr>
          <w:rFonts w:hint="eastAsia" w:ascii="宋体"/>
          <w:color w:val="000000" w:themeColor="text1"/>
          <w:sz w:val="24"/>
          <w:szCs w:val="28"/>
          <w:highlight w:val="none"/>
          <w14:textFill>
            <w14:solidFill>
              <w14:schemeClr w14:val="tx1"/>
            </w14:solidFill>
          </w14:textFill>
        </w:rPr>
        <w:t>（本页为签署页一，无正文）</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发包人：广州市南沙新区产业园区开发建设管理局（公章）</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法定代表人或其委托代理人：（签字）</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统一社会信用代码：19440115MB2C78451T</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地址：广州市南沙区翠瑜街13号彩汇中心11、12楼</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邮政编码：</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电话：</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签订日期：</w:t>
      </w:r>
    </w:p>
    <w:p>
      <w:pPr>
        <w:adjustRightInd w:val="0"/>
        <w:snapToGrid w:val="0"/>
        <w:spacing w:line="360" w:lineRule="auto"/>
        <w:rPr>
          <w:rFonts w:ascii="宋体"/>
          <w:color w:val="000000" w:themeColor="text1"/>
          <w:sz w:val="24"/>
          <w:szCs w:val="28"/>
          <w:highlight w:val="none"/>
          <w14:textFill>
            <w14:solidFill>
              <w14:schemeClr w14:val="tx1"/>
            </w14:solidFill>
          </w14:textFill>
        </w:rPr>
      </w:pPr>
    </w:p>
    <w:p>
      <w:pPr>
        <w:adjustRightInd w:val="0"/>
        <w:snapToGrid w:val="0"/>
        <w:spacing w:line="360" w:lineRule="auto"/>
        <w:rPr>
          <w:rFonts w:ascii="宋体"/>
          <w:color w:val="000000" w:themeColor="text1"/>
          <w:sz w:val="24"/>
          <w:szCs w:val="28"/>
          <w:highlight w:val="none"/>
          <w14:textFill>
            <w14:solidFill>
              <w14:schemeClr w14:val="tx1"/>
            </w14:solidFill>
          </w14:textFill>
        </w:rPr>
      </w:pPr>
    </w:p>
    <w:p>
      <w:pPr>
        <w:pStyle w:val="23"/>
        <w:adjustRightInd w:val="0"/>
        <w:snapToGrid w:val="0"/>
        <w:spacing w:line="360" w:lineRule="auto"/>
        <w:rPr>
          <w:rFonts w:hAnsi="Times New Roman"/>
          <w:color w:val="000000" w:themeColor="text1"/>
          <w:sz w:val="24"/>
          <w:szCs w:val="28"/>
          <w:highlight w:val="none"/>
          <w14:textFill>
            <w14:solidFill>
              <w14:schemeClr w14:val="tx1"/>
            </w14:solidFill>
          </w14:textFill>
        </w:rPr>
      </w:pP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w:t>
      </w:r>
      <w:r>
        <w:rPr>
          <w:rFonts w:hint="eastAsia" w:ascii="宋体" w:hAnsi="宋体" w:cs="宋体"/>
          <w:bCs/>
          <w:i/>
          <w:iCs/>
          <w:color w:val="000000" w:themeColor="text1"/>
          <w:sz w:val="24"/>
          <w:szCs w:val="24"/>
          <w:highlight w:val="none"/>
          <w:u w:val="single"/>
          <w14:textFill>
            <w14:solidFill>
              <w14:schemeClr w14:val="tx1"/>
            </w14:solidFill>
          </w14:textFill>
        </w:rPr>
        <w:t>[如有则补充,无则删除]（建设管理单位）</w:t>
      </w:r>
      <w:r>
        <w:rPr>
          <w:rFonts w:hint="eastAsia" w:ascii="宋体"/>
          <w:color w:val="000000" w:themeColor="text1"/>
          <w:sz w:val="24"/>
          <w:szCs w:val="28"/>
          <w:highlight w:val="none"/>
          <w14:textFill>
            <w14:solidFill>
              <w14:schemeClr w14:val="tx1"/>
            </w14:solidFill>
          </w14:textFill>
        </w:rPr>
        <w:t>（公章）</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法定代表人或其委托代理人：（签字）</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统一社会信用代码：</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地址：</w:t>
      </w:r>
      <w:r>
        <w:rPr>
          <w:rFonts w:ascii="宋体"/>
          <w:color w:val="000000" w:themeColor="text1"/>
          <w:sz w:val="24"/>
          <w:szCs w:val="28"/>
          <w:highlight w:val="none"/>
          <w14:textFill>
            <w14:solidFill>
              <w14:schemeClr w14:val="tx1"/>
            </w14:solidFill>
          </w14:textFill>
        </w:rPr>
        <w:t xml:space="preserve"> </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邮政编码：</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电话：</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签订日期：</w:t>
      </w:r>
    </w:p>
    <w:p>
      <w:pPr>
        <w:pStyle w:val="23"/>
        <w:adjustRightInd w:val="0"/>
        <w:snapToGrid w:val="0"/>
        <w:spacing w:line="360" w:lineRule="auto"/>
        <w:rPr>
          <w:rFonts w:hAnsi="Times New Roman"/>
          <w:color w:val="000000" w:themeColor="text1"/>
          <w:sz w:val="24"/>
          <w:szCs w:val="28"/>
          <w:highlight w:val="none"/>
          <w14:textFill>
            <w14:solidFill>
              <w14:schemeClr w14:val="tx1"/>
            </w14:solidFill>
          </w14:textFill>
        </w:rPr>
      </w:pPr>
    </w:p>
    <w:p>
      <w:pPr>
        <w:pStyle w:val="13"/>
        <w:snapToGrid w:val="0"/>
        <w:spacing w:line="360" w:lineRule="auto"/>
        <w:ind w:firstLine="0"/>
        <w:rPr>
          <w:rFonts w:ascii="宋体"/>
          <w:color w:val="000000" w:themeColor="text1"/>
          <w:szCs w:val="28"/>
          <w:highlight w:val="none"/>
          <w14:textFill>
            <w14:solidFill>
              <w14:schemeClr w14:val="tx1"/>
            </w14:solidFill>
          </w14:textFill>
        </w:rPr>
      </w:pPr>
      <w:r>
        <w:rPr>
          <w:rFonts w:ascii="宋体"/>
          <w:color w:val="000000" w:themeColor="text1"/>
          <w:szCs w:val="28"/>
          <w:highlight w:val="none"/>
          <w14:textFill>
            <w14:solidFill>
              <w14:schemeClr w14:val="tx1"/>
            </w14:solidFill>
          </w14:textFill>
        </w:rPr>
        <w:br w:type="page"/>
      </w:r>
      <w:r>
        <w:rPr>
          <w:rFonts w:hint="eastAsia" w:ascii="宋体"/>
          <w:color w:val="000000" w:themeColor="text1"/>
          <w:szCs w:val="28"/>
          <w:highlight w:val="none"/>
          <w14:textFill>
            <w14:solidFill>
              <w14:schemeClr w14:val="tx1"/>
            </w14:solidFill>
          </w14:textFill>
        </w:rPr>
        <w:t>（本页为签署页二，无正文）</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承包人：【】（公章）</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法定代表人或其委托代理人：（签字）</w:t>
      </w:r>
    </w:p>
    <w:p>
      <w:pPr>
        <w:adjustRightInd w:val="0"/>
        <w:snapToGrid w:val="0"/>
        <w:spacing w:line="360" w:lineRule="auto"/>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统一社会信用代码：【】</w:t>
      </w:r>
    </w:p>
    <w:p>
      <w:pPr>
        <w:adjustRightInd w:val="0"/>
        <w:snapToGrid w:val="0"/>
        <w:spacing w:line="360" w:lineRule="auto"/>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地址：【】</w:t>
      </w:r>
    </w:p>
    <w:p>
      <w:pPr>
        <w:adjustRightInd w:val="0"/>
        <w:snapToGrid w:val="0"/>
        <w:spacing w:line="360" w:lineRule="auto"/>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邮政编码：</w:t>
      </w:r>
    </w:p>
    <w:p>
      <w:pPr>
        <w:adjustRightInd w:val="0"/>
        <w:snapToGrid w:val="0"/>
        <w:spacing w:line="360" w:lineRule="auto"/>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电话：【】</w:t>
      </w:r>
    </w:p>
    <w:p>
      <w:pPr>
        <w:adjustRightInd w:val="0"/>
        <w:snapToGrid w:val="0"/>
        <w:spacing w:line="360" w:lineRule="auto"/>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传真：</w:t>
      </w:r>
    </w:p>
    <w:p>
      <w:pPr>
        <w:adjustRightInd w:val="0"/>
        <w:snapToGrid w:val="0"/>
        <w:spacing w:line="360" w:lineRule="auto"/>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电子信箱：</w:t>
      </w:r>
    </w:p>
    <w:p>
      <w:pPr>
        <w:adjustRightInd w:val="0"/>
        <w:snapToGrid w:val="0"/>
        <w:spacing w:line="360" w:lineRule="auto"/>
        <w:rPr>
          <w:rFonts w:ascii="宋体"/>
          <w:color w:val="000000" w:themeColor="text1"/>
          <w:sz w:val="24"/>
          <w:highlight w:val="none"/>
          <w:u w:val="single"/>
          <w14:textFill>
            <w14:solidFill>
              <w14:schemeClr w14:val="tx1"/>
            </w14:solidFill>
          </w14:textFill>
        </w:rPr>
      </w:pPr>
      <w:r>
        <w:rPr>
          <w:rFonts w:hint="eastAsia" w:ascii="宋体"/>
          <w:color w:val="000000" w:themeColor="text1"/>
          <w:sz w:val="24"/>
          <w:highlight w:val="none"/>
          <w14:textFill>
            <w14:solidFill>
              <w14:schemeClr w14:val="tx1"/>
            </w14:solidFill>
          </w14:textFill>
        </w:rPr>
        <w:t>开户银行：</w:t>
      </w:r>
      <w:r>
        <w:rPr>
          <w:rFonts w:hint="eastAsia" w:ascii="宋体"/>
          <w:color w:val="000000" w:themeColor="text1"/>
          <w:sz w:val="24"/>
          <w:szCs w:val="28"/>
          <w:highlight w:val="none"/>
          <w14:textFill>
            <w14:solidFill>
              <w14:schemeClr w14:val="tx1"/>
            </w14:solidFill>
          </w14:textFill>
        </w:rPr>
        <w:t>【】</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账号：</w:t>
      </w:r>
      <w:r>
        <w:rPr>
          <w:rFonts w:hint="eastAsia" w:ascii="宋体"/>
          <w:color w:val="000000" w:themeColor="text1"/>
          <w:sz w:val="24"/>
          <w:szCs w:val="28"/>
          <w:highlight w:val="none"/>
          <w14:textFill>
            <w14:solidFill>
              <w14:schemeClr w14:val="tx1"/>
            </w14:solidFill>
          </w14:textFill>
        </w:rPr>
        <w:t>【】</w:t>
      </w:r>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签订日期：</w:t>
      </w:r>
    </w:p>
    <w:p>
      <w:pPr>
        <w:pStyle w:val="13"/>
        <w:snapToGrid w:val="0"/>
        <w:spacing w:line="360" w:lineRule="auto"/>
        <w:ind w:firstLine="0"/>
        <w:rPr>
          <w:rFonts w:ascii="宋体"/>
          <w:color w:val="000000" w:themeColor="text1"/>
          <w:highlight w:val="none"/>
          <w14:textFill>
            <w14:solidFill>
              <w14:schemeClr w14:val="tx1"/>
            </w14:solidFill>
          </w14:textFill>
        </w:rPr>
      </w:pPr>
    </w:p>
    <w:p>
      <w:pPr>
        <w:pStyle w:val="13"/>
        <w:snapToGrid w:val="0"/>
        <w:spacing w:line="360" w:lineRule="auto"/>
        <w:ind w:firstLine="0"/>
        <w:rPr>
          <w:rFonts w:ascii="宋体"/>
          <w:color w:val="000000" w:themeColor="text1"/>
          <w:highlight w:val="none"/>
          <w14:textFill>
            <w14:solidFill>
              <w14:schemeClr w14:val="tx1"/>
            </w14:solidFill>
          </w14:textFill>
        </w:rPr>
      </w:pPr>
    </w:p>
    <w:p>
      <w:pPr>
        <w:pStyle w:val="41"/>
        <w:rPr>
          <w:rFonts w:eastAsia="仿宋_GB2312"/>
          <w:color w:val="000000" w:themeColor="text1"/>
          <w:sz w:val="28"/>
          <w:szCs w:val="28"/>
          <w:highlight w:val="none"/>
          <w14:textFill>
            <w14:solidFill>
              <w14:schemeClr w14:val="tx1"/>
            </w14:solidFill>
          </w14:textFill>
        </w:rPr>
      </w:pPr>
      <w:r>
        <w:rPr>
          <w:rFonts w:hint="eastAsia" w:hAnsi="仿宋_GB2312" w:eastAsia="仿宋_GB2312" w:cs="仿宋_GB2312"/>
          <w:snapToGrid w:val="0"/>
          <w:color w:val="000000" w:themeColor="text1"/>
          <w:kern w:val="0"/>
          <w:sz w:val="28"/>
          <w:szCs w:val="28"/>
          <w:highlight w:val="none"/>
          <w14:textFill>
            <w14:solidFill>
              <w14:schemeClr w14:val="tx1"/>
            </w14:solidFill>
          </w14:textFill>
        </w:rPr>
        <w:br w:type="page"/>
      </w:r>
      <w:bookmarkStart w:id="126" w:name="_Toc102745882"/>
      <w:r>
        <w:rPr>
          <w:rFonts w:hint="eastAsia"/>
          <w:color w:val="000000" w:themeColor="text1"/>
          <w:highlight w:val="none"/>
          <w14:textFill>
            <w14:solidFill>
              <w14:schemeClr w14:val="tx1"/>
            </w14:solidFill>
          </w14:textFill>
        </w:rPr>
        <w:t>第二部分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通用合同条</w:t>
      </w:r>
      <w:bookmarkEnd w:id="125"/>
      <w:bookmarkStart w:id="127" w:name="_Toc337558727"/>
      <w:r>
        <w:rPr>
          <w:rFonts w:hint="eastAsia"/>
          <w:color w:val="000000" w:themeColor="text1"/>
          <w:highlight w:val="none"/>
          <w14:textFill>
            <w14:solidFill>
              <w14:schemeClr w14:val="tx1"/>
            </w14:solidFill>
          </w14:textFill>
        </w:rPr>
        <w:t>件</w:t>
      </w:r>
      <w:bookmarkEnd w:id="126"/>
    </w:p>
    <w:p>
      <w:pPr>
        <w:pStyle w:val="201"/>
        <w:rPr>
          <w:color w:val="000000" w:themeColor="text1"/>
          <w:highlight w:val="none"/>
          <w14:textFill>
            <w14:solidFill>
              <w14:schemeClr w14:val="tx1"/>
            </w14:solidFill>
          </w14:textFill>
        </w:rPr>
      </w:pPr>
      <w:bookmarkStart w:id="128" w:name="_Toc7847"/>
      <w:bookmarkStart w:id="129" w:name="_Toc4899"/>
      <w:bookmarkStart w:id="130" w:name="_Toc102745883"/>
      <w:bookmarkStart w:id="131" w:name="_Toc16506"/>
      <w:bookmarkStart w:id="132" w:name="_Toc4150"/>
      <w:bookmarkStart w:id="133" w:name="_Toc3461"/>
      <w:bookmarkStart w:id="134" w:name="_Toc351203495"/>
      <w:bookmarkStart w:id="135" w:name="_Toc1550"/>
      <w:bookmarkStart w:id="136" w:name="_Toc22426"/>
      <w:bookmarkStart w:id="137" w:name="_Toc13939"/>
      <w:r>
        <w:rPr>
          <w:rFonts w:hint="eastAsia"/>
          <w:color w:val="000000" w:themeColor="text1"/>
          <w:highlight w:val="none"/>
          <w14:textFill>
            <w14:solidFill>
              <w14:schemeClr w14:val="tx1"/>
            </w14:solidFill>
          </w14:textFill>
        </w:rPr>
        <w:t>第1条</w:t>
      </w:r>
      <w:bookmarkStart w:id="138" w:name="_Toc303538975"/>
      <w:bookmarkEnd w:id="138"/>
      <w:bookmarkStart w:id="139" w:name="_Toc303538976"/>
      <w:bookmarkEnd w:id="139"/>
      <w:bookmarkStart w:id="140" w:name="_Toc303538974"/>
      <w:bookmarkEnd w:id="140"/>
      <w:bookmarkStart w:id="141" w:name="_Toc303538972"/>
      <w:bookmarkEnd w:id="141"/>
      <w:bookmarkStart w:id="142" w:name="_Toc303538973"/>
      <w:bookmarkEnd w:id="142"/>
      <w:bookmarkStart w:id="143" w:name="_Toc296346528"/>
      <w:bookmarkStart w:id="144" w:name="_Toc296503027"/>
      <w:r>
        <w:rPr>
          <w:rFonts w:hint="eastAsia"/>
          <w:color w:val="000000" w:themeColor="text1"/>
          <w:highlight w:val="none"/>
          <w14:textFill>
            <w14:solidFill>
              <w14:schemeClr w14:val="tx1"/>
            </w14:solidFill>
          </w14:textFill>
        </w:rPr>
        <w:t xml:space="preserve"> 一般约定</w:t>
      </w:r>
      <w:bookmarkEnd w:id="127"/>
      <w:bookmarkEnd w:id="128"/>
      <w:bookmarkEnd w:id="129"/>
      <w:bookmarkEnd w:id="130"/>
      <w:bookmarkEnd w:id="131"/>
      <w:bookmarkEnd w:id="132"/>
      <w:bookmarkEnd w:id="133"/>
      <w:bookmarkEnd w:id="134"/>
      <w:bookmarkEnd w:id="135"/>
      <w:bookmarkEnd w:id="136"/>
      <w:bookmarkEnd w:id="137"/>
      <w:bookmarkEnd w:id="143"/>
      <w:bookmarkEnd w:id="144"/>
    </w:p>
    <w:p>
      <w:pPr>
        <w:pStyle w:val="177"/>
        <w:spacing w:before="156"/>
        <w:rPr>
          <w:color w:val="000000" w:themeColor="text1"/>
          <w:highlight w:val="none"/>
          <w14:textFill>
            <w14:solidFill>
              <w14:schemeClr w14:val="tx1"/>
            </w14:solidFill>
          </w14:textFill>
        </w:rPr>
      </w:pPr>
      <w:bookmarkStart w:id="145" w:name="_Toc296503028"/>
      <w:bookmarkStart w:id="146" w:name="_Toc296346529"/>
      <w:bookmarkStart w:id="147" w:name="_Toc351203496"/>
      <w:bookmarkStart w:id="148" w:name="_Toc337558728"/>
      <w:bookmarkStart w:id="149" w:name="_Toc102745884"/>
      <w:r>
        <w:rPr>
          <w:color w:val="000000" w:themeColor="text1"/>
          <w:highlight w:val="none"/>
          <w14:textFill>
            <w14:solidFill>
              <w14:schemeClr w14:val="tx1"/>
            </w14:solidFill>
          </w14:textFill>
        </w:rPr>
        <w:t xml:space="preserve">1.1 </w:t>
      </w:r>
      <w:r>
        <w:rPr>
          <w:rFonts w:hint="eastAsia"/>
          <w:color w:val="000000" w:themeColor="text1"/>
          <w:highlight w:val="none"/>
          <w14:textFill>
            <w14:solidFill>
              <w14:schemeClr w14:val="tx1"/>
            </w14:solidFill>
          </w14:textFill>
        </w:rPr>
        <w:t>词语定义</w:t>
      </w:r>
      <w:bookmarkEnd w:id="145"/>
      <w:bookmarkEnd w:id="146"/>
      <w:bookmarkEnd w:id="147"/>
      <w:bookmarkEnd w:id="148"/>
      <w:r>
        <w:rPr>
          <w:rFonts w:hint="eastAsia"/>
          <w:color w:val="000000" w:themeColor="text1"/>
          <w:highlight w:val="none"/>
          <w14:textFill>
            <w14:solidFill>
              <w14:schemeClr w14:val="tx1"/>
            </w14:solidFill>
          </w14:textFill>
        </w:rPr>
        <w:t>和解释</w:t>
      </w:r>
      <w:bookmarkEnd w:id="149"/>
    </w:p>
    <w:p>
      <w:pPr>
        <w:autoSpaceDE w:val="0"/>
        <w:autoSpaceDN w:val="0"/>
        <w:adjustRightInd w:val="0"/>
        <w:snapToGrid w:val="0"/>
        <w:spacing w:line="360" w:lineRule="auto"/>
        <w:ind w:firstLine="480" w:firstLineChars="200"/>
        <w:jc w:val="left"/>
        <w:rPr>
          <w:rFonts w:ascii="宋体" w:hAnsi="仿宋_GB2312" w:cs="仿宋_GB2312"/>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合同协议书、</w:t>
      </w:r>
      <w:r>
        <w:rPr>
          <w:rFonts w:hint="eastAsia" w:ascii="宋体" w:hAnsi="仿宋_GB2312" w:cs="仿宋_GB2312"/>
          <w:color w:val="000000" w:themeColor="text1"/>
          <w:kern w:val="0"/>
          <w:sz w:val="24"/>
          <w:szCs w:val="28"/>
          <w:highlight w:val="none"/>
          <w14:textFill>
            <w14:solidFill>
              <w14:schemeClr w14:val="tx1"/>
            </w14:solidFill>
          </w14:textFill>
        </w:rPr>
        <w:t>通用合同条件、专用合同条件中的下列词语具有本款所赋予的含义。</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 合同</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1.1.1.2 合同协议书：是指构成合同的由发包人和承包人共同签署的称为“合同协议书”的书面文件。</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1.1.1.3 中标通知书：是指构成合同的由发包人通知承包人中标的书面文件。中标通知书随附的澄清、说明、补正事项纪要等，是中标通知书的组成部分。</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1.1.1.4 投标函：是指构成合同的由承包人填写并签署的用于投标的称为“投标函”的文件。</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1.1.1.5 投标函附录：是指构成合同的附在投标函后的称为“投标函附录”的文件。</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1.1.1.6 《发包人要求》：是指构成合同文件组成部分的名为《发包人要求》的文件，包括招标项目的目的、范围、设计与其他技术标准和要求，以及合同双方当事人约定对其所作的修改或补充。</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1.1.1.7 项目清单：是指发包人提供的载明工程总承包项目勘察费（如果有）、</w:t>
      </w:r>
      <w:r>
        <w:rPr>
          <w:rFonts w:hint="eastAsia"/>
          <w:color w:val="000000" w:themeColor="text1"/>
          <w:szCs w:val="28"/>
          <w:highlight w:val="none"/>
          <w14:textFill>
            <w14:solidFill>
              <w14:schemeClr w14:val="tx1"/>
            </w14:solidFill>
          </w14:textFill>
        </w:rPr>
        <w:sym w:font="Wingdings 2" w:char="F0A3"/>
      </w:r>
      <w:r>
        <w:rPr>
          <w:rFonts w:hint="eastAsia"/>
          <w:color w:val="000000" w:themeColor="text1"/>
          <w:highlight w:val="none"/>
          <w14:textFill>
            <w14:solidFill>
              <w14:schemeClr w14:val="tx1"/>
            </w14:solidFill>
          </w14:textFill>
        </w:rPr>
        <w:t>设计费、建筑安装工程费、设备购置费、暂估价、暂列金额和双方约定的其他费用的名称和相应数量等内容的项目明细。</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1.1.1.8 价格清单：是指构成合同文件组成部分的由承包人按规定的格式和要求填写并标明价格的清单。</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1.1.1.9</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承包人建议书：指构成合同文件组成部分的名为承包人建议书的文件。承包人建议书由承包人随投标函一起提交。承包人建议书应包括承包人的设计图纸及相应说明等设计文件。</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1.1.1.10 其他合同文件：是指经合同双方当事人确认构成合同文件的其他文件。</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color w:val="000000" w:themeColor="text1"/>
          <w:highlight w:val="none"/>
          <w14:textFill>
            <w14:solidFill>
              <w14:schemeClr w14:val="tx1"/>
            </w14:solidFill>
          </w14:textFill>
        </w:rPr>
        <w:t>合同当事人及其他相关方</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1.1.2.1 合同当事人：是指发包人和（或）承包人。</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1.1.2.2 发包人：是指与承包人订立合同协议书的当事人及取得该当事人资格的合法继受人。本合同中“因发包人原因”里的“发包人”包括发包人及所有发包人人员。</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1.1.2.3 承包人：是指与发包人订立合同协议书的当事人及取得该当事人资格的合法继受人。</w:t>
      </w:r>
    </w:p>
    <w:p>
      <w:pPr>
        <w:pStyle w:val="18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1.1.2.4 </w:t>
      </w:r>
      <w:r>
        <w:rPr>
          <w:rFonts w:hint="eastAsia"/>
          <w:color w:val="000000" w:themeColor="text1"/>
          <w:highlight w:val="none"/>
          <w14:textFill>
            <w14:solidFill>
              <w14:schemeClr w14:val="tx1"/>
            </w14:solidFill>
          </w14:textFill>
        </w:rPr>
        <w:t>联合体：是指经发包人同意由两个或两个以上法人或者其他组织组成的，作为承包人的临时机构。</w:t>
      </w:r>
    </w:p>
    <w:p>
      <w:pPr>
        <w:pStyle w:val="184"/>
        <w:ind w:firstLine="480"/>
        <w:rPr>
          <w:color w:val="000000" w:themeColor="text1"/>
          <w:highlight w:val="none"/>
          <w14:textFill>
            <w14:solidFill>
              <w14:schemeClr w14:val="tx1"/>
            </w14:solidFill>
          </w14:textFill>
        </w:rPr>
      </w:pPr>
      <w:bookmarkStart w:id="150" w:name="_Ref4420046"/>
      <w:r>
        <w:rPr>
          <w:color w:val="000000" w:themeColor="text1"/>
          <w:highlight w:val="none"/>
          <w14:textFill>
            <w14:solidFill>
              <w14:schemeClr w14:val="tx1"/>
            </w14:solidFill>
          </w14:textFill>
        </w:rPr>
        <w:t xml:space="preserve">1.1.2.5 </w:t>
      </w:r>
      <w:r>
        <w:rPr>
          <w:rFonts w:hint="eastAsia"/>
          <w:color w:val="000000" w:themeColor="text1"/>
          <w:highlight w:val="none"/>
          <w14:textFill>
            <w14:solidFill>
              <w14:schemeClr w14:val="tx1"/>
            </w14:solidFill>
          </w14:textFill>
        </w:rPr>
        <w:t>发包人代表：是指由发包人任命并派驻工作现场，在发包人授权范围内行使发包人权利和履行发包人义务的人。</w:t>
      </w:r>
    </w:p>
    <w:p>
      <w:pPr>
        <w:pStyle w:val="184"/>
        <w:ind w:firstLine="480"/>
        <w:rPr>
          <w:color w:val="000000" w:themeColor="text1"/>
          <w:highlight w:val="none"/>
          <w14:textFill>
            <w14:solidFill>
              <w14:schemeClr w14:val="tx1"/>
            </w14:solidFill>
          </w14:textFill>
        </w:rPr>
      </w:pPr>
      <w:bookmarkStart w:id="151" w:name="_Ref4756982"/>
      <w:r>
        <w:rPr>
          <w:color w:val="000000" w:themeColor="text1"/>
          <w:highlight w:val="none"/>
          <w14:textFill>
            <w14:solidFill>
              <w14:schemeClr w14:val="tx1"/>
            </w14:solidFill>
          </w14:textFill>
        </w:rPr>
        <w:t xml:space="preserve">1.1.2.6 </w:t>
      </w:r>
      <w:r>
        <w:rPr>
          <w:rFonts w:hint="eastAsia"/>
          <w:color w:val="000000" w:themeColor="text1"/>
          <w:highlight w:val="none"/>
          <w14:textFill>
            <w14:solidFill>
              <w14:schemeClr w14:val="tx1"/>
            </w14:solidFill>
          </w14:textFill>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150"/>
      <w:bookmarkEnd w:id="151"/>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1.1.2.7</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工程总承包项目经理：是指由承包人任命的，在承包人授权范围内负责合同履行的管理，且按照法律规定具有相应资格的项目负责人。</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1.1.2.8 设计负责人：指承包人指定负责组织指导协调设计工作并具有相应资格的人员。</w:t>
      </w:r>
    </w:p>
    <w:p>
      <w:pPr>
        <w:pStyle w:val="184"/>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1.1.2.9 </w:t>
      </w:r>
      <w:r>
        <w:rPr>
          <w:rFonts w:hint="eastAsia"/>
          <w:color w:val="000000" w:themeColor="text1"/>
          <w:highlight w:val="none"/>
          <w14:textFill>
            <w14:solidFill>
              <w14:schemeClr w14:val="tx1"/>
            </w14:solidFill>
          </w14:textFill>
        </w:rPr>
        <w:t>采购负责人：是指承包人指定负责组织、指导、协调采购工作的人员。</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1.1.2.10 施工负责人：是指承包人指定负责组织指导协调施工工作并具有相应资格的人员。</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1.1.2.11 分包人：是指按照法律规定和合同约定，分包部分工程或工作，并与承包人签订分包合同的具有相应资质的法人或其他组织。</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 工程和设备</w:t>
      </w:r>
    </w:p>
    <w:p>
      <w:pPr>
        <w:pStyle w:val="184"/>
        <w:ind w:firstLine="480"/>
        <w:rPr>
          <w:color w:val="000000" w:themeColor="text1"/>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1.1.3.1 工程：</w:t>
      </w:r>
      <w:r>
        <w:rPr>
          <w:rFonts w:hint="eastAsia"/>
          <w:color w:val="000000" w:themeColor="text1"/>
          <w:highlight w:val="none"/>
          <w14:textFill>
            <w14:solidFill>
              <w14:schemeClr w14:val="tx1"/>
            </w14:solidFill>
          </w14:textFill>
        </w:rPr>
        <w:t>是指与合同协议书中工程承包范围对应的永久工程和（或）临时工程。</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1.1.3.2 工程实施：是指进行工程的设计、采购、施工和竣工以及对工程任何缺陷的修复。</w:t>
      </w:r>
    </w:p>
    <w:p>
      <w:pPr>
        <w:pStyle w:val="184"/>
        <w:ind w:firstLine="480"/>
        <w:rPr>
          <w:rFonts w:hAnsi="仿宋_GB2312" w:cs="仿宋_GB2312"/>
          <w:color w:val="000000" w:themeColor="text1"/>
          <w:kern w:val="0"/>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1.1.3.3 永久工程：是指按合同约定建造并移交给发包人的工程，包括工程设备。</w:t>
      </w:r>
    </w:p>
    <w:p>
      <w:pPr>
        <w:pStyle w:val="184"/>
        <w:ind w:firstLine="480"/>
        <w:rPr>
          <w:rFonts w:hAnsi="仿宋_GB2312" w:cs="仿宋_GB2312"/>
          <w:color w:val="000000" w:themeColor="text1"/>
          <w:kern w:val="0"/>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1.1.3.4 临时工程：是指为完成合同约定的永久工程所修建的各类临时性工程，不包括施工设备。</w:t>
      </w:r>
    </w:p>
    <w:p>
      <w:pPr>
        <w:pStyle w:val="184"/>
        <w:ind w:firstLine="480"/>
        <w:rPr>
          <w:rFonts w:hAnsi="仿宋_GB2312" w:cs="仿宋_GB2312"/>
          <w:color w:val="000000" w:themeColor="text1"/>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1.1.3.5</w:t>
      </w:r>
      <w:r>
        <w:rPr>
          <w:rFonts w:hAnsi="仿宋_GB2312" w:cs="仿宋_GB2312"/>
          <w:color w:val="000000" w:themeColor="text1"/>
          <w:kern w:val="0"/>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单位/</w:t>
      </w:r>
      <w:r>
        <w:rPr>
          <w:rFonts w:hint="eastAsia" w:hAnsi="仿宋_GB2312" w:cs="仿宋_GB2312"/>
          <w:color w:val="000000" w:themeColor="text1"/>
          <w:kern w:val="0"/>
          <w:highlight w:val="none"/>
          <w14:textFill>
            <w14:solidFill>
              <w14:schemeClr w14:val="tx1"/>
            </w14:solidFill>
          </w14:textFill>
        </w:rPr>
        <w:t>区段工程：是在专用合同条件中指明特定范围的能单独接收并使用的永久工程。</w:t>
      </w:r>
    </w:p>
    <w:p>
      <w:pPr>
        <w:pStyle w:val="184"/>
        <w:ind w:firstLine="480"/>
        <w:rPr>
          <w:rFonts w:hAnsi="仿宋_GB2312" w:cs="仿宋_GB2312"/>
          <w:color w:val="000000" w:themeColor="text1"/>
          <w:kern w:val="0"/>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1.1.3.6 工程设备：是指构成永久工程的机电设备、仪器装置、运载工具及其他类似的设备和装置，包括其配件及备品、备件、易损易耗件等。</w:t>
      </w:r>
    </w:p>
    <w:p>
      <w:pPr>
        <w:pStyle w:val="184"/>
        <w:ind w:firstLine="480"/>
        <w:rPr>
          <w:rFonts w:hAnsi="仿宋_GB2312" w:cs="仿宋_GB2312"/>
          <w:color w:val="000000" w:themeColor="text1"/>
          <w:kern w:val="0"/>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1.1.3.7 施工设备：是指为完成合同约定的各项工作所需的设备、器具和其他物品，不包括工程设备、临时工程和材料。</w:t>
      </w:r>
    </w:p>
    <w:p>
      <w:pPr>
        <w:pStyle w:val="184"/>
        <w:ind w:firstLine="480"/>
        <w:rPr>
          <w:rFonts w:hAnsi="仿宋_GB2312" w:cs="仿宋_GB2312"/>
          <w:color w:val="000000" w:themeColor="text1"/>
          <w:kern w:val="0"/>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1.1.3.8 临时设施：是指为完成合同约定的各项工作所服务的临时性生产和生活设施。</w:t>
      </w:r>
    </w:p>
    <w:p>
      <w:pPr>
        <w:pStyle w:val="184"/>
        <w:ind w:firstLine="480"/>
        <w:rPr>
          <w:color w:val="000000" w:themeColor="text1"/>
          <w:highlight w:val="none"/>
          <w14:textFill>
            <w14:solidFill>
              <w14:schemeClr w14:val="tx1"/>
            </w14:solidFill>
          </w14:textFill>
        </w:rPr>
      </w:pPr>
      <w:r>
        <w:rPr>
          <w:rFonts w:hint="eastAsia" w:hAnsi="仿宋_GB2312" w:cs="仿宋_GB2312"/>
          <w:color w:val="000000" w:themeColor="text1"/>
          <w:kern w:val="0"/>
          <w:highlight w:val="none"/>
          <w14:textFill>
            <w14:solidFill>
              <w14:schemeClr w14:val="tx1"/>
            </w14:solidFill>
          </w14:textFill>
        </w:rPr>
        <w:t>1.1.3.9 施工现场：</w:t>
      </w:r>
      <w:r>
        <w:rPr>
          <w:rFonts w:hint="eastAsia"/>
          <w:color w:val="000000" w:themeColor="text1"/>
          <w:highlight w:val="none"/>
          <w14:textFill>
            <w14:solidFill>
              <w14:schemeClr w14:val="tx1"/>
            </w14:solidFill>
          </w14:textFill>
        </w:rPr>
        <w:t>是指用于工程施工的场所，以及在专用合同条件中指明作为施工场所组成部分的其他场所，包括永久占地和临时占地。</w:t>
      </w:r>
    </w:p>
    <w:p>
      <w:pPr>
        <w:pStyle w:val="184"/>
        <w:ind w:firstLine="480"/>
        <w:rPr>
          <w:rFonts w:hAnsi="仿宋_GB2312" w:cs="仿宋_GB2312"/>
          <w:color w:val="000000" w:themeColor="text1"/>
          <w:highlight w:val="none"/>
          <w:lang w:val="zh-CN"/>
          <w14:textFill>
            <w14:solidFill>
              <w14:schemeClr w14:val="tx1"/>
            </w14:solidFill>
          </w14:textFill>
        </w:rPr>
      </w:pPr>
      <w:r>
        <w:rPr>
          <w:rFonts w:hint="eastAsia" w:hAnsi="仿宋_GB2312" w:cs="仿宋_GB2312"/>
          <w:color w:val="000000" w:themeColor="text1"/>
          <w:highlight w:val="none"/>
          <w14:textFill>
            <w14:solidFill>
              <w14:schemeClr w14:val="tx1"/>
            </w14:solidFill>
          </w14:textFill>
        </w:rPr>
        <w:t>1.1.3.10</w:t>
      </w:r>
      <w:r>
        <w:rPr>
          <w:rFonts w:hAnsi="仿宋_GB2312" w:cs="仿宋_GB2312"/>
          <w:color w:val="000000" w:themeColor="text1"/>
          <w:highlight w:val="none"/>
          <w14:textFill>
            <w14:solidFill>
              <w14:schemeClr w14:val="tx1"/>
            </w14:solidFill>
          </w14:textFill>
        </w:rPr>
        <w:t xml:space="preserve"> </w:t>
      </w:r>
      <w:r>
        <w:rPr>
          <w:rFonts w:hint="eastAsia" w:hAnsi="仿宋_GB2312" w:cs="仿宋_GB2312"/>
          <w:color w:val="000000" w:themeColor="text1"/>
          <w:highlight w:val="none"/>
          <w14:textFill>
            <w14:solidFill>
              <w14:schemeClr w14:val="tx1"/>
            </w14:solidFill>
          </w14:textFill>
        </w:rPr>
        <w:t>永久占地：是</w:t>
      </w:r>
      <w:r>
        <w:rPr>
          <w:rFonts w:hint="eastAsia" w:hAnsi="仿宋_GB2312" w:cs="仿宋_GB2312"/>
          <w:color w:val="000000" w:themeColor="text1"/>
          <w:highlight w:val="none"/>
          <w:lang w:val="zh-CN"/>
          <w14:textFill>
            <w14:solidFill>
              <w14:schemeClr w14:val="tx1"/>
            </w14:solidFill>
          </w14:textFill>
        </w:rPr>
        <w:t>指专用合同条件中指明为实施合同工程需永久占用的土地。</w:t>
      </w:r>
    </w:p>
    <w:p>
      <w:pPr>
        <w:pStyle w:val="184"/>
        <w:ind w:firstLine="480"/>
        <w:rPr>
          <w:rFonts w:hAnsi="仿宋_GB2312" w:cs="仿宋_GB2312"/>
          <w:color w:val="000000" w:themeColor="text1"/>
          <w:highlight w:val="none"/>
          <w:lang w:val="zh-CN"/>
          <w14:textFill>
            <w14:solidFill>
              <w14:schemeClr w14:val="tx1"/>
            </w14:solidFill>
          </w14:textFill>
        </w:rPr>
      </w:pPr>
      <w:r>
        <w:rPr>
          <w:rFonts w:hint="eastAsia" w:hAnsi="仿宋_GB2312" w:cs="仿宋_GB2312"/>
          <w:color w:val="000000" w:themeColor="text1"/>
          <w:highlight w:val="none"/>
          <w14:textFill>
            <w14:solidFill>
              <w14:schemeClr w14:val="tx1"/>
            </w14:solidFill>
          </w14:textFill>
        </w:rPr>
        <w:t xml:space="preserve">1.1.3.11 </w:t>
      </w:r>
      <w:r>
        <w:rPr>
          <w:rFonts w:hint="eastAsia" w:hAnsi="仿宋_GB2312" w:cs="仿宋_GB2312"/>
          <w:color w:val="000000" w:themeColor="text1"/>
          <w:highlight w:val="none"/>
          <w:lang w:val="zh-CN"/>
          <w14:textFill>
            <w14:solidFill>
              <w14:schemeClr w14:val="tx1"/>
            </w14:solidFill>
          </w14:textFill>
        </w:rPr>
        <w:t>临时</w:t>
      </w:r>
      <w:r>
        <w:rPr>
          <w:rFonts w:hint="eastAsia" w:hAnsi="仿宋_GB2312" w:cs="仿宋_GB2312"/>
          <w:color w:val="000000" w:themeColor="text1"/>
          <w:highlight w:val="none"/>
          <w14:textFill>
            <w14:solidFill>
              <w14:schemeClr w14:val="tx1"/>
            </w14:solidFill>
          </w14:textFill>
        </w:rPr>
        <w:t>占地</w:t>
      </w:r>
      <w:r>
        <w:rPr>
          <w:rFonts w:hint="eastAsia" w:hAnsi="仿宋_GB2312" w:cs="仿宋_GB2312"/>
          <w:color w:val="000000" w:themeColor="text1"/>
          <w:highlight w:val="none"/>
          <w:lang w:val="zh-CN"/>
          <w14:textFill>
            <w14:solidFill>
              <w14:schemeClr w14:val="tx1"/>
            </w14:solidFill>
          </w14:textFill>
        </w:rPr>
        <w:t>：是指专用合同条件中指明为实施合同工程需临时占用的土地。</w:t>
      </w:r>
    </w:p>
    <w:p>
      <w:pPr>
        <w:pStyle w:val="169"/>
        <w:spacing w:before="156"/>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日期、检验和竣工</w:t>
      </w:r>
    </w:p>
    <w:p>
      <w:pPr>
        <w:pStyle w:val="184"/>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1.1.4.1</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开始工作通知：是指工程师按第8</w:t>
      </w:r>
      <w:r>
        <w:rPr>
          <w:color w:val="000000" w:themeColor="text1"/>
          <w:highlight w:val="none"/>
          <w:lang w:val="zh-CN"/>
          <w14:textFill>
            <w14:solidFill>
              <w14:schemeClr w14:val="tx1"/>
            </w14:solidFill>
          </w14:textFill>
        </w:rPr>
        <w:t>.1.2</w:t>
      </w:r>
      <w:r>
        <w:rPr>
          <w:rFonts w:hint="eastAsia"/>
          <w:color w:val="000000" w:themeColor="text1"/>
          <w:highlight w:val="none"/>
          <w:lang w:val="zh-CN"/>
          <w14:textFill>
            <w14:solidFill>
              <w14:schemeClr w14:val="tx1"/>
            </w14:solidFill>
          </w14:textFill>
        </w:rPr>
        <w:t>款[开始工作通知]的约定通知承包人开始工作的函件。</w:t>
      </w:r>
    </w:p>
    <w:p>
      <w:pPr>
        <w:pStyle w:val="184"/>
        <w:ind w:firstLine="480"/>
        <w:rPr>
          <w:color w:val="000000" w:themeColor="text1"/>
          <w:highlight w:val="none"/>
          <w14:textFill>
            <w14:solidFill>
              <w14:schemeClr w14:val="tx1"/>
            </w14:solidFill>
          </w14:textFill>
        </w:rPr>
      </w:pPr>
      <w:r>
        <w:rPr>
          <w:rFonts w:hint="eastAsia"/>
          <w:color w:val="000000" w:themeColor="text1"/>
          <w:kern w:val="0"/>
          <w:highlight w:val="none"/>
          <w:lang w:val="zh-CN"/>
          <w14:textFill>
            <w14:solidFill>
              <w14:schemeClr w14:val="tx1"/>
            </w14:solidFill>
          </w14:textFill>
        </w:rPr>
        <w:t>1.1.4.2</w:t>
      </w:r>
      <w:r>
        <w:rPr>
          <w:color w:val="000000" w:themeColor="text1"/>
          <w:kern w:val="0"/>
          <w:highlight w:val="none"/>
          <w:lang w:val="zh-CN"/>
          <w14:textFill>
            <w14:solidFill>
              <w14:schemeClr w14:val="tx1"/>
            </w14:solidFill>
          </w14:textFill>
        </w:rPr>
        <w:t xml:space="preserve"> </w:t>
      </w:r>
      <w:r>
        <w:rPr>
          <w:rFonts w:hint="eastAsia"/>
          <w:color w:val="000000" w:themeColor="text1"/>
          <w:kern w:val="0"/>
          <w:highlight w:val="none"/>
          <w:lang w:val="zh-CN"/>
          <w14:textFill>
            <w14:solidFill>
              <w14:schemeClr w14:val="tx1"/>
            </w14:solidFill>
          </w14:textFill>
        </w:rPr>
        <w:t>开始工作日期：</w:t>
      </w:r>
      <w:r>
        <w:rPr>
          <w:rFonts w:hint="eastAsia"/>
          <w:color w:val="000000" w:themeColor="text1"/>
          <w:highlight w:val="none"/>
          <w14:textFill>
            <w14:solidFill>
              <w14:schemeClr w14:val="tx1"/>
            </w14:solidFill>
          </w14:textFill>
        </w:rPr>
        <w:t>包括计划开始工作日期和实际开始工作日期。计划开始工作日期是指合同协议书约定的开始工作日期；实际开始工作日期是指工程师按照第8</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款[开始工作]约定发出的符合法律规定的开始工作通知中载明的开始工作日期。</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1.1.4.3</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184"/>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1.1.4.4</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竣工日期：</w:t>
      </w:r>
      <w:r>
        <w:rPr>
          <w:rFonts w:hint="eastAsia"/>
          <w:color w:val="000000" w:themeColor="text1"/>
          <w:highlight w:val="none"/>
          <w14:textFill>
            <w14:solidFill>
              <w14:schemeClr w14:val="tx1"/>
            </w14:solidFill>
          </w14:textFill>
        </w:rPr>
        <w:t>包括计划竣工日期和实际竣工日期。计划竣工日期是指合同协议书约定的竣工日期；实际竣工日期按照第8.2款[竣工日期]的约定确定</w:t>
      </w:r>
      <w:r>
        <w:rPr>
          <w:rFonts w:hint="eastAsia"/>
          <w:color w:val="000000" w:themeColor="text1"/>
          <w:highlight w:val="none"/>
          <w:lang w:val="zh-CN"/>
          <w14:textFill>
            <w14:solidFill>
              <w14:schemeClr w14:val="tx1"/>
            </w14:solidFill>
          </w14:textFill>
        </w:rPr>
        <w:t>。</w:t>
      </w:r>
    </w:p>
    <w:p>
      <w:pPr>
        <w:pStyle w:val="184"/>
        <w:ind w:firstLine="480"/>
        <w:rPr>
          <w:color w:val="000000" w:themeColor="text1"/>
          <w:highlight w:val="none"/>
          <w14:textFill>
            <w14:solidFill>
              <w14:schemeClr w14:val="tx1"/>
            </w14:solidFill>
          </w14:textFill>
        </w:rPr>
      </w:pPr>
      <w:r>
        <w:rPr>
          <w:rFonts w:hint="eastAsia"/>
          <w:color w:val="000000" w:themeColor="text1"/>
          <w:kern w:val="0"/>
          <w:highlight w:val="none"/>
          <w:lang w:val="zh-CN"/>
          <w14:textFill>
            <w14:solidFill>
              <w14:schemeClr w14:val="tx1"/>
            </w14:solidFill>
          </w14:textFill>
        </w:rPr>
        <w:t>1.1.4.5</w:t>
      </w:r>
      <w:r>
        <w:rPr>
          <w:color w:val="000000" w:themeColor="text1"/>
          <w:kern w:val="0"/>
          <w:highlight w:val="none"/>
          <w:lang w:val="zh-CN"/>
          <w14:textFill>
            <w14:solidFill>
              <w14:schemeClr w14:val="tx1"/>
            </w14:solidFill>
          </w14:textFill>
        </w:rPr>
        <w:t xml:space="preserve"> </w:t>
      </w:r>
      <w:r>
        <w:rPr>
          <w:rFonts w:hint="eastAsia"/>
          <w:color w:val="000000" w:themeColor="text1"/>
          <w:kern w:val="0"/>
          <w:highlight w:val="none"/>
          <w:lang w:val="zh-CN"/>
          <w14:textFill>
            <w14:solidFill>
              <w14:schemeClr w14:val="tx1"/>
            </w14:solidFill>
          </w14:textFill>
        </w:rPr>
        <w:t>工期：是</w:t>
      </w:r>
      <w:r>
        <w:rPr>
          <w:rFonts w:hint="eastAsia"/>
          <w:color w:val="000000" w:themeColor="text1"/>
          <w:highlight w:val="none"/>
          <w14:textFill>
            <w14:solidFill>
              <w14:schemeClr w14:val="tx1"/>
            </w14:solidFill>
          </w14:textFill>
        </w:rPr>
        <w:t>指在合同协议书约定的承包人完成合同工作所需的期限，包括按照合同约定所作的期限变更及按合同约定承包人有权取得的工期延长。</w:t>
      </w:r>
    </w:p>
    <w:p>
      <w:pPr>
        <w:pStyle w:val="184"/>
        <w:ind w:firstLine="480"/>
        <w:rPr>
          <w:color w:val="000000" w:themeColor="text1"/>
          <w:kern w:val="0"/>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1.1.4.6</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缺陷责任期：</w:t>
      </w:r>
      <w:r>
        <w:rPr>
          <w:rFonts w:hint="eastAsia"/>
          <w:color w:val="000000" w:themeColor="text1"/>
          <w:kern w:val="0"/>
          <w:highlight w:val="none"/>
          <w:lang w:val="zh-CN"/>
          <w14:textFill>
            <w14:solidFill>
              <w14:schemeClr w14:val="tx1"/>
            </w14:solidFill>
          </w14:textFill>
        </w:rPr>
        <w:t>是指发包人预留工程质量保证金以保证承包人履行第</w:t>
      </w:r>
      <w:r>
        <w:rPr>
          <w:color w:val="000000" w:themeColor="text1"/>
          <w:kern w:val="0"/>
          <w:highlight w:val="none"/>
          <w:lang w:val="zh-CN"/>
          <w14:textFill>
            <w14:solidFill>
              <w14:schemeClr w14:val="tx1"/>
            </w14:solidFill>
          </w14:textFill>
        </w:rPr>
        <w:t>11.3款[缺陷调查]下质量缺陷责任的期限。</w:t>
      </w:r>
    </w:p>
    <w:p>
      <w:pPr>
        <w:pStyle w:val="184"/>
        <w:ind w:firstLine="480"/>
        <w:rPr>
          <w:color w:val="000000" w:themeColor="text1"/>
          <w:kern w:val="0"/>
          <w:highlight w:val="none"/>
          <w:lang w:val="zh-CN"/>
          <w14:textFill>
            <w14:solidFill>
              <w14:schemeClr w14:val="tx1"/>
            </w14:solidFill>
          </w14:textFill>
        </w:rPr>
      </w:pPr>
      <w:r>
        <w:rPr>
          <w:color w:val="000000" w:themeColor="text1"/>
          <w:kern w:val="0"/>
          <w:highlight w:val="none"/>
          <w:lang w:val="zh-CN"/>
          <w14:textFill>
            <w14:solidFill>
              <w14:schemeClr w14:val="tx1"/>
            </w14:solidFill>
          </w14:textFill>
        </w:rPr>
        <w:t xml:space="preserve">1.1.4.7 </w:t>
      </w:r>
      <w:r>
        <w:rPr>
          <w:rFonts w:hint="eastAsia"/>
          <w:color w:val="000000" w:themeColor="text1"/>
          <w:kern w:val="0"/>
          <w:highlight w:val="none"/>
          <w:lang w:val="zh-CN"/>
          <w14:textFill>
            <w14:solidFill>
              <w14:schemeClr w14:val="tx1"/>
            </w14:solidFill>
          </w14:textFill>
        </w:rPr>
        <w:t>保修期：是指承包人按照合同约定和法律规定对工程质量承担保修责任的期限，该期限自缺陷责任期起算之日起计算。</w:t>
      </w:r>
    </w:p>
    <w:p>
      <w:pPr>
        <w:pStyle w:val="184"/>
        <w:ind w:firstLine="480"/>
        <w:rPr>
          <w:color w:val="000000" w:themeColor="text1"/>
          <w:kern w:val="0"/>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1.1.4.8</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基准日期：</w:t>
      </w:r>
      <w:r>
        <w:rPr>
          <w:rFonts w:hint="eastAsia"/>
          <w:color w:val="000000" w:themeColor="text1"/>
          <w:kern w:val="0"/>
          <w:highlight w:val="none"/>
          <w:lang w:val="zh-CN"/>
          <w14:textFill>
            <w14:solidFill>
              <w14:schemeClr w14:val="tx1"/>
            </w14:solidFill>
          </w14:textFill>
        </w:rPr>
        <w:t>招标发包的工程以投标截止日前</w:t>
      </w:r>
      <w:r>
        <w:rPr>
          <w:color w:val="000000" w:themeColor="text1"/>
          <w:kern w:val="0"/>
          <w:highlight w:val="none"/>
          <w:lang w:val="zh-CN"/>
          <w14:textFill>
            <w14:solidFill>
              <w14:schemeClr w14:val="tx1"/>
            </w14:solidFill>
          </w14:textFill>
        </w:rPr>
        <w:t>28天的日期为基准日期，直接发包的工程以合同订立日前28天的日期为基准日期。</w:t>
      </w:r>
    </w:p>
    <w:p>
      <w:pPr>
        <w:pStyle w:val="184"/>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1.1.4.9</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天：除特别指明外，指日历天。合同中按天计算时间的，开始当天不计入，从次日开始计算。期限最后一天的截止时间为当天24:00。</w:t>
      </w:r>
    </w:p>
    <w:p>
      <w:pPr>
        <w:pStyle w:val="184"/>
        <w:ind w:firstLine="480"/>
        <w:rPr>
          <w:color w:val="000000" w:themeColor="text1"/>
          <w:kern w:val="0"/>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1.1.4.10</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竣工试验：</w:t>
      </w:r>
      <w:r>
        <w:rPr>
          <w:rFonts w:hint="eastAsia"/>
          <w:color w:val="000000" w:themeColor="text1"/>
          <w:kern w:val="0"/>
          <w:highlight w:val="none"/>
          <w:lang w:val="zh-CN"/>
          <w14:textFill>
            <w14:solidFill>
              <w14:schemeClr w14:val="tx1"/>
            </w14:solidFill>
          </w14:textFill>
        </w:rPr>
        <w:t>是指在工程竣工验收前，根据第</w:t>
      </w:r>
      <w:r>
        <w:rPr>
          <w:color w:val="000000" w:themeColor="text1"/>
          <w:kern w:val="0"/>
          <w:highlight w:val="none"/>
          <w:lang w:val="zh-CN"/>
          <w14:textFill>
            <w14:solidFill>
              <w14:schemeClr w14:val="tx1"/>
            </w14:solidFill>
          </w14:textFill>
        </w:rPr>
        <w:t>9条[竣工试验]要求进行的试验。</w:t>
      </w:r>
    </w:p>
    <w:p>
      <w:pPr>
        <w:pStyle w:val="184"/>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1.1.4.11</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竣工验收：是指承包人完成了合同约定的各项内容后，发包人按合同要求进行的验收。</w:t>
      </w:r>
    </w:p>
    <w:p>
      <w:pPr>
        <w:pStyle w:val="184"/>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1.1.4.12</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竣工后试验：是指在工程竣工验收后，根据第</w:t>
      </w:r>
      <w:r>
        <w:rPr>
          <w:color w:val="000000" w:themeColor="text1"/>
          <w:highlight w:val="none"/>
          <w:lang w:val="zh-CN"/>
          <w14:textFill>
            <w14:solidFill>
              <w14:schemeClr w14:val="tx1"/>
            </w14:solidFill>
          </w14:textFill>
        </w:rPr>
        <w:t>12条[竣工</w:t>
      </w:r>
      <w:r>
        <w:rPr>
          <w:rFonts w:hint="eastAsia"/>
          <w:color w:val="000000" w:themeColor="text1"/>
          <w:highlight w:val="none"/>
          <w:lang w:val="zh-CN"/>
          <w14:textFill>
            <w14:solidFill>
              <w14:schemeClr w14:val="tx1"/>
            </w14:solidFill>
          </w14:textFill>
        </w:rPr>
        <w:t>后试验</w:t>
      </w:r>
      <w:r>
        <w:rPr>
          <w:color w:val="000000" w:themeColor="text1"/>
          <w:highlight w:val="none"/>
          <w:lang w:val="zh-CN"/>
          <w14:textFill>
            <w14:solidFill>
              <w14:schemeClr w14:val="tx1"/>
            </w14:solidFill>
          </w14:textFill>
        </w:rPr>
        <w:t>]约定进行的试验。</w:t>
      </w:r>
    </w:p>
    <w:p>
      <w:pPr>
        <w:pStyle w:val="169"/>
        <w:spacing w:before="156"/>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1.1.5</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合同价格和费用</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签约合同价：是指发包人和承包人在合同协议书中确定的总金额，包括暂估价及暂列金额等。</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1.1.5.2</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合同价格：是指发包人用于支付承包人按照合同约定完成承包范围内全部工作的金额，包括合同履行过程中按合同约定发生的价格变化。</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1.1.5.3</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费用：是指为履行合同所发生的或将要发生的所有合理开支，包括管理费和应分摊的其他费用，但不包括利润。</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1.1.5.4 人工费：是指支付给直接从事建筑安装工程施工作业的建筑工人的各项费用。</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1.1.5.5 暂估价：</w:t>
      </w:r>
      <w:bookmarkStart w:id="152" w:name="_Hlk18973781"/>
      <w:r>
        <w:rPr>
          <w:rFonts w:hint="eastAsia"/>
          <w:color w:val="000000" w:themeColor="text1"/>
          <w:highlight w:val="none"/>
          <w14:textFill>
            <w14:solidFill>
              <w14:schemeClr w14:val="tx1"/>
            </w14:solidFill>
          </w14:textFill>
        </w:rPr>
        <w:t>是指发包人在项目清单中给定的，用于支付必然发生但暂时不能确定价格的专业服务、材料、设备、专业工程的金额。</w:t>
      </w:r>
      <w:bookmarkEnd w:id="152"/>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1.1.5.6 暂列金额：是指发包人在项目清单中给定的，用于在订立协议书时尚未确定或不可预见变更的设计、施工及其所需材料、工程设备、服务等的金额，包括以计日工方式支付的金额。</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1.1.5.7 计日工：是指合同履行过程中，承包人完成发包人提出的零星工作或需要采用计日工计价的变更工作时，按合同中约定的单价计价的一种方式。</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1.1.5.8 质量保证金：是指按第14.6款[质量保证金]约定承包人用于保证其在缺陷责任期内履行缺陷修复义务的担保。</w:t>
      </w:r>
    </w:p>
    <w:p>
      <w:pPr>
        <w:pStyle w:val="169"/>
        <w:spacing w:before="156"/>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1.1.6</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其他</w:t>
      </w:r>
    </w:p>
    <w:p>
      <w:pPr>
        <w:pStyle w:val="184"/>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1.1.6.1</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书面形式：指合同文件、信函、电报、传真、数据电文、电子邮件、会议纪要等可以有形地表现所载内容的形式。</w:t>
      </w:r>
    </w:p>
    <w:p>
      <w:pPr>
        <w:pStyle w:val="184"/>
        <w:ind w:firstLine="480"/>
        <w:rPr>
          <w:color w:val="000000" w:themeColor="text1"/>
          <w:kern w:val="0"/>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1.1.6.2</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承包人文件：</w:t>
      </w:r>
      <w:r>
        <w:rPr>
          <w:rFonts w:hint="eastAsia"/>
          <w:color w:val="000000" w:themeColor="text1"/>
          <w:kern w:val="0"/>
          <w:highlight w:val="none"/>
          <w:lang w:val="zh-CN"/>
          <w14:textFill>
            <w14:solidFill>
              <w14:schemeClr w14:val="tx1"/>
            </w14:solidFill>
          </w14:textFill>
        </w:rPr>
        <w:t>指由承包人根据合同约定应提交的所有图纸、手册、模型、计算书、软件、函件、洽商性文件和其他技术性文件。</w:t>
      </w:r>
    </w:p>
    <w:p>
      <w:pPr>
        <w:pStyle w:val="184"/>
        <w:ind w:firstLine="480"/>
        <w:rPr>
          <w:color w:val="000000" w:themeColor="text1"/>
          <w:kern w:val="0"/>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1.1.6.3变更：</w:t>
      </w:r>
      <w:r>
        <w:rPr>
          <w:rFonts w:hint="eastAsia"/>
          <w:color w:val="000000" w:themeColor="text1"/>
          <w:kern w:val="0"/>
          <w:highlight w:val="none"/>
          <w:lang w:val="zh-CN"/>
          <w14:textFill>
            <w14:solidFill>
              <w14:schemeClr w14:val="tx1"/>
            </w14:solidFill>
          </w14:textFill>
        </w:rPr>
        <w:t>指根据第</w:t>
      </w:r>
      <w:r>
        <w:rPr>
          <w:color w:val="000000" w:themeColor="text1"/>
          <w:kern w:val="0"/>
          <w:highlight w:val="none"/>
          <w:lang w:val="zh-CN"/>
          <w14:textFill>
            <w14:solidFill>
              <w14:schemeClr w14:val="tx1"/>
            </w14:solidFill>
          </w14:textFill>
        </w:rPr>
        <w:t>13条[变更与调整]的约定</w:t>
      </w:r>
      <w:r>
        <w:rPr>
          <w:rFonts w:hint="eastAsia"/>
          <w:color w:val="000000" w:themeColor="text1"/>
          <w:highlight w:val="none"/>
          <w:lang w:val="zh-CN"/>
          <w14:textFill>
            <w14:solidFill>
              <w14:schemeClr w14:val="tx1"/>
            </w14:solidFill>
          </w14:textFill>
        </w:rPr>
        <w:t>，经指示或批准对</w:t>
      </w:r>
      <w:r>
        <w:rPr>
          <w:rFonts w:hint="eastAsia"/>
          <w:color w:val="000000" w:themeColor="text1"/>
          <w:kern w:val="0"/>
          <w:highlight w:val="none"/>
          <w:lang w:val="zh-CN"/>
          <w14:textFill>
            <w14:solidFill>
              <w14:schemeClr w14:val="tx1"/>
            </w14:solidFill>
          </w14:textFill>
        </w:rPr>
        <w:t>《发包人要求》</w:t>
      </w:r>
      <w:r>
        <w:rPr>
          <w:rFonts w:hint="eastAsia"/>
          <w:color w:val="000000" w:themeColor="text1"/>
          <w:highlight w:val="none"/>
          <w:lang w:val="zh-CN"/>
          <w14:textFill>
            <w14:solidFill>
              <w14:schemeClr w14:val="tx1"/>
            </w14:solidFill>
          </w14:textFill>
        </w:rPr>
        <w:t>或工程所做的改变。</w:t>
      </w:r>
    </w:p>
    <w:p>
      <w:pPr>
        <w:pStyle w:val="177"/>
        <w:spacing w:before="156"/>
        <w:rPr>
          <w:color w:val="000000" w:themeColor="text1"/>
          <w:highlight w:val="none"/>
          <w14:textFill>
            <w14:solidFill>
              <w14:schemeClr w14:val="tx1"/>
            </w14:solidFill>
          </w14:textFill>
        </w:rPr>
      </w:pPr>
      <w:bookmarkStart w:id="153" w:name="_Toc337558729"/>
      <w:bookmarkStart w:id="154" w:name="_Toc102745885"/>
      <w:bookmarkStart w:id="155" w:name="_Toc351203497"/>
      <w:bookmarkStart w:id="156" w:name="_Toc296503029"/>
      <w:bookmarkStart w:id="157" w:name="_Toc296346530"/>
      <w:r>
        <w:rPr>
          <w:rFonts w:hint="eastAsia"/>
          <w:color w:val="000000" w:themeColor="text1"/>
          <w:highlight w:val="none"/>
          <w14:textFill>
            <w14:solidFill>
              <w14:schemeClr w14:val="tx1"/>
            </w14:solidFill>
          </w14:textFill>
        </w:rPr>
        <w:t>1.2 语言文字</w:t>
      </w:r>
      <w:bookmarkEnd w:id="153"/>
      <w:bookmarkEnd w:id="154"/>
      <w:bookmarkEnd w:id="155"/>
      <w:bookmarkEnd w:id="156"/>
      <w:bookmarkEnd w:id="157"/>
    </w:p>
    <w:p>
      <w:pPr>
        <w:adjustRightInd w:val="0"/>
        <w:snapToGrid w:val="0"/>
        <w:spacing w:line="360" w:lineRule="auto"/>
        <w:ind w:firstLine="600"/>
        <w:rPr>
          <w:rFonts w:ascii="宋体" w:cs="宋体"/>
          <w:color w:val="000000" w:themeColor="text1"/>
          <w:kern w:val="0"/>
          <w:sz w:val="24"/>
          <w:szCs w:val="28"/>
          <w:highlight w:val="none"/>
          <w:lang w:val="zh-CN"/>
          <w14:textFill>
            <w14:solidFill>
              <w14:schemeClr w14:val="tx1"/>
            </w14:solidFill>
          </w14:textFill>
        </w:rPr>
      </w:pPr>
      <w:bookmarkStart w:id="158" w:name="_Toc337558730"/>
      <w:bookmarkStart w:id="159" w:name="_Toc351203498"/>
      <w:bookmarkStart w:id="160" w:name="_Toc296346531"/>
      <w:bookmarkStart w:id="161" w:name="_Toc296503030"/>
      <w:r>
        <w:rPr>
          <w:rFonts w:hint="eastAsia" w:ascii="宋体" w:cs="宋体"/>
          <w:color w:val="000000" w:themeColor="text1"/>
          <w:kern w:val="0"/>
          <w:sz w:val="24"/>
          <w:szCs w:val="28"/>
          <w:highlight w:val="none"/>
          <w:lang w:val="zh-CN"/>
          <w14:textFill>
            <w14:solidFill>
              <w14:schemeClr w14:val="tx1"/>
            </w14:solidFill>
          </w14:textFill>
        </w:rPr>
        <w:t>合同文件以中国的汉语简体语言文字编写、解释和说明。专用术语使用外文的，应附有中文注释。合同当事人在专用合同条件约定使用两种及以上语言时，汉语为优先解释和说明合同的语言。</w:t>
      </w:r>
    </w:p>
    <w:p>
      <w:pPr>
        <w:adjustRightInd w:val="0"/>
        <w:snapToGrid w:val="0"/>
        <w:spacing w:line="360" w:lineRule="auto"/>
        <w:ind w:firstLine="600"/>
        <w:rPr>
          <w:rFonts w:ascii="宋体" w:cs="宋体"/>
          <w:color w:val="000000" w:themeColor="text1"/>
          <w:kern w:val="0"/>
          <w:sz w:val="24"/>
          <w:szCs w:val="28"/>
          <w:highlight w:val="none"/>
          <w:lang w:val="zh-CN"/>
          <w14:textFill>
            <w14:solidFill>
              <w14:schemeClr w14:val="tx1"/>
            </w14:solidFill>
          </w14:textFill>
        </w:rPr>
      </w:pPr>
      <w:r>
        <w:rPr>
          <w:rFonts w:hint="eastAsia" w:ascii="宋体" w:cs="宋体"/>
          <w:color w:val="000000" w:themeColor="text1"/>
          <w:kern w:val="0"/>
          <w:sz w:val="24"/>
          <w:szCs w:val="28"/>
          <w:highlight w:val="none"/>
          <w:lang w:val="zh-CN"/>
          <w14:textFill>
            <w14:solidFill>
              <w14:schemeClr w14:val="tx1"/>
            </w14:solidFill>
          </w14:textFill>
        </w:rPr>
        <w:t>与合同有关的联络应使用专用合同条件约定的语言。如没有约定，则应使用中国的汉语简体语言文字。</w:t>
      </w:r>
    </w:p>
    <w:p>
      <w:pPr>
        <w:pStyle w:val="177"/>
        <w:spacing w:before="156"/>
        <w:rPr>
          <w:color w:val="000000" w:themeColor="text1"/>
          <w:highlight w:val="none"/>
          <w14:textFill>
            <w14:solidFill>
              <w14:schemeClr w14:val="tx1"/>
            </w14:solidFill>
          </w14:textFill>
        </w:rPr>
      </w:pPr>
      <w:bookmarkStart w:id="162" w:name="_Toc102745886"/>
      <w:r>
        <w:rPr>
          <w:rFonts w:hint="eastAsia"/>
          <w:color w:val="000000" w:themeColor="text1"/>
          <w:highlight w:val="none"/>
          <w14:textFill>
            <w14:solidFill>
              <w14:schemeClr w14:val="tx1"/>
            </w14:solidFill>
          </w14:textFill>
        </w:rPr>
        <w:t>1.3 法律</w:t>
      </w:r>
      <w:bookmarkEnd w:id="158"/>
      <w:bookmarkEnd w:id="159"/>
      <w:bookmarkEnd w:id="160"/>
      <w:bookmarkEnd w:id="161"/>
      <w:bookmarkEnd w:id="16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163" w:name="_Toc54862181"/>
      <w:bookmarkStart w:id="164" w:name="_Ref531949594"/>
      <w:bookmarkStart w:id="165" w:name="_Ref531949589"/>
      <w:bookmarkStart w:id="166" w:name="_Toc351203499"/>
      <w:r>
        <w:rPr>
          <w:rFonts w:hint="eastAsia" w:ascii="宋体"/>
          <w:color w:val="000000" w:themeColor="text1"/>
          <w:sz w:val="24"/>
          <w:szCs w:val="28"/>
          <w:highlight w:val="none"/>
          <w14:textFill>
            <w14:solidFill>
              <w14:schemeClr w14:val="tx1"/>
            </w14:solidFill>
          </w14:textFill>
        </w:rPr>
        <w:t>合同所称法律是指中华人民共和国法律、行政法规、部门规章，以及工程所在地的地方法规、自治条例、单行条例和地方政府规章等。</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合同当事人可以在专用合同条件中约定合同适用的其他规范性文件。</w:t>
      </w:r>
    </w:p>
    <w:p>
      <w:pPr>
        <w:pStyle w:val="177"/>
        <w:spacing w:before="156"/>
        <w:rPr>
          <w:color w:val="000000" w:themeColor="text1"/>
          <w:highlight w:val="none"/>
          <w14:textFill>
            <w14:solidFill>
              <w14:schemeClr w14:val="tx1"/>
            </w14:solidFill>
          </w14:textFill>
        </w:rPr>
      </w:pPr>
      <w:bookmarkStart w:id="167" w:name="_Toc102745887"/>
      <w:r>
        <w:rPr>
          <w:rFonts w:hint="eastAsia"/>
          <w:color w:val="000000" w:themeColor="text1"/>
          <w:highlight w:val="none"/>
          <w14:textFill>
            <w14:solidFill>
              <w14:schemeClr w14:val="tx1"/>
            </w14:solidFill>
          </w14:textFill>
        </w:rPr>
        <w:t>1.4 标准和规范</w:t>
      </w:r>
      <w:bookmarkEnd w:id="163"/>
      <w:bookmarkEnd w:id="164"/>
      <w:bookmarkEnd w:id="165"/>
      <w:bookmarkEnd w:id="167"/>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1.4.1 </w:t>
      </w:r>
      <w:r>
        <w:rPr>
          <w:rFonts w:hint="eastAsia"/>
          <w:color w:val="000000" w:themeColor="text1"/>
          <w:highlight w:val="none"/>
          <w14:textFill>
            <w14:solidFill>
              <w14:schemeClr w14:val="tx1"/>
            </w14:solidFill>
          </w14:textFill>
        </w:rPr>
        <w:t>适用于工程的国家标准、行业标准、工程所在地的地方性标准，以及相应的规范、规程等，合同当事人有特别要求的，应在专用合同条件中约定。</w:t>
      </w:r>
    </w:p>
    <w:p>
      <w:pPr>
        <w:pStyle w:val="169"/>
        <w:spacing w:before="156"/>
        <w:rPr>
          <w:color w:val="000000" w:themeColor="text1"/>
          <w:highlight w:val="none"/>
          <w14:textFill>
            <w14:solidFill>
              <w14:schemeClr w14:val="tx1"/>
            </w14:solidFill>
          </w14:textFill>
        </w:rPr>
      </w:pPr>
      <w:bookmarkStart w:id="168" w:name="_Ref531949642"/>
      <w:r>
        <w:rPr>
          <w:color w:val="000000" w:themeColor="text1"/>
          <w:highlight w:val="none"/>
          <w14:textFill>
            <w14:solidFill>
              <w14:schemeClr w14:val="tx1"/>
            </w14:solidFill>
          </w14:textFill>
        </w:rPr>
        <w:t xml:space="preserve">1.4.2 </w:t>
      </w:r>
      <w:r>
        <w:rPr>
          <w:rFonts w:hint="eastAsia"/>
          <w:color w:val="000000" w:themeColor="text1"/>
          <w:highlight w:val="none"/>
          <w14:textFill>
            <w14:solidFill>
              <w14:schemeClr w14:val="tx1"/>
            </w14:solidFill>
          </w14:textFill>
        </w:rPr>
        <w:t>发包人要求使用国外标准、规范的，发包人负责提供原文版本和中文译本，并在专用合同条件中约定提供标准规范的名称、份数和时间。</w:t>
      </w:r>
      <w:bookmarkEnd w:id="168"/>
    </w:p>
    <w:p>
      <w:pPr>
        <w:pStyle w:val="169"/>
        <w:spacing w:before="156"/>
        <w:rPr>
          <w:color w:val="000000" w:themeColor="text1"/>
          <w:highlight w:val="none"/>
          <w14:textFill>
            <w14:solidFill>
              <w14:schemeClr w14:val="tx1"/>
            </w14:solidFill>
          </w14:textFill>
        </w:rPr>
      </w:pPr>
      <w:bookmarkStart w:id="169" w:name="_Ref531949657"/>
      <w:r>
        <w:rPr>
          <w:color w:val="000000" w:themeColor="text1"/>
          <w:highlight w:val="none"/>
          <w14:textFill>
            <w14:solidFill>
              <w14:schemeClr w14:val="tx1"/>
            </w14:solidFill>
          </w14:textFill>
        </w:rPr>
        <w:t xml:space="preserve">1.4.3 </w:t>
      </w:r>
      <w:bookmarkEnd w:id="169"/>
      <w:r>
        <w:rPr>
          <w:rFonts w:hint="eastAsia"/>
          <w:color w:val="000000" w:themeColor="text1"/>
          <w:highlight w:val="none"/>
          <w14:textFill>
            <w14:solidFill>
              <w14:schemeClr w14:val="tx1"/>
            </w14:solidFill>
          </w14:textFill>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pPr>
        <w:pStyle w:val="169"/>
        <w:spacing w:before="156"/>
        <w:rPr>
          <w:color w:val="000000" w:themeColor="text1"/>
          <w:highlight w:val="none"/>
          <w14:textFill>
            <w14:solidFill>
              <w14:schemeClr w14:val="tx1"/>
            </w14:solidFill>
          </w14:textFill>
        </w:rPr>
      </w:pPr>
      <w:bookmarkStart w:id="170" w:name="_Ref4421272"/>
      <w:r>
        <w:rPr>
          <w:color w:val="000000" w:themeColor="text1"/>
          <w:highlight w:val="none"/>
          <w14:textFill>
            <w14:solidFill>
              <w14:schemeClr w14:val="tx1"/>
            </w14:solidFill>
          </w14:textFill>
        </w:rPr>
        <w:t xml:space="preserve">1.4.4 </w:t>
      </w:r>
      <w:r>
        <w:rPr>
          <w:rFonts w:hint="eastAsia"/>
          <w:color w:val="000000" w:themeColor="text1"/>
          <w:highlight w:val="none"/>
          <w14:textFill>
            <w14:solidFill>
              <w14:schemeClr w14:val="tx1"/>
            </w14:solidFill>
          </w14:textFill>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170"/>
    </w:p>
    <w:bookmarkEnd w:id="166"/>
    <w:p>
      <w:pPr>
        <w:pStyle w:val="177"/>
        <w:spacing w:before="156"/>
        <w:rPr>
          <w:color w:val="000000" w:themeColor="text1"/>
          <w:highlight w:val="none"/>
          <w14:textFill>
            <w14:solidFill>
              <w14:schemeClr w14:val="tx1"/>
            </w14:solidFill>
          </w14:textFill>
        </w:rPr>
      </w:pPr>
      <w:bookmarkStart w:id="171" w:name="_Ref4421717"/>
      <w:bookmarkStart w:id="172" w:name="_Toc54862182"/>
      <w:bookmarkStart w:id="173" w:name="_Toc102745888"/>
      <w:r>
        <w:rPr>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合同文件的优先顺序</w:t>
      </w:r>
      <w:bookmarkEnd w:id="171"/>
      <w:bookmarkEnd w:id="172"/>
      <w:bookmarkEnd w:id="173"/>
    </w:p>
    <w:p>
      <w:pPr>
        <w:adjustRightInd w:val="0"/>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bookmarkStart w:id="174" w:name="_Ref531948776"/>
      <w:r>
        <w:rPr>
          <w:rFonts w:hint="eastAsia" w:ascii="宋体" w:hAnsi="宋体"/>
          <w:color w:val="000000" w:themeColor="text1"/>
          <w:sz w:val="24"/>
          <w:szCs w:val="28"/>
          <w:highlight w:val="none"/>
          <w14:textFill>
            <w14:solidFill>
              <w14:schemeClr w14:val="tx1"/>
            </w14:solidFill>
          </w14:textFill>
        </w:rPr>
        <w:t>组成合同的各项文件应互相解释，互为说明。除专用合同条件另有约定外，</w:t>
      </w:r>
      <w:bookmarkEnd w:id="174"/>
      <w:r>
        <w:rPr>
          <w:rFonts w:hint="eastAsia" w:ascii="宋体" w:hAnsi="宋体"/>
          <w:color w:val="000000" w:themeColor="text1"/>
          <w:sz w:val="24"/>
          <w:szCs w:val="28"/>
          <w:highlight w:val="none"/>
          <w14:textFill>
            <w14:solidFill>
              <w14:schemeClr w14:val="tx1"/>
            </w14:solidFill>
          </w14:textFill>
        </w:rPr>
        <w:t>解释合同文件的优先顺序如下：</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 合同协议书；</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 中标通知书（如果有）；</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 投标函及投标函附录（如果有）；</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 专用合同条件及《发包人要求》等附件；</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 通用合同条件；</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 xml:space="preserve">（6） 承包人建议书； </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（7） 价格清单；</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（8） 双方约定的其他合同文件。</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bookmarkStart w:id="175" w:name="_Hlk18951547"/>
      <w:r>
        <w:rPr>
          <w:rFonts w:hint="eastAsia" w:ascii="宋体" w:hAnsi="宋体"/>
          <w:color w:val="000000" w:themeColor="text1"/>
          <w:sz w:val="24"/>
          <w:szCs w:val="28"/>
          <w:highlight w:val="none"/>
          <w14:textFill>
            <w14:solidFill>
              <w14:schemeClr w14:val="tx1"/>
            </w14:solidFill>
          </w14:textFill>
        </w:rPr>
        <w:t>上述各项合同文件包括合同当事人就该项合同文件所作出的补充和修改，属于同一类内容的文件，应以最新签署的为准</w:t>
      </w:r>
      <w:bookmarkEnd w:id="175"/>
      <w:r>
        <w:rPr>
          <w:rFonts w:hint="eastAsia" w:ascii="宋体" w:hAnsi="宋体"/>
          <w:color w:val="000000" w:themeColor="text1"/>
          <w:sz w:val="24"/>
          <w:szCs w:val="28"/>
          <w:highlight w:val="none"/>
          <w14:textFill>
            <w14:solidFill>
              <w14:schemeClr w14:val="tx1"/>
            </w14:solidFill>
          </w14:textFill>
        </w:rPr>
        <w:t>。</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在合同订立及履行过程中形成的与合同有关的文件均构成合同文件组成部分，并根据其性质确定优先解释顺序。</w:t>
      </w:r>
    </w:p>
    <w:p>
      <w:pPr>
        <w:pStyle w:val="177"/>
        <w:spacing w:before="156"/>
        <w:rPr>
          <w:color w:val="000000" w:themeColor="text1"/>
          <w:highlight w:val="none"/>
          <w14:textFill>
            <w14:solidFill>
              <w14:schemeClr w14:val="tx1"/>
            </w14:solidFill>
          </w14:textFill>
        </w:rPr>
      </w:pPr>
      <w:bookmarkStart w:id="176" w:name="_Toc351203503"/>
      <w:bookmarkStart w:id="177" w:name="_Toc102745889"/>
      <w:r>
        <w:rPr>
          <w:rFonts w:hint="eastAsia"/>
          <w:color w:val="000000" w:themeColor="text1"/>
          <w:highlight w:val="none"/>
          <w14:textFill>
            <w14:solidFill>
              <w14:schemeClr w14:val="tx1"/>
            </w14:solidFill>
          </w14:textFill>
        </w:rPr>
        <w:t>1</w:t>
      </w:r>
      <w:bookmarkStart w:id="178" w:name="_Toc337558734"/>
      <w:bookmarkStart w:id="179" w:name="_Toc296346536"/>
      <w:bookmarkStart w:id="180" w:name="_Toc296503035"/>
      <w:r>
        <w:rPr>
          <w:rFonts w:hint="eastAsia"/>
          <w:color w:val="000000" w:themeColor="text1"/>
          <w:highlight w:val="none"/>
          <w14:textFill>
            <w14:solidFill>
              <w14:schemeClr w14:val="tx1"/>
            </w14:solidFill>
          </w14:textFill>
        </w:rPr>
        <w:t xml:space="preserve">.6 </w:t>
      </w:r>
      <w:bookmarkEnd w:id="176"/>
      <w:r>
        <w:rPr>
          <w:rFonts w:hint="eastAsia"/>
          <w:color w:val="000000" w:themeColor="text1"/>
          <w:highlight w:val="none"/>
          <w14:textFill>
            <w14:solidFill>
              <w14:schemeClr w14:val="tx1"/>
            </w14:solidFill>
          </w14:textFill>
        </w:rPr>
        <w:t>文件的提供和照管</w:t>
      </w:r>
      <w:bookmarkEnd w:id="177"/>
    </w:p>
    <w:bookmarkEnd w:id="178"/>
    <w:bookmarkEnd w:id="179"/>
    <w:bookmarkEnd w:id="180"/>
    <w:p>
      <w:pPr>
        <w:pStyle w:val="169"/>
        <w:spacing w:before="156"/>
        <w:rPr>
          <w:color w:val="000000" w:themeColor="text1"/>
          <w:highlight w:val="none"/>
          <w14:textFill>
            <w14:solidFill>
              <w14:schemeClr w14:val="tx1"/>
            </w14:solidFill>
          </w14:textFill>
        </w:rPr>
      </w:pPr>
      <w:bookmarkStart w:id="181" w:name="_Ref4421991"/>
      <w:bookmarkStart w:id="182" w:name="_Toc337558738"/>
      <w:r>
        <w:rPr>
          <w:color w:val="000000" w:themeColor="text1"/>
          <w:highlight w:val="none"/>
          <w14:textFill>
            <w14:solidFill>
              <w14:schemeClr w14:val="tx1"/>
            </w14:solidFill>
          </w14:textFill>
        </w:rPr>
        <w:t xml:space="preserve">1.6.1 </w:t>
      </w:r>
      <w:r>
        <w:rPr>
          <w:rFonts w:hint="eastAsia"/>
          <w:color w:val="000000" w:themeColor="text1"/>
          <w:highlight w:val="none"/>
          <w14:textFill>
            <w14:solidFill>
              <w14:schemeClr w14:val="tx1"/>
            </w14:solidFill>
          </w14:textFill>
        </w:rPr>
        <w:t>发包人文件的提供</w:t>
      </w:r>
      <w:bookmarkEnd w:id="18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183" w:name="_Ref4422317"/>
      <w:r>
        <w:rPr>
          <w:rFonts w:hint="eastAsia" w:ascii="宋体"/>
          <w:color w:val="000000" w:themeColor="text1"/>
          <w:sz w:val="24"/>
          <w:szCs w:val="28"/>
          <w:highlight w:val="none"/>
          <w14:textFill>
            <w14:solidFill>
              <w14:schemeClr w14:val="tx1"/>
            </w14:solidFill>
          </w14:textFill>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1.6.2 </w:t>
      </w:r>
      <w:r>
        <w:rPr>
          <w:rFonts w:hint="eastAsia"/>
          <w:color w:val="000000" w:themeColor="text1"/>
          <w:highlight w:val="none"/>
          <w14:textFill>
            <w14:solidFill>
              <w14:schemeClr w14:val="tx1"/>
            </w14:solidFill>
          </w14:textFill>
        </w:rPr>
        <w:t>承包人文件的提供</w:t>
      </w:r>
      <w:bookmarkEnd w:id="18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除专用合同条件另有约定外，承包人文件应包含下列内容，并用第1.2款[语言文字]约定的语言制作：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《发包人要求》中规定的相关文件；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满足工程相关行政审批手续所必须的应由承包人负责的相关文件；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第5.4款[竣工文件]与第5.5款[操作和维修手册]中要求的相关文件。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1.6.3 </w:t>
      </w:r>
      <w:r>
        <w:rPr>
          <w:rFonts w:hint="eastAsia"/>
          <w:color w:val="000000" w:themeColor="text1"/>
          <w:highlight w:val="none"/>
          <w14:textFill>
            <w14:solidFill>
              <w14:schemeClr w14:val="tx1"/>
            </w14:solidFill>
          </w14:textFill>
        </w:rPr>
        <w:t>文件错误的通知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任何一方发现文件中存在明显的错误或疏忽，应及时通知另一方。</w:t>
      </w:r>
    </w:p>
    <w:p>
      <w:pPr>
        <w:pStyle w:val="169"/>
        <w:spacing w:before="156"/>
        <w:rPr>
          <w:color w:val="000000" w:themeColor="text1"/>
          <w:highlight w:val="none"/>
          <w14:textFill>
            <w14:solidFill>
              <w14:schemeClr w14:val="tx1"/>
            </w14:solidFill>
          </w14:textFill>
        </w:rPr>
      </w:pPr>
      <w:bookmarkStart w:id="184" w:name="_Ref4678410"/>
      <w:bookmarkStart w:id="185" w:name="_Ref11957673"/>
      <w:r>
        <w:rPr>
          <w:color w:val="000000" w:themeColor="text1"/>
          <w:highlight w:val="none"/>
          <w14:textFill>
            <w14:solidFill>
              <w14:schemeClr w14:val="tx1"/>
            </w14:solidFill>
          </w14:textFill>
        </w:rPr>
        <w:t xml:space="preserve">1.6.4 </w:t>
      </w:r>
      <w:r>
        <w:rPr>
          <w:rFonts w:hint="eastAsia"/>
          <w:color w:val="000000" w:themeColor="text1"/>
          <w:highlight w:val="none"/>
          <w14:textFill>
            <w14:solidFill>
              <w14:schemeClr w14:val="tx1"/>
            </w14:solidFill>
          </w14:textFill>
        </w:rPr>
        <w:t>文件的</w:t>
      </w:r>
      <w:bookmarkEnd w:id="184"/>
      <w:r>
        <w:rPr>
          <w:rFonts w:hint="eastAsia"/>
          <w:color w:val="000000" w:themeColor="text1"/>
          <w:highlight w:val="none"/>
          <w14:textFill>
            <w14:solidFill>
              <w14:schemeClr w14:val="tx1"/>
            </w14:solidFill>
          </w14:textFill>
        </w:rPr>
        <w:t>照管</w:t>
      </w:r>
      <w:bookmarkEnd w:id="18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177"/>
        <w:spacing w:before="156"/>
        <w:rPr>
          <w:color w:val="000000" w:themeColor="text1"/>
          <w:highlight w:val="none"/>
          <w14:textFill>
            <w14:solidFill>
              <w14:schemeClr w14:val="tx1"/>
            </w14:solidFill>
          </w14:textFill>
        </w:rPr>
      </w:pPr>
      <w:bookmarkStart w:id="186" w:name="_Toc102745890"/>
      <w:bookmarkStart w:id="187" w:name="_Toc54862184"/>
      <w:bookmarkStart w:id="188" w:name="_Ref4415170"/>
      <w:r>
        <w:rPr>
          <w:color w:val="000000" w:themeColor="text1"/>
          <w:highlight w:val="none"/>
          <w14:textFill>
            <w14:solidFill>
              <w14:schemeClr w14:val="tx1"/>
            </w14:solidFill>
          </w14:textFill>
        </w:rPr>
        <w:t xml:space="preserve">1.7 </w:t>
      </w:r>
      <w:r>
        <w:rPr>
          <w:rFonts w:hint="eastAsia"/>
          <w:color w:val="000000" w:themeColor="text1"/>
          <w:highlight w:val="none"/>
          <w14:textFill>
            <w14:solidFill>
              <w14:schemeClr w14:val="tx1"/>
            </w14:solidFill>
          </w14:textFill>
        </w:rPr>
        <w:t>联络</w:t>
      </w:r>
      <w:bookmarkEnd w:id="186"/>
      <w:bookmarkEnd w:id="187"/>
      <w:bookmarkEnd w:id="188"/>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1.7.1 </w:t>
      </w:r>
      <w:r>
        <w:rPr>
          <w:rFonts w:hint="eastAsia"/>
          <w:color w:val="000000" w:themeColor="text1"/>
          <w:highlight w:val="none"/>
          <w14:textFill>
            <w14:solidFill>
              <w14:schemeClr w14:val="tx1"/>
            </w14:solidFill>
          </w14:textFill>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169"/>
        <w:spacing w:before="156"/>
        <w:rPr>
          <w:color w:val="000000" w:themeColor="text1"/>
          <w:highlight w:val="none"/>
          <w14:textFill>
            <w14:solidFill>
              <w14:schemeClr w14:val="tx1"/>
            </w14:solidFill>
          </w14:textFill>
        </w:rPr>
      </w:pPr>
      <w:bookmarkStart w:id="189" w:name="_Ref531949897"/>
      <w:r>
        <w:rPr>
          <w:color w:val="000000" w:themeColor="text1"/>
          <w:highlight w:val="none"/>
          <w14:textFill>
            <w14:solidFill>
              <w14:schemeClr w14:val="tx1"/>
            </w14:solidFill>
          </w14:textFill>
        </w:rPr>
        <w:t xml:space="preserve">1.7.2 </w:t>
      </w:r>
      <w:r>
        <w:rPr>
          <w:rFonts w:hint="eastAsia"/>
          <w:color w:val="000000" w:themeColor="text1"/>
          <w:highlight w:val="none"/>
          <w14:textFill>
            <w14:solidFill>
              <w14:schemeClr w14:val="tx1"/>
            </w14:solidFill>
          </w14:textFill>
        </w:rPr>
        <w:t>发包人和承包人应在专用合同条件中约定各自的送达方式和收件地址。任何一方合同当事人指定的送达方式或收件地址发生变动的，应提前</w:t>
      </w:r>
      <w:r>
        <w:rPr>
          <w:color w:val="000000" w:themeColor="text1"/>
          <w:highlight w:val="none"/>
          <w14:textFill>
            <w14:solidFill>
              <w14:schemeClr w14:val="tx1"/>
            </w14:solidFill>
          </w14:textFill>
        </w:rPr>
        <w:t>3天以书面形式通知对方。</w:t>
      </w:r>
      <w:bookmarkEnd w:id="189"/>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1.7.3 </w:t>
      </w:r>
      <w:r>
        <w:rPr>
          <w:rFonts w:hint="eastAsia"/>
          <w:color w:val="000000" w:themeColor="text1"/>
          <w:highlight w:val="none"/>
          <w14:textFill>
            <w14:solidFill>
              <w14:schemeClr w14:val="tx1"/>
            </w14:solidFill>
          </w14:textFill>
        </w:rPr>
        <w:t>发包人和承包人应当及时签收另一方通过约定的送达方式送达至收件地址的来往文件。拒不签收的，由此增加的费用和（或）延误的工期由拒绝接收一方承担。</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1.7.4 </w:t>
      </w:r>
      <w:r>
        <w:rPr>
          <w:rFonts w:hint="eastAsia"/>
          <w:color w:val="000000" w:themeColor="text1"/>
          <w:highlight w:val="none"/>
          <w14:textFill>
            <w14:solidFill>
              <w14:schemeClr w14:val="tx1"/>
            </w14:solidFill>
          </w14:textFill>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177"/>
        <w:spacing w:before="156"/>
        <w:rPr>
          <w:color w:val="000000" w:themeColor="text1"/>
          <w:highlight w:val="none"/>
          <w14:textFill>
            <w14:solidFill>
              <w14:schemeClr w14:val="tx1"/>
            </w14:solidFill>
          </w14:textFill>
        </w:rPr>
      </w:pPr>
      <w:bookmarkStart w:id="190" w:name="_Toc102745891"/>
      <w:r>
        <w:rPr>
          <w:rFonts w:hint="eastAsia"/>
          <w:color w:val="000000" w:themeColor="text1"/>
          <w:highlight w:val="none"/>
          <w14:textFill>
            <w14:solidFill>
              <w14:schemeClr w14:val="tx1"/>
            </w14:solidFill>
          </w14:textFill>
        </w:rPr>
        <w:t>1.8 严禁贿赂</w:t>
      </w:r>
      <w:bookmarkEnd w:id="190"/>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177"/>
        <w:spacing w:before="156"/>
        <w:rPr>
          <w:color w:val="000000" w:themeColor="text1"/>
          <w:highlight w:val="none"/>
          <w14:textFill>
            <w14:solidFill>
              <w14:schemeClr w14:val="tx1"/>
            </w14:solidFill>
          </w14:textFill>
        </w:rPr>
      </w:pPr>
      <w:bookmarkStart w:id="191" w:name="_Toc102745892"/>
      <w:r>
        <w:rPr>
          <w:rFonts w:hint="eastAsia"/>
          <w:color w:val="000000" w:themeColor="text1"/>
          <w:highlight w:val="none"/>
          <w14:textFill>
            <w14:solidFill>
              <w14:schemeClr w14:val="tx1"/>
            </w14:solidFill>
          </w14:textFill>
        </w:rPr>
        <w:t>1.9 化石、文物</w:t>
      </w:r>
      <w:bookmarkEnd w:id="191"/>
    </w:p>
    <w:bookmarkEnd w:id="182"/>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发包人、工程师和承包人应按有关政府行政管理部门要求采取妥善的保护措施，由此增加的费用和（或）延误的工期由发包人承担。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承包人发现文物后不及时报告或隐瞒不报，致使文物丢失或损坏的，应赔偿损失，并承担相应的法律责任。</w:t>
      </w:r>
    </w:p>
    <w:p>
      <w:pPr>
        <w:pStyle w:val="177"/>
        <w:spacing w:before="156"/>
        <w:rPr>
          <w:color w:val="000000" w:themeColor="text1"/>
          <w:highlight w:val="none"/>
          <w14:textFill>
            <w14:solidFill>
              <w14:schemeClr w14:val="tx1"/>
            </w14:solidFill>
          </w14:textFill>
        </w:rPr>
      </w:pPr>
      <w:bookmarkStart w:id="192" w:name="_Toc102745893"/>
      <w:r>
        <w:rPr>
          <w:rFonts w:hint="eastAsia"/>
          <w:color w:val="000000" w:themeColor="text1"/>
          <w:highlight w:val="none"/>
          <w14:textFill>
            <w14:solidFill>
              <w14:schemeClr w14:val="tx1"/>
            </w14:solidFill>
          </w14:textFill>
        </w:rPr>
        <w:t>1.10 知识产权</w:t>
      </w:r>
      <w:bookmarkEnd w:id="192"/>
    </w:p>
    <w:p>
      <w:pPr>
        <w:pStyle w:val="169"/>
        <w:spacing w:before="156"/>
        <w:rPr>
          <w:color w:val="000000" w:themeColor="text1"/>
          <w:highlight w:val="none"/>
          <w14:textFill>
            <w14:solidFill>
              <w14:schemeClr w14:val="tx1"/>
            </w14:solidFill>
          </w14:textFill>
        </w:rPr>
      </w:pPr>
      <w:bookmarkStart w:id="193" w:name="_Ref4423563"/>
      <w:r>
        <w:rPr>
          <w:rFonts w:hint="eastAsia"/>
          <w:color w:val="000000" w:themeColor="text1"/>
          <w:highlight w:val="none"/>
          <w14:textFill>
            <w14:solidFill>
              <w14:schemeClr w14:val="tx1"/>
            </w14:solidFill>
          </w14:textFill>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193"/>
    </w:p>
    <w:p>
      <w:pPr>
        <w:pStyle w:val="169"/>
        <w:spacing w:before="156"/>
        <w:rPr>
          <w:color w:val="000000" w:themeColor="text1"/>
          <w:highlight w:val="none"/>
          <w14:textFill>
            <w14:solidFill>
              <w14:schemeClr w14:val="tx1"/>
            </w14:solidFill>
          </w14:textFill>
        </w:rPr>
      </w:pPr>
      <w:bookmarkStart w:id="194" w:name="_Ref4423604"/>
      <w:r>
        <w:rPr>
          <w:rFonts w:hint="eastAsia"/>
          <w:color w:val="000000" w:themeColor="text1"/>
          <w:highlight w:val="none"/>
          <w14:textFill>
            <w14:solidFill>
              <w14:schemeClr w14:val="tx1"/>
            </w14:solidFill>
          </w14:textFill>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194"/>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169"/>
        <w:spacing w:before="156"/>
        <w:rPr>
          <w:color w:val="000000" w:themeColor="text1"/>
          <w:highlight w:val="none"/>
          <w14:textFill>
            <w14:solidFill>
              <w14:schemeClr w14:val="tx1"/>
            </w14:solidFill>
          </w14:textFill>
        </w:rPr>
      </w:pPr>
      <w:bookmarkStart w:id="195" w:name="_Ref4423695"/>
      <w:r>
        <w:rPr>
          <w:rFonts w:hint="eastAsia"/>
          <w:color w:val="000000" w:themeColor="text1"/>
          <w:highlight w:val="none"/>
          <w14:textFill>
            <w14:solidFill>
              <w14:schemeClr w14:val="tx1"/>
            </w14:solidFill>
          </w14:textFill>
        </w:rPr>
        <w:t>1.10.4 除专用合同条件另有约定外，承包人在投标文件中采用的专利、专有技术、商业软件、技术秘密的使用费已包含在签约合同价中。</w:t>
      </w:r>
      <w:bookmarkEnd w:id="195"/>
    </w:p>
    <w:p>
      <w:pPr>
        <w:pStyle w:val="169"/>
        <w:spacing w:before="156"/>
        <w:rPr>
          <w:rFonts w:hAnsi="Times New Roman"/>
          <w:color w:val="000000" w:themeColor="text1"/>
          <w:kern w:val="0"/>
          <w:highlight w:val="none"/>
          <w14:textFill>
            <w14:solidFill>
              <w14:schemeClr w14:val="tx1"/>
            </w14:solidFill>
          </w14:textFill>
        </w:rPr>
      </w:pPr>
      <w:r>
        <w:rPr>
          <w:rFonts w:hint="eastAsia"/>
          <w:color w:val="000000" w:themeColor="text1"/>
          <w:highlight w:val="none"/>
          <w14:textFill>
            <w14:solidFill>
              <w14:schemeClr w14:val="tx1"/>
            </w14:solidFill>
          </w14:textFill>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177"/>
        <w:spacing w:before="156"/>
        <w:rPr>
          <w:color w:val="000000" w:themeColor="text1"/>
          <w:highlight w:val="none"/>
          <w14:textFill>
            <w14:solidFill>
              <w14:schemeClr w14:val="tx1"/>
            </w14:solidFill>
          </w14:textFill>
        </w:rPr>
      </w:pPr>
      <w:bookmarkStart w:id="196" w:name="_Toc102745894"/>
      <w:bookmarkStart w:id="197" w:name="_Toc54862188"/>
      <w:bookmarkStart w:id="198" w:name="_Ref4423898"/>
      <w:bookmarkStart w:id="199" w:name="_Ref4423873"/>
      <w:r>
        <w:rPr>
          <w:color w:val="000000" w:themeColor="text1"/>
          <w:highlight w:val="none"/>
          <w14:textFill>
            <w14:solidFill>
              <w14:schemeClr w14:val="tx1"/>
            </w14:solidFill>
          </w14:textFill>
        </w:rPr>
        <w:t xml:space="preserve">1.11 </w:t>
      </w:r>
      <w:r>
        <w:rPr>
          <w:rFonts w:hint="eastAsia"/>
          <w:color w:val="000000" w:themeColor="text1"/>
          <w:highlight w:val="none"/>
          <w14:textFill>
            <w14:solidFill>
              <w14:schemeClr w14:val="tx1"/>
            </w14:solidFill>
          </w14:textFill>
        </w:rPr>
        <w:t>保密</w:t>
      </w:r>
      <w:bookmarkEnd w:id="196"/>
      <w:bookmarkEnd w:id="197"/>
      <w:bookmarkEnd w:id="198"/>
      <w:bookmarkEnd w:id="199"/>
    </w:p>
    <w:p>
      <w:pPr>
        <w:adjustRightInd w:val="0"/>
        <w:snapToGrid w:val="0"/>
        <w:spacing w:line="360" w:lineRule="auto"/>
        <w:ind w:firstLine="600"/>
        <w:rPr>
          <w:rFonts w:ascii="宋体" w:hAnsi="Courier New" w:cs="Courier New"/>
          <w:color w:val="000000" w:themeColor="text1"/>
          <w:sz w:val="24"/>
          <w:szCs w:val="28"/>
          <w:highlight w:val="none"/>
          <w14:textFill>
            <w14:solidFill>
              <w14:schemeClr w14:val="tx1"/>
            </w14:solidFill>
          </w14:textFill>
        </w:rPr>
      </w:pPr>
      <w:r>
        <w:rPr>
          <w:rFonts w:hint="eastAsia" w:ascii="宋体" w:hAnsi="Courier New" w:cs="Courier New"/>
          <w:color w:val="000000" w:themeColor="text1"/>
          <w:sz w:val="24"/>
          <w:szCs w:val="28"/>
          <w:highlight w:val="none"/>
          <w14:textFill>
            <w14:solidFill>
              <w14:schemeClr w14:val="tx1"/>
            </w14:solidFill>
          </w14:textFill>
        </w:rPr>
        <w:t>合同当事人一方对在订立和履行合同过程中知悉的另一方的商业秘密、技术秘密，以及任何一方明确要求保密的其它信息，负有保密责任。</w:t>
      </w:r>
    </w:p>
    <w:p>
      <w:pPr>
        <w:adjustRightInd w:val="0"/>
        <w:snapToGrid w:val="0"/>
        <w:spacing w:line="360" w:lineRule="auto"/>
        <w:ind w:firstLine="600"/>
        <w:rPr>
          <w:rFonts w:ascii="宋体" w:hAnsi="Courier New" w:cs="Courier New"/>
          <w:color w:val="000000" w:themeColor="text1"/>
          <w:sz w:val="24"/>
          <w:szCs w:val="28"/>
          <w:highlight w:val="none"/>
          <w14:textFill>
            <w14:solidFill>
              <w14:schemeClr w14:val="tx1"/>
            </w14:solidFill>
          </w14:textFill>
        </w:rPr>
      </w:pPr>
      <w:r>
        <w:rPr>
          <w:rFonts w:hint="eastAsia" w:ascii="宋体" w:hAnsi="Courier New" w:cs="Courier New"/>
          <w:color w:val="000000" w:themeColor="text1"/>
          <w:sz w:val="24"/>
          <w:szCs w:val="28"/>
          <w:highlight w:val="none"/>
          <w14:textFill>
            <w14:solidFill>
              <w14:schemeClr w14:val="tx1"/>
            </w14:solidFill>
          </w14:textFill>
        </w:rPr>
        <w:t>除法律规定或合同另有约定外，未经对方同意，任何一方当事人不得将对方提供的文件、技术秘密以及声明需要保密的资料信息等商业秘密泄露给第三方或者用于本合同以外的目的。</w:t>
      </w:r>
    </w:p>
    <w:p>
      <w:pPr>
        <w:adjustRightInd w:val="0"/>
        <w:snapToGrid w:val="0"/>
        <w:spacing w:line="360" w:lineRule="auto"/>
        <w:ind w:firstLine="600"/>
        <w:rPr>
          <w:rFonts w:ascii="宋体" w:hAnsi="Courier New" w:cs="Courier New"/>
          <w:color w:val="000000" w:themeColor="text1"/>
          <w:sz w:val="24"/>
          <w:szCs w:val="28"/>
          <w:highlight w:val="none"/>
          <w14:textFill>
            <w14:solidFill>
              <w14:schemeClr w14:val="tx1"/>
            </w14:solidFill>
          </w14:textFill>
        </w:rPr>
      </w:pPr>
      <w:r>
        <w:rPr>
          <w:rFonts w:hint="eastAsia" w:ascii="宋体" w:hAnsi="Courier New" w:cs="Courier New"/>
          <w:color w:val="000000" w:themeColor="text1"/>
          <w:sz w:val="24"/>
          <w:szCs w:val="28"/>
          <w:highlight w:val="none"/>
          <w14:textFill>
            <w14:solidFill>
              <w14:schemeClr w14:val="tx1"/>
            </w14:solidFill>
          </w14:textFill>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177"/>
        <w:spacing w:before="156"/>
        <w:rPr>
          <w:color w:val="000000" w:themeColor="text1"/>
          <w:highlight w:val="none"/>
          <w14:textFill>
            <w14:solidFill>
              <w14:schemeClr w14:val="tx1"/>
            </w14:solidFill>
          </w14:textFill>
        </w:rPr>
      </w:pPr>
      <w:bookmarkStart w:id="200" w:name="_Ref532336812"/>
      <w:bookmarkStart w:id="201" w:name="_Toc54862189"/>
      <w:bookmarkStart w:id="202" w:name="_Toc102745895"/>
      <w:r>
        <w:rPr>
          <w:color w:val="000000" w:themeColor="text1"/>
          <w:highlight w:val="none"/>
          <w14:textFill>
            <w14:solidFill>
              <w14:schemeClr w14:val="tx1"/>
            </w14:solidFill>
          </w14:textFill>
        </w:rPr>
        <w:t xml:space="preserve">1.12 </w:t>
      </w:r>
      <w:bookmarkStart w:id="203" w:name="_Hlk55215423"/>
      <w:r>
        <w:rPr>
          <w:rFonts w:hint="eastAsia"/>
          <w:color w:val="000000" w:themeColor="text1"/>
          <w:highlight w:val="none"/>
          <w14:textFill>
            <w14:solidFill>
              <w14:schemeClr w14:val="tx1"/>
            </w14:solidFill>
          </w14:textFill>
        </w:rPr>
        <w:t>《发包人要求》和基础资料中的错误</w:t>
      </w:r>
      <w:bookmarkEnd w:id="200"/>
      <w:bookmarkEnd w:id="201"/>
      <w:bookmarkEnd w:id="202"/>
      <w:bookmarkEnd w:id="20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承包人应尽早认真阅读、复核发包人的要求以及其提供的基础资料，发现错误的，应及时书面通知发包人补正。发包人作相应修改的，按照第13条[变更与调整</w:t>
      </w:r>
      <w:bookmarkStart w:id="204" w:name="_Ref523403409"/>
      <w:bookmarkStart w:id="205" w:name="_Ref523403776"/>
      <w:r>
        <w:rPr>
          <w:rFonts w:hint="eastAsia" w:ascii="宋体"/>
          <w:color w:val="000000" w:themeColor="text1"/>
          <w:sz w:val="24"/>
          <w:szCs w:val="28"/>
          <w:highlight w:val="none"/>
          <w14:textFill>
            <w14:solidFill>
              <w14:schemeClr w14:val="tx1"/>
            </w14:solidFill>
          </w14:textFill>
        </w:rPr>
        <w:t>]的约定处理。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发包人要求或其提供的基础资料中的错误导致承包人增加费用和（或）工期延误的，发包人应承担由此增加的费用和（或）工期延误，并向承包人支付合理利润。</w:t>
      </w:r>
    </w:p>
    <w:bookmarkEnd w:id="204"/>
    <w:bookmarkEnd w:id="205"/>
    <w:p>
      <w:pPr>
        <w:pStyle w:val="177"/>
        <w:spacing w:before="156"/>
        <w:rPr>
          <w:color w:val="000000" w:themeColor="text1"/>
          <w:highlight w:val="none"/>
          <w14:textFill>
            <w14:solidFill>
              <w14:schemeClr w14:val="tx1"/>
            </w14:solidFill>
          </w14:textFill>
        </w:rPr>
      </w:pPr>
      <w:bookmarkStart w:id="206" w:name="_Toc102745896"/>
      <w:bookmarkStart w:id="207" w:name="_Ref531949937"/>
      <w:bookmarkStart w:id="208" w:name="_Toc54862190"/>
      <w:bookmarkStart w:id="209" w:name="_Ref531949933"/>
      <w:r>
        <w:rPr>
          <w:color w:val="000000" w:themeColor="text1"/>
          <w:highlight w:val="none"/>
          <w14:textFill>
            <w14:solidFill>
              <w14:schemeClr w14:val="tx1"/>
            </w14:solidFill>
          </w14:textFill>
        </w:rPr>
        <w:t xml:space="preserve">1.13 </w:t>
      </w:r>
      <w:r>
        <w:rPr>
          <w:rFonts w:hint="eastAsia"/>
          <w:color w:val="000000" w:themeColor="text1"/>
          <w:highlight w:val="none"/>
          <w14:textFill>
            <w14:solidFill>
              <w14:schemeClr w14:val="tx1"/>
            </w14:solidFill>
          </w14:textFill>
        </w:rPr>
        <w:t>责任限制</w:t>
      </w:r>
      <w:bookmarkEnd w:id="206"/>
      <w:bookmarkEnd w:id="207"/>
      <w:bookmarkEnd w:id="208"/>
      <w:bookmarkEnd w:id="20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177"/>
        <w:spacing w:before="156"/>
        <w:rPr>
          <w:color w:val="000000" w:themeColor="text1"/>
          <w:highlight w:val="none"/>
          <w14:textFill>
            <w14:solidFill>
              <w14:schemeClr w14:val="tx1"/>
            </w14:solidFill>
          </w14:textFill>
        </w:rPr>
      </w:pPr>
      <w:bookmarkStart w:id="210" w:name="_Toc54862191"/>
      <w:bookmarkStart w:id="211" w:name="_Toc102745897"/>
      <w:bookmarkStart w:id="212" w:name="_Hlk51506160"/>
      <w:bookmarkStart w:id="213" w:name="_Toc351203509"/>
      <w:r>
        <w:rPr>
          <w:color w:val="000000" w:themeColor="text1"/>
          <w:highlight w:val="none"/>
          <w14:textFill>
            <w14:solidFill>
              <w14:schemeClr w14:val="tx1"/>
            </w14:solidFill>
          </w14:textFill>
        </w:rPr>
        <w:t xml:space="preserve">1.14 </w:t>
      </w:r>
      <w:r>
        <w:rPr>
          <w:rFonts w:hint="eastAsia"/>
          <w:color w:val="000000" w:themeColor="text1"/>
          <w:highlight w:val="none"/>
          <w14:textFill>
            <w14:solidFill>
              <w14:schemeClr w14:val="tx1"/>
            </w14:solidFill>
          </w14:textFill>
        </w:rPr>
        <w:t>建筑信息模型技术的应用</w:t>
      </w:r>
      <w:bookmarkEnd w:id="210"/>
      <w:bookmarkEnd w:id="211"/>
    </w:p>
    <w:bookmarkEnd w:id="212"/>
    <w:p>
      <w:pPr>
        <w:adjustRightInd w:val="0"/>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bookmarkEnd w:id="213"/>
    <w:p>
      <w:pPr>
        <w:pStyle w:val="201"/>
        <w:rPr>
          <w:color w:val="000000" w:themeColor="text1"/>
          <w:highlight w:val="none"/>
          <w14:textFill>
            <w14:solidFill>
              <w14:schemeClr w14:val="tx1"/>
            </w14:solidFill>
          </w14:textFill>
        </w:rPr>
      </w:pPr>
      <w:bookmarkStart w:id="214" w:name="_Ref4796511"/>
      <w:bookmarkStart w:id="215" w:name="_Toc15399"/>
      <w:bookmarkStart w:id="216" w:name="_Toc29676"/>
      <w:bookmarkStart w:id="217" w:name="_Toc14511"/>
      <w:bookmarkStart w:id="218" w:name="_Toc30981"/>
      <w:bookmarkStart w:id="219" w:name="_Toc54862192"/>
      <w:bookmarkStart w:id="220" w:name="_Toc12397"/>
      <w:bookmarkStart w:id="221" w:name="_Toc12393"/>
      <w:bookmarkStart w:id="222" w:name="_Toc102745898"/>
      <w:bookmarkStart w:id="223" w:name="_Toc25118"/>
      <w:bookmarkStart w:id="224" w:name="_Toc29451"/>
      <w:bookmarkStart w:id="225" w:name="_Toc351203510"/>
      <w:bookmarkStart w:id="226" w:name="OLE_LINK1"/>
      <w:bookmarkStart w:id="227" w:name="OLE_LINK2"/>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2条 </w:t>
      </w:r>
      <w:r>
        <w:rPr>
          <w:rFonts w:hint="eastAsia"/>
          <w:color w:val="000000" w:themeColor="text1"/>
          <w:highlight w:val="none"/>
          <w14:textFill>
            <w14:solidFill>
              <w14:schemeClr w14:val="tx1"/>
            </w14:solidFill>
          </w14:textFill>
        </w:rPr>
        <w:t>发包人</w:t>
      </w:r>
      <w:bookmarkEnd w:id="214"/>
      <w:bookmarkEnd w:id="215"/>
      <w:bookmarkEnd w:id="216"/>
      <w:bookmarkEnd w:id="217"/>
      <w:bookmarkEnd w:id="218"/>
      <w:bookmarkEnd w:id="219"/>
      <w:bookmarkEnd w:id="220"/>
      <w:bookmarkEnd w:id="221"/>
      <w:bookmarkEnd w:id="222"/>
      <w:bookmarkEnd w:id="223"/>
      <w:bookmarkEnd w:id="224"/>
    </w:p>
    <w:p>
      <w:pPr>
        <w:pStyle w:val="177"/>
        <w:spacing w:before="156"/>
        <w:rPr>
          <w:color w:val="000000" w:themeColor="text1"/>
          <w:highlight w:val="none"/>
          <w14:textFill>
            <w14:solidFill>
              <w14:schemeClr w14:val="tx1"/>
            </w14:solidFill>
          </w14:textFill>
        </w:rPr>
      </w:pPr>
      <w:bookmarkStart w:id="228" w:name="_Toc102745899"/>
      <w:bookmarkStart w:id="229" w:name="_Toc54862193"/>
      <w:r>
        <w:rPr>
          <w:color w:val="000000" w:themeColor="text1"/>
          <w:highlight w:val="none"/>
          <w14:textFill>
            <w14:solidFill>
              <w14:schemeClr w14:val="tx1"/>
            </w14:solidFill>
          </w14:textFill>
        </w:rPr>
        <w:t xml:space="preserve">2.1 </w:t>
      </w:r>
      <w:r>
        <w:rPr>
          <w:rFonts w:hint="eastAsia"/>
          <w:color w:val="000000" w:themeColor="text1"/>
          <w:highlight w:val="none"/>
          <w14:textFill>
            <w14:solidFill>
              <w14:schemeClr w14:val="tx1"/>
            </w14:solidFill>
          </w14:textFill>
        </w:rPr>
        <w:t>遵守法律</w:t>
      </w:r>
      <w:bookmarkEnd w:id="228"/>
      <w:bookmarkEnd w:id="22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177"/>
        <w:spacing w:before="156"/>
        <w:rPr>
          <w:color w:val="000000" w:themeColor="text1"/>
          <w:highlight w:val="none"/>
          <w14:textFill>
            <w14:solidFill>
              <w14:schemeClr w14:val="tx1"/>
            </w14:solidFill>
          </w14:textFill>
        </w:rPr>
      </w:pPr>
      <w:bookmarkStart w:id="230" w:name="_Toc54862194"/>
      <w:bookmarkStart w:id="231" w:name="_Ref11917977"/>
      <w:bookmarkStart w:id="232" w:name="_Toc102745900"/>
      <w:bookmarkStart w:id="233" w:name="_Ref11917995"/>
      <w:r>
        <w:rPr>
          <w:color w:val="000000" w:themeColor="text1"/>
          <w:highlight w:val="none"/>
          <w14:textFill>
            <w14:solidFill>
              <w14:schemeClr w14:val="tx1"/>
            </w14:solidFill>
          </w14:textFill>
        </w:rPr>
        <w:t xml:space="preserve">2.2 </w:t>
      </w:r>
      <w:r>
        <w:rPr>
          <w:rFonts w:hint="eastAsia"/>
          <w:color w:val="000000" w:themeColor="text1"/>
          <w:highlight w:val="none"/>
          <w14:textFill>
            <w14:solidFill>
              <w14:schemeClr w14:val="tx1"/>
            </w14:solidFill>
          </w14:textFill>
        </w:rPr>
        <w:t>提供施工现场和工作条件</w:t>
      </w:r>
      <w:bookmarkEnd w:id="230"/>
      <w:bookmarkEnd w:id="231"/>
      <w:bookmarkEnd w:id="232"/>
      <w:bookmarkEnd w:id="233"/>
      <w:bookmarkStart w:id="234" w:name="_Toc54862197"/>
      <w:bookmarkEnd w:id="234"/>
      <w:bookmarkStart w:id="235" w:name="_Toc51505124"/>
      <w:bookmarkEnd w:id="235"/>
      <w:bookmarkStart w:id="236" w:name="_Toc54862196"/>
      <w:bookmarkEnd w:id="236"/>
      <w:bookmarkStart w:id="237" w:name="_Toc54862195"/>
      <w:bookmarkEnd w:id="237"/>
      <w:bookmarkStart w:id="238" w:name="_Toc51505123"/>
      <w:bookmarkEnd w:id="238"/>
      <w:bookmarkStart w:id="239" w:name="_Toc51505125"/>
      <w:bookmarkEnd w:id="239"/>
      <w:bookmarkStart w:id="240" w:name="_Ref531950085"/>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2.2.1 </w:t>
      </w:r>
      <w:r>
        <w:rPr>
          <w:rFonts w:hint="eastAsia"/>
          <w:color w:val="000000" w:themeColor="text1"/>
          <w:highlight w:val="none"/>
          <w14:textFill>
            <w14:solidFill>
              <w14:schemeClr w14:val="tx1"/>
            </w14:solidFill>
          </w14:textFill>
        </w:rPr>
        <w:t>提供施工</w:t>
      </w:r>
      <w:bookmarkEnd w:id="240"/>
      <w:r>
        <w:rPr>
          <w:rFonts w:hint="eastAsia"/>
          <w:color w:val="000000" w:themeColor="text1"/>
          <w:highlight w:val="none"/>
          <w14:textFill>
            <w14:solidFill>
              <w14:schemeClr w14:val="tx1"/>
            </w14:solidFill>
          </w14:textFill>
        </w:rPr>
        <w:t>现场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pStyle w:val="169"/>
        <w:spacing w:before="156"/>
        <w:rPr>
          <w:color w:val="000000" w:themeColor="text1"/>
          <w:highlight w:val="none"/>
          <w14:textFill>
            <w14:solidFill>
              <w14:schemeClr w14:val="tx1"/>
            </w14:solidFill>
          </w14:textFill>
        </w:rPr>
      </w:pPr>
      <w:bookmarkStart w:id="241" w:name="_Ref531950101"/>
      <w:r>
        <w:rPr>
          <w:color w:val="000000" w:themeColor="text1"/>
          <w:highlight w:val="none"/>
          <w14:textFill>
            <w14:solidFill>
              <w14:schemeClr w14:val="tx1"/>
            </w14:solidFill>
          </w14:textFill>
        </w:rPr>
        <w:t xml:space="preserve">2.2.2 </w:t>
      </w:r>
      <w:r>
        <w:rPr>
          <w:rFonts w:hint="eastAsia"/>
          <w:color w:val="000000" w:themeColor="text1"/>
          <w:highlight w:val="none"/>
          <w14:textFill>
            <w14:solidFill>
              <w14:schemeClr w14:val="tx1"/>
            </w14:solidFill>
          </w14:textFill>
        </w:rPr>
        <w:t>提供工作条件</w:t>
      </w:r>
      <w:bookmarkEnd w:id="24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发包人应按专用合同条件约定向承包人提供工作条件。专用合同条件对此没有约定的，发包人应负责提供开展本合同相关工作所需要的条件，包括：</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将施工用水、电力、通讯线路等施工所必需的条件接至施工现场内；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保证向承包人提供正常施工所需要的进入施工现场的交通条件；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协调处理施工现场周围地下管线和邻近建筑物、构筑物、古树名木、文物、化石及坟墓等的保护工作，并承担相关费用；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按照专用合同条件约定应提供的其他设施和条件。</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2.2.3 </w:t>
      </w:r>
      <w:r>
        <w:rPr>
          <w:rFonts w:hint="eastAsia"/>
          <w:color w:val="000000" w:themeColor="text1"/>
          <w:highlight w:val="none"/>
          <w14:textFill>
            <w14:solidFill>
              <w14:schemeClr w14:val="tx1"/>
            </w14:solidFill>
          </w14:textFill>
        </w:rPr>
        <w:t>逾期提供的责任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因发包人原因未能按合同约定及时向承包人提供施工现场和施工条件的，由发包人承担由此增加的费用和（或）延误的工期。</w:t>
      </w:r>
    </w:p>
    <w:p>
      <w:pPr>
        <w:pStyle w:val="177"/>
        <w:spacing w:before="156"/>
        <w:rPr>
          <w:color w:val="000000" w:themeColor="text1"/>
          <w:highlight w:val="none"/>
          <w14:textFill>
            <w14:solidFill>
              <w14:schemeClr w14:val="tx1"/>
            </w14:solidFill>
          </w14:textFill>
        </w:rPr>
      </w:pPr>
      <w:bookmarkStart w:id="242" w:name="_Ref11956654"/>
      <w:bookmarkStart w:id="243" w:name="_Toc54862198"/>
      <w:bookmarkStart w:id="244" w:name="_Ref11956647"/>
      <w:bookmarkStart w:id="245" w:name="_Ref11918036"/>
      <w:bookmarkStart w:id="246" w:name="_Ref11918025"/>
      <w:bookmarkStart w:id="247" w:name="_Toc102745901"/>
      <w:r>
        <w:rPr>
          <w:rFonts w:hint="eastAsia"/>
          <w:color w:val="000000" w:themeColor="text1"/>
          <w:highlight w:val="none"/>
          <w14:textFill>
            <w14:solidFill>
              <w14:schemeClr w14:val="tx1"/>
            </w14:solidFill>
          </w14:textFill>
        </w:rPr>
        <w:t>2.3 提供基础资料</w:t>
      </w:r>
      <w:bookmarkEnd w:id="242"/>
      <w:bookmarkEnd w:id="243"/>
      <w:bookmarkEnd w:id="244"/>
      <w:bookmarkEnd w:id="245"/>
      <w:bookmarkEnd w:id="246"/>
      <w:bookmarkEnd w:id="24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248" w:name="_Hlk51506429"/>
      <w:r>
        <w:rPr>
          <w:rFonts w:hint="eastAsia" w:ascii="宋体"/>
          <w:color w:val="000000" w:themeColor="text1"/>
          <w:sz w:val="24"/>
          <w:szCs w:val="28"/>
          <w:highlight w:val="none"/>
          <w14:textFill>
            <w14:solidFill>
              <w14:schemeClr w14:val="tx1"/>
            </w14:solidFill>
          </w14:textFill>
        </w:rPr>
        <w:t>发包人应按专用合同条件和《发包人要求》中的约定向承包人提供</w:t>
      </w:r>
      <w:bookmarkEnd w:id="248"/>
      <w:r>
        <w:rPr>
          <w:rFonts w:hint="eastAsia" w:ascii="宋体"/>
          <w:color w:val="000000" w:themeColor="text1"/>
          <w:sz w:val="24"/>
          <w:szCs w:val="28"/>
          <w:highlight w:val="none"/>
          <w14:textFill>
            <w14:solidFill>
              <w14:schemeClr w14:val="tx1"/>
            </w14:solidFill>
          </w14:textFill>
        </w:rPr>
        <w:t>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177"/>
        <w:spacing w:before="156"/>
        <w:rPr>
          <w:color w:val="000000" w:themeColor="text1"/>
          <w:highlight w:val="none"/>
          <w14:textFill>
            <w14:solidFill>
              <w14:schemeClr w14:val="tx1"/>
            </w14:solidFill>
          </w14:textFill>
        </w:rPr>
      </w:pPr>
      <w:bookmarkStart w:id="249" w:name="_Toc54862199"/>
      <w:bookmarkStart w:id="250" w:name="_Ref531950041"/>
      <w:bookmarkStart w:id="251" w:name="_Toc102745902"/>
      <w:bookmarkStart w:id="252" w:name="_Ref531950045"/>
      <w:r>
        <w:rPr>
          <w:color w:val="000000" w:themeColor="text1"/>
          <w:highlight w:val="none"/>
          <w14:textFill>
            <w14:solidFill>
              <w14:schemeClr w14:val="tx1"/>
            </w14:solidFill>
          </w14:textFill>
        </w:rPr>
        <w:t xml:space="preserve">2.4 </w:t>
      </w:r>
      <w:r>
        <w:rPr>
          <w:rFonts w:hint="eastAsia"/>
          <w:color w:val="000000" w:themeColor="text1"/>
          <w:highlight w:val="none"/>
          <w14:textFill>
            <w14:solidFill>
              <w14:schemeClr w14:val="tx1"/>
            </w14:solidFill>
          </w14:textFill>
        </w:rPr>
        <w:t>办理许可和批准</w:t>
      </w:r>
      <w:bookmarkEnd w:id="249"/>
      <w:bookmarkEnd w:id="250"/>
      <w:bookmarkEnd w:id="251"/>
      <w:bookmarkEnd w:id="252"/>
    </w:p>
    <w:p>
      <w:pPr>
        <w:pStyle w:val="169"/>
        <w:spacing w:before="156"/>
        <w:rPr>
          <w:color w:val="000000" w:themeColor="text1"/>
          <w:highlight w:val="none"/>
          <w14:textFill>
            <w14:solidFill>
              <w14:schemeClr w14:val="tx1"/>
            </w14:solidFill>
          </w14:textFill>
        </w:rPr>
      </w:pPr>
      <w:bookmarkStart w:id="253" w:name="_Toc51505128"/>
      <w:r>
        <w:rPr>
          <w:color w:val="000000" w:themeColor="text1"/>
          <w:highlight w:val="none"/>
          <w14:textFill>
            <w14:solidFill>
              <w14:schemeClr w14:val="tx1"/>
            </w14:solidFill>
          </w14:textFill>
        </w:rPr>
        <w:t xml:space="preserve">2.4.1 </w:t>
      </w:r>
      <w:r>
        <w:rPr>
          <w:rFonts w:hint="eastAsia"/>
          <w:color w:val="000000" w:themeColor="text1"/>
          <w:highlight w:val="none"/>
          <w14:textFill>
            <w14:solidFill>
              <w14:schemeClr w14:val="tx1"/>
            </w14:solidFill>
          </w14:textFill>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253"/>
    </w:p>
    <w:p>
      <w:pPr>
        <w:pStyle w:val="169"/>
        <w:spacing w:before="156"/>
        <w:rPr>
          <w:color w:val="000000" w:themeColor="text1"/>
          <w:highlight w:val="none"/>
          <w14:textFill>
            <w14:solidFill>
              <w14:schemeClr w14:val="tx1"/>
            </w14:solidFill>
          </w14:textFill>
        </w:rPr>
      </w:pPr>
      <w:bookmarkStart w:id="254" w:name="_Toc51505129"/>
      <w:r>
        <w:rPr>
          <w:color w:val="000000" w:themeColor="text1"/>
          <w:highlight w:val="none"/>
          <w14:textFill>
            <w14:solidFill>
              <w14:schemeClr w14:val="tx1"/>
            </w14:solidFill>
          </w14:textFill>
        </w:rPr>
        <w:t xml:space="preserve">2.4.2 </w:t>
      </w:r>
      <w:r>
        <w:rPr>
          <w:rFonts w:hint="eastAsia"/>
          <w:color w:val="000000" w:themeColor="text1"/>
          <w:highlight w:val="none"/>
          <w14:textFill>
            <w14:solidFill>
              <w14:schemeClr w14:val="tx1"/>
            </w14:solidFill>
          </w14:textFill>
        </w:rPr>
        <w:t>因发包人原因未能及时办理完毕前述许可、批准或备案，由发包人承担由此增加的费用和（或）延误的工期，并支付承包人合理的利润。</w:t>
      </w:r>
      <w:bookmarkEnd w:id="254"/>
    </w:p>
    <w:p>
      <w:pPr>
        <w:pStyle w:val="177"/>
        <w:spacing w:before="156"/>
        <w:rPr>
          <w:color w:val="000000" w:themeColor="text1"/>
          <w:highlight w:val="none"/>
          <w14:textFill>
            <w14:solidFill>
              <w14:schemeClr w14:val="tx1"/>
            </w14:solidFill>
          </w14:textFill>
        </w:rPr>
      </w:pPr>
      <w:bookmarkStart w:id="255" w:name="_Toc102745903"/>
      <w:bookmarkStart w:id="256" w:name="_Toc54862200"/>
      <w:bookmarkStart w:id="257" w:name="_Ref11918060"/>
      <w:bookmarkStart w:id="258" w:name="_Ref11956533"/>
      <w:bookmarkStart w:id="259" w:name="_Ref11918070"/>
      <w:bookmarkStart w:id="260" w:name="_Ref11956525"/>
      <w:r>
        <w:rPr>
          <w:color w:val="000000" w:themeColor="text1"/>
          <w:highlight w:val="none"/>
          <w14:textFill>
            <w14:solidFill>
              <w14:schemeClr w14:val="tx1"/>
            </w14:solidFill>
          </w14:textFill>
        </w:rPr>
        <w:t xml:space="preserve">2.5 </w:t>
      </w:r>
      <w:r>
        <w:rPr>
          <w:rFonts w:hint="eastAsia"/>
          <w:color w:val="000000" w:themeColor="text1"/>
          <w:highlight w:val="none"/>
          <w14:textFill>
            <w14:solidFill>
              <w14:schemeClr w14:val="tx1"/>
            </w14:solidFill>
          </w14:textFill>
        </w:rPr>
        <w:t>支付合同价款</w:t>
      </w:r>
      <w:bookmarkEnd w:id="255"/>
      <w:bookmarkEnd w:id="256"/>
      <w:bookmarkEnd w:id="257"/>
      <w:bookmarkEnd w:id="258"/>
      <w:bookmarkEnd w:id="259"/>
      <w:bookmarkEnd w:id="260"/>
    </w:p>
    <w:p>
      <w:pPr>
        <w:pStyle w:val="169"/>
        <w:spacing w:before="156"/>
        <w:rPr>
          <w:color w:val="000000" w:themeColor="text1"/>
          <w:highlight w:val="none"/>
          <w14:textFill>
            <w14:solidFill>
              <w14:schemeClr w14:val="tx1"/>
            </w14:solidFill>
          </w14:textFill>
        </w:rPr>
      </w:pPr>
      <w:bookmarkStart w:id="261" w:name="_Toc51505131"/>
      <w:bookmarkStart w:id="262" w:name="_Ref531950147"/>
      <w:r>
        <w:rPr>
          <w:color w:val="000000" w:themeColor="text1"/>
          <w:highlight w:val="none"/>
          <w14:textFill>
            <w14:solidFill>
              <w14:schemeClr w14:val="tx1"/>
            </w14:solidFill>
          </w14:textFill>
        </w:rPr>
        <w:t xml:space="preserve">2.5.1 </w:t>
      </w:r>
      <w:r>
        <w:rPr>
          <w:rFonts w:hint="eastAsia"/>
          <w:color w:val="000000" w:themeColor="text1"/>
          <w:highlight w:val="none"/>
          <w14:textFill>
            <w14:solidFill>
              <w14:schemeClr w14:val="tx1"/>
            </w14:solidFill>
          </w14:textFill>
        </w:rPr>
        <w:t>发包人应按合同约定向承包人及时支付合同价款。</w:t>
      </w:r>
      <w:bookmarkEnd w:id="261"/>
    </w:p>
    <w:bookmarkEnd w:id="262"/>
    <w:p>
      <w:pPr>
        <w:pStyle w:val="169"/>
        <w:spacing w:before="156"/>
        <w:rPr>
          <w:color w:val="000000" w:themeColor="text1"/>
          <w:highlight w:val="none"/>
          <w14:textFill>
            <w14:solidFill>
              <w14:schemeClr w14:val="tx1"/>
            </w14:solidFill>
          </w14:textFill>
        </w:rPr>
      </w:pPr>
      <w:bookmarkStart w:id="263" w:name="_Toc51505132"/>
      <w:r>
        <w:rPr>
          <w:color w:val="000000" w:themeColor="text1"/>
          <w:highlight w:val="none"/>
          <w14:textFill>
            <w14:solidFill>
              <w14:schemeClr w14:val="tx1"/>
            </w14:solidFill>
          </w14:textFill>
        </w:rPr>
        <w:t xml:space="preserve">2.5.2 </w:t>
      </w:r>
      <w:r>
        <w:rPr>
          <w:rFonts w:hint="eastAsia"/>
          <w:color w:val="000000" w:themeColor="text1"/>
          <w:highlight w:val="none"/>
          <w14:textFill>
            <w14:solidFill>
              <w14:schemeClr w14:val="tx1"/>
            </w14:solidFill>
          </w14:textFill>
        </w:rPr>
        <w:t>发包人应当制定资金安排计划，除专用合同条件另有约定外，如发包人拟对资金安排做任何重要变更，应将变更的详细情况通知承包人。如发生承包人收到价格大于签约合同价</w:t>
      </w:r>
      <w:r>
        <w:rPr>
          <w:color w:val="000000" w:themeColor="text1"/>
          <w:highlight w:val="none"/>
          <w14:textFill>
            <w14:solidFill>
              <w14:schemeClr w14:val="tx1"/>
            </w14:solidFill>
          </w14:textFill>
        </w:rPr>
        <w:t>10%的变更指示或累计变更的总价超过签约合同价30%；或承包人未能根据第14条[合同价格与支付]收到付款，或承包人得知发包人的资金安排发生重要变更但并未收到发包人上述重要变更通知的情况，则承包人可</w:t>
      </w:r>
      <w:r>
        <w:rPr>
          <w:rFonts w:hint="eastAsia"/>
          <w:color w:val="000000" w:themeColor="text1"/>
          <w:highlight w:val="none"/>
          <w14:textFill>
            <w14:solidFill>
              <w14:schemeClr w14:val="tx1"/>
            </w14:solidFill>
          </w14:textFill>
        </w:rPr>
        <w:t>随时要求发包人在</w:t>
      </w:r>
      <w:r>
        <w:rPr>
          <w:color w:val="000000" w:themeColor="text1"/>
          <w:highlight w:val="none"/>
          <w14:textFill>
            <w14:solidFill>
              <w14:schemeClr w14:val="tx1"/>
            </w14:solidFill>
          </w14:textFill>
        </w:rPr>
        <w:t>28天内补充提供能够按照合同约定支付合同价款的相应资金来源证明。</w:t>
      </w:r>
      <w:bookmarkEnd w:id="263"/>
    </w:p>
    <w:p>
      <w:pPr>
        <w:pStyle w:val="169"/>
        <w:spacing w:before="156"/>
        <w:rPr>
          <w:color w:val="000000" w:themeColor="text1"/>
          <w:highlight w:val="none"/>
          <w14:textFill>
            <w14:solidFill>
              <w14:schemeClr w14:val="tx1"/>
            </w14:solidFill>
          </w14:textFill>
        </w:rPr>
      </w:pPr>
      <w:bookmarkStart w:id="264" w:name="_Toc51505133"/>
      <w:bookmarkStart w:id="265" w:name="_Ref531950161"/>
      <w:r>
        <w:rPr>
          <w:color w:val="000000" w:themeColor="text1"/>
          <w:highlight w:val="none"/>
          <w14:textFill>
            <w14:solidFill>
              <w14:schemeClr w14:val="tx1"/>
            </w14:solidFill>
          </w14:textFill>
        </w:rPr>
        <w:t xml:space="preserve">2.5.3 </w:t>
      </w:r>
      <w:r>
        <w:rPr>
          <w:rFonts w:hint="eastAsia"/>
          <w:color w:val="000000" w:themeColor="text1"/>
          <w:highlight w:val="none"/>
          <w14:textFill>
            <w14:solidFill>
              <w14:schemeClr w14:val="tx1"/>
            </w14:solidFill>
          </w14:textFill>
        </w:rPr>
        <w:t>发包人应当向承包人提供支付担保。支付担保可以采用银行保函或担保公司担保等形式，具体由合同当事人在专用合同条件中约定。</w:t>
      </w:r>
      <w:bookmarkEnd w:id="264"/>
      <w:bookmarkEnd w:id="265"/>
    </w:p>
    <w:p>
      <w:pPr>
        <w:pStyle w:val="177"/>
        <w:spacing w:before="156"/>
        <w:rPr>
          <w:color w:val="000000" w:themeColor="text1"/>
          <w:highlight w:val="none"/>
          <w14:textFill>
            <w14:solidFill>
              <w14:schemeClr w14:val="tx1"/>
            </w14:solidFill>
          </w14:textFill>
        </w:rPr>
      </w:pPr>
      <w:bookmarkStart w:id="266" w:name="_Toc102745904"/>
      <w:bookmarkStart w:id="267" w:name="_Toc54862201"/>
      <w:r>
        <w:rPr>
          <w:color w:val="000000" w:themeColor="text1"/>
          <w:highlight w:val="none"/>
          <w14:textFill>
            <w14:solidFill>
              <w14:schemeClr w14:val="tx1"/>
            </w14:solidFill>
          </w14:textFill>
        </w:rPr>
        <w:t xml:space="preserve">2.6 </w:t>
      </w:r>
      <w:r>
        <w:rPr>
          <w:rFonts w:hint="eastAsia"/>
          <w:color w:val="000000" w:themeColor="text1"/>
          <w:highlight w:val="none"/>
          <w14:textFill>
            <w14:solidFill>
              <w14:schemeClr w14:val="tx1"/>
            </w14:solidFill>
          </w14:textFill>
        </w:rPr>
        <w:t>现场管理配合</w:t>
      </w:r>
      <w:bookmarkEnd w:id="266"/>
      <w:bookmarkEnd w:id="267"/>
    </w:p>
    <w:p>
      <w:pPr>
        <w:adjustRightInd w:val="0"/>
        <w:snapToGrid w:val="0"/>
        <w:spacing w:line="360" w:lineRule="auto"/>
        <w:ind w:firstLine="601"/>
        <w:rPr>
          <w:rFonts w:ascii="宋体"/>
          <w:color w:val="000000" w:themeColor="text1"/>
          <w:sz w:val="24"/>
          <w:szCs w:val="28"/>
          <w:highlight w:val="none"/>
          <w14:textFill>
            <w14:solidFill>
              <w14:schemeClr w14:val="tx1"/>
            </w14:solidFill>
          </w14:textFill>
        </w:rPr>
      </w:pPr>
      <w:bookmarkStart w:id="268" w:name="_Ref11959372"/>
      <w:bookmarkStart w:id="269" w:name="_Ref11959376"/>
      <w:bookmarkStart w:id="270" w:name="_Toc54862202"/>
      <w:bookmarkStart w:id="271" w:name="_Ref531952761"/>
      <w:bookmarkStart w:id="272" w:name="_Ref531952756"/>
      <w:r>
        <w:rPr>
          <w:rFonts w:hint="eastAsia" w:ascii="宋体"/>
          <w:color w:val="000000" w:themeColor="text1"/>
          <w:sz w:val="24"/>
          <w:szCs w:val="28"/>
          <w:highlight w:val="none"/>
          <w14:textFill>
            <w14:solidFill>
              <w14:schemeClr w14:val="tx1"/>
            </w14:solidFill>
          </w14:textFill>
        </w:rPr>
        <w:t>发包人应负责保证在现场或现场附近的发包人人员和发包人的其他承包人（如有）：</w:t>
      </w:r>
    </w:p>
    <w:p>
      <w:pPr>
        <w:adjustRightInd w:val="0"/>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根据第7.3款[现场合作]的约定，与承包人进行合作；</w:t>
      </w:r>
    </w:p>
    <w:p>
      <w:pPr>
        <w:adjustRightInd w:val="0"/>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遵守第7.5款[现场劳动用工]、第7.6款[安全文明施工]、第7.7款[职业健康]和第7.8款[环境保护]的相关约定。</w:t>
      </w:r>
    </w:p>
    <w:p>
      <w:pPr>
        <w:adjustRightInd w:val="0"/>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发包人应与承包人、由发包人直接发包的其他承包人（如有）订立施工现场统一管理协议，明确各方的权利义务。</w:t>
      </w:r>
    </w:p>
    <w:p>
      <w:pPr>
        <w:pStyle w:val="177"/>
        <w:spacing w:before="156"/>
        <w:rPr>
          <w:color w:val="000000" w:themeColor="text1"/>
          <w:highlight w:val="none"/>
          <w14:textFill>
            <w14:solidFill>
              <w14:schemeClr w14:val="tx1"/>
            </w14:solidFill>
          </w14:textFill>
        </w:rPr>
      </w:pPr>
      <w:bookmarkStart w:id="273" w:name="_Toc102745905"/>
      <w:r>
        <w:rPr>
          <w:color w:val="000000" w:themeColor="text1"/>
          <w:highlight w:val="none"/>
          <w14:textFill>
            <w14:solidFill>
              <w14:schemeClr w14:val="tx1"/>
            </w14:solidFill>
          </w14:textFill>
        </w:rPr>
        <w:t xml:space="preserve">2.7 </w:t>
      </w:r>
      <w:r>
        <w:rPr>
          <w:rFonts w:hint="eastAsia"/>
          <w:color w:val="000000" w:themeColor="text1"/>
          <w:highlight w:val="none"/>
          <w14:textFill>
            <w14:solidFill>
              <w14:schemeClr w14:val="tx1"/>
            </w14:solidFill>
          </w14:textFill>
        </w:rPr>
        <w:t>其他义务</w:t>
      </w:r>
      <w:bookmarkEnd w:id="268"/>
      <w:bookmarkEnd w:id="269"/>
      <w:bookmarkEnd w:id="270"/>
      <w:bookmarkEnd w:id="273"/>
    </w:p>
    <w:p>
      <w:pPr>
        <w:adjustRightInd w:val="0"/>
        <w:snapToGrid w:val="0"/>
        <w:spacing w:line="360" w:lineRule="auto"/>
        <w:ind w:firstLine="6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发包人应履行合同约定的其他义务，双方可在专用合同条件内对发包人应履行的其他义务进行补充约定。</w:t>
      </w:r>
    </w:p>
    <w:bookmarkEnd w:id="271"/>
    <w:bookmarkEnd w:id="272"/>
    <w:p>
      <w:pPr>
        <w:pStyle w:val="201"/>
        <w:rPr>
          <w:color w:val="000000" w:themeColor="text1"/>
          <w:highlight w:val="none"/>
          <w14:textFill>
            <w14:solidFill>
              <w14:schemeClr w14:val="tx1"/>
            </w14:solidFill>
          </w14:textFill>
        </w:rPr>
      </w:pPr>
      <w:bookmarkStart w:id="274" w:name="_Toc17932"/>
      <w:bookmarkStart w:id="275" w:name="_Toc102745906"/>
      <w:bookmarkStart w:id="276" w:name="_Toc1641"/>
      <w:bookmarkStart w:id="277" w:name="_Toc54862203"/>
      <w:bookmarkStart w:id="278" w:name="_Toc24153"/>
      <w:bookmarkStart w:id="279" w:name="_Toc29420"/>
      <w:bookmarkStart w:id="280" w:name="_Toc16040"/>
      <w:bookmarkStart w:id="281" w:name="_Toc18477"/>
      <w:bookmarkStart w:id="282" w:name="_Ref531952791"/>
      <w:bookmarkStart w:id="283" w:name="_Toc150"/>
      <w:bookmarkStart w:id="284" w:name="_Toc14181"/>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3条 </w:t>
      </w:r>
      <w:r>
        <w:rPr>
          <w:rFonts w:hint="eastAsia"/>
          <w:color w:val="000000" w:themeColor="text1"/>
          <w:highlight w:val="none"/>
          <w14:textFill>
            <w14:solidFill>
              <w14:schemeClr w14:val="tx1"/>
            </w14:solidFill>
          </w14:textFill>
        </w:rPr>
        <w:t>发包人的管理</w:t>
      </w:r>
      <w:bookmarkEnd w:id="274"/>
      <w:bookmarkEnd w:id="275"/>
      <w:bookmarkEnd w:id="276"/>
      <w:bookmarkEnd w:id="277"/>
      <w:bookmarkEnd w:id="278"/>
      <w:bookmarkEnd w:id="279"/>
      <w:bookmarkEnd w:id="280"/>
      <w:bookmarkEnd w:id="281"/>
      <w:bookmarkEnd w:id="282"/>
      <w:bookmarkEnd w:id="283"/>
      <w:bookmarkEnd w:id="284"/>
    </w:p>
    <w:p>
      <w:pPr>
        <w:pStyle w:val="177"/>
        <w:spacing w:before="156"/>
        <w:rPr>
          <w:color w:val="000000" w:themeColor="text1"/>
          <w:highlight w:val="none"/>
          <w14:textFill>
            <w14:solidFill>
              <w14:schemeClr w14:val="tx1"/>
            </w14:solidFill>
          </w14:textFill>
        </w:rPr>
      </w:pPr>
      <w:bookmarkStart w:id="285" w:name="_Ref522810097"/>
      <w:bookmarkStart w:id="286" w:name="_Ref522810094"/>
      <w:bookmarkStart w:id="287" w:name="_Ref531951533"/>
      <w:bookmarkStart w:id="288" w:name="_Toc102745907"/>
      <w:bookmarkStart w:id="289" w:name="_Ref531951538"/>
      <w:bookmarkStart w:id="290" w:name="_Toc54862204"/>
      <w:r>
        <w:rPr>
          <w:color w:val="000000" w:themeColor="text1"/>
          <w:highlight w:val="none"/>
          <w14:textFill>
            <w14:solidFill>
              <w14:schemeClr w14:val="tx1"/>
            </w14:solidFill>
          </w14:textFill>
        </w:rPr>
        <w:t xml:space="preserve">3.1 </w:t>
      </w:r>
      <w:r>
        <w:rPr>
          <w:rFonts w:hint="eastAsia"/>
          <w:color w:val="000000" w:themeColor="text1"/>
          <w:highlight w:val="none"/>
          <w14:textFill>
            <w14:solidFill>
              <w14:schemeClr w14:val="tx1"/>
            </w14:solidFill>
          </w14:textFill>
        </w:rPr>
        <w:t>发包人</w:t>
      </w:r>
      <w:bookmarkEnd w:id="285"/>
      <w:bookmarkEnd w:id="286"/>
      <w:r>
        <w:rPr>
          <w:rFonts w:hint="eastAsia"/>
          <w:color w:val="000000" w:themeColor="text1"/>
          <w:highlight w:val="none"/>
          <w14:textFill>
            <w14:solidFill>
              <w14:schemeClr w14:val="tx1"/>
            </w14:solidFill>
          </w14:textFill>
        </w:rPr>
        <w:t>代表</w:t>
      </w:r>
      <w:bookmarkEnd w:id="287"/>
      <w:bookmarkEnd w:id="288"/>
      <w:bookmarkEnd w:id="289"/>
      <w:bookmarkEnd w:id="29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除非发包人另行通知承包人，发包人代表应被授予并且被认为具有发包人在授权范围内享有的相应权利，涉及第16.1款[由发包人解除合同]的权利除外。</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发包人代表（或者在其为法人的情况下，被任命代表其行事的自然人）应：</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履行指派给其的职责，行使发包人托付给的权利；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具备履行这些职责、行使这些权利的能力；</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作为熟练的专业人员行事。</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发包人代表不能按照合同约定履行其职责及义务，并导致合同无法继续正常履行的，承包人可以要求发包人撤换发包人代表。</w:t>
      </w:r>
    </w:p>
    <w:p>
      <w:pPr>
        <w:pStyle w:val="177"/>
        <w:spacing w:before="156"/>
        <w:rPr>
          <w:color w:val="000000" w:themeColor="text1"/>
          <w:highlight w:val="none"/>
          <w14:textFill>
            <w14:solidFill>
              <w14:schemeClr w14:val="tx1"/>
            </w14:solidFill>
          </w14:textFill>
        </w:rPr>
      </w:pPr>
      <w:bookmarkStart w:id="291" w:name="_Toc54862205"/>
      <w:bookmarkStart w:id="292" w:name="_Ref531951553"/>
      <w:bookmarkStart w:id="293" w:name="_Ref531951557"/>
      <w:bookmarkStart w:id="294" w:name="_Toc102745908"/>
      <w:r>
        <w:rPr>
          <w:color w:val="000000" w:themeColor="text1"/>
          <w:highlight w:val="none"/>
          <w14:textFill>
            <w14:solidFill>
              <w14:schemeClr w14:val="tx1"/>
            </w14:solidFill>
          </w14:textFill>
        </w:rPr>
        <w:t xml:space="preserve">3.2 </w:t>
      </w:r>
      <w:r>
        <w:rPr>
          <w:rFonts w:hint="eastAsia"/>
          <w:color w:val="000000" w:themeColor="text1"/>
          <w:highlight w:val="none"/>
          <w14:textFill>
            <w14:solidFill>
              <w14:schemeClr w14:val="tx1"/>
            </w14:solidFill>
          </w14:textFill>
        </w:rPr>
        <w:t>发包人人员</w:t>
      </w:r>
      <w:bookmarkEnd w:id="291"/>
      <w:bookmarkEnd w:id="292"/>
      <w:bookmarkEnd w:id="293"/>
      <w:bookmarkEnd w:id="294"/>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发包人应要求在施工现场的发包人人员遵守法律及有关安全、质量、环境保护、文明施工等规定，因发包人人员未遵守上述要求给承包人造成的损失和责任由发包人承担。</w:t>
      </w:r>
    </w:p>
    <w:p>
      <w:pPr>
        <w:pStyle w:val="177"/>
        <w:spacing w:before="156"/>
        <w:rPr>
          <w:color w:val="000000" w:themeColor="text1"/>
          <w:highlight w:val="none"/>
          <w14:textFill>
            <w14:solidFill>
              <w14:schemeClr w14:val="tx1"/>
            </w14:solidFill>
          </w14:textFill>
        </w:rPr>
      </w:pPr>
      <w:bookmarkStart w:id="295" w:name="_Toc54862206"/>
      <w:bookmarkStart w:id="296" w:name="_Toc102745909"/>
      <w:r>
        <w:rPr>
          <w:color w:val="000000" w:themeColor="text1"/>
          <w:highlight w:val="none"/>
          <w14:textFill>
            <w14:solidFill>
              <w14:schemeClr w14:val="tx1"/>
            </w14:solidFill>
          </w14:textFill>
        </w:rPr>
        <w:t xml:space="preserve">3.3 </w:t>
      </w:r>
      <w:r>
        <w:rPr>
          <w:rFonts w:hint="eastAsia"/>
          <w:color w:val="000000" w:themeColor="text1"/>
          <w:highlight w:val="none"/>
          <w14:textFill>
            <w14:solidFill>
              <w14:schemeClr w14:val="tx1"/>
            </w14:solidFill>
          </w14:textFill>
        </w:rPr>
        <w:t>工程师</w:t>
      </w:r>
      <w:bookmarkEnd w:id="295"/>
      <w:bookmarkEnd w:id="296"/>
      <w:r>
        <w:rPr>
          <w:color w:val="000000" w:themeColor="text1"/>
          <w:highlight w:val="none"/>
          <w14:textFill>
            <w14:solidFill>
              <w14:schemeClr w14:val="tx1"/>
            </w14:solidFill>
          </w14:textFill>
        </w:rPr>
        <w:t xml:space="preserve"> </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3.3.1 </w:t>
      </w:r>
      <w:r>
        <w:rPr>
          <w:rFonts w:hint="eastAsia"/>
          <w:color w:val="000000" w:themeColor="text1"/>
          <w:highlight w:val="none"/>
          <w14:textFill>
            <w14:solidFill>
              <w14:schemeClr w14:val="tx1"/>
            </w14:solidFill>
          </w14:textFill>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3.3.2 </w:t>
      </w:r>
      <w:r>
        <w:rPr>
          <w:rFonts w:hint="eastAsia"/>
          <w:color w:val="000000" w:themeColor="text1"/>
          <w:highlight w:val="none"/>
          <w14:textFill>
            <w14:solidFill>
              <w14:schemeClr w14:val="tx1"/>
            </w14:solidFill>
          </w14:textFill>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3.3.3 </w:t>
      </w:r>
      <w:r>
        <w:rPr>
          <w:rFonts w:hint="eastAsia"/>
          <w:color w:val="000000" w:themeColor="text1"/>
          <w:highlight w:val="none"/>
          <w14:textFill>
            <w14:solidFill>
              <w14:schemeClr w14:val="tx1"/>
            </w14:solidFill>
          </w14:textFill>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3.3.4 </w:t>
      </w:r>
      <w:r>
        <w:rPr>
          <w:rFonts w:hint="eastAsia"/>
          <w:color w:val="000000" w:themeColor="text1"/>
          <w:highlight w:val="none"/>
          <w14:textFill>
            <w14:solidFill>
              <w14:schemeClr w14:val="tx1"/>
            </w14:solidFill>
          </w14:textFill>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169"/>
        <w:spacing w:before="156"/>
        <w:rPr>
          <w:color w:val="000000" w:themeColor="text1"/>
          <w:highlight w:val="none"/>
          <w14:textFill>
            <w14:solidFill>
              <w14:schemeClr w14:val="tx1"/>
            </w14:solidFill>
          </w14:textFill>
        </w:rPr>
      </w:pPr>
      <w:bookmarkStart w:id="297" w:name="_Toc54862207"/>
      <w:bookmarkStart w:id="298" w:name="_Ref531951597"/>
      <w:bookmarkStart w:id="299" w:name="_Ref531951594"/>
      <w:r>
        <w:rPr>
          <w:color w:val="000000" w:themeColor="text1"/>
          <w:highlight w:val="none"/>
          <w14:textFill>
            <w14:solidFill>
              <w14:schemeClr w14:val="tx1"/>
            </w14:solidFill>
          </w14:textFill>
        </w:rPr>
        <w:t xml:space="preserve">3.4 </w:t>
      </w:r>
      <w:r>
        <w:rPr>
          <w:rFonts w:hint="eastAsia"/>
          <w:color w:val="000000" w:themeColor="text1"/>
          <w:highlight w:val="none"/>
          <w14:textFill>
            <w14:solidFill>
              <w14:schemeClr w14:val="tx1"/>
            </w14:solidFill>
          </w14:textFill>
        </w:rPr>
        <w:t>任命和授权</w:t>
      </w:r>
      <w:bookmarkEnd w:id="297"/>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3.4.1 </w:t>
      </w:r>
      <w:r>
        <w:rPr>
          <w:rFonts w:hint="eastAsia"/>
          <w:color w:val="000000" w:themeColor="text1"/>
          <w:highlight w:val="none"/>
          <w14:textFill>
            <w14:solidFill>
              <w14:schemeClr w14:val="tx1"/>
            </w14:solidFill>
          </w14:textFill>
        </w:rPr>
        <w:t>发包人应在发出开始工作通知前将工程师的任命通知承包人。更换工程师的，发包人应提前</w:t>
      </w:r>
      <w:r>
        <w:rPr>
          <w:color w:val="000000" w:themeColor="text1"/>
          <w:highlight w:val="none"/>
          <w14:textFill>
            <w14:solidFill>
              <w14:schemeClr w14:val="tx1"/>
            </w14:solidFill>
          </w14:textFill>
        </w:rPr>
        <w:t>7天以书面形式通知承包人，并在通知中写明替换者的姓名、</w:t>
      </w:r>
      <w:r>
        <w:rPr>
          <w:rFonts w:hint="eastAsia"/>
          <w:color w:val="000000" w:themeColor="text1"/>
          <w:highlight w:val="none"/>
          <w14:textFill>
            <w14:solidFill>
              <w14:schemeClr w14:val="tx1"/>
            </w14:solidFill>
          </w14:textFill>
        </w:rPr>
        <w:t>职务、职权、权限和任命时间。工程师超过</w:t>
      </w:r>
      <w:r>
        <w:rPr>
          <w:color w:val="000000" w:themeColor="text1"/>
          <w:highlight w:val="none"/>
          <w14:textFill>
            <w14:solidFill>
              <w14:schemeClr w14:val="tx1"/>
            </w14:solidFill>
          </w14:textFill>
        </w:rPr>
        <w:t>2天不能履行职责的，应委派代表代行其职责，并通知承包人。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3.4.2 </w:t>
      </w:r>
      <w:r>
        <w:rPr>
          <w:rFonts w:hint="eastAsia"/>
          <w:color w:val="000000" w:themeColor="text1"/>
          <w:highlight w:val="none"/>
          <w14:textFill>
            <w14:solidFill>
              <w14:schemeClr w14:val="tx1"/>
            </w14:solidFill>
          </w14:textFill>
        </w:rPr>
        <w:t>工程师可以授权其他人员负责执行其指派的一项或多项工作，但第</w:t>
      </w:r>
      <w:r>
        <w:rPr>
          <w:color w:val="000000" w:themeColor="text1"/>
          <w:highlight w:val="none"/>
          <w14:textFill>
            <w14:solidFill>
              <w14:schemeClr w14:val="tx1"/>
            </w14:solidFill>
          </w14:textFill>
        </w:rPr>
        <w:t>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177"/>
        <w:spacing w:before="156"/>
        <w:rPr>
          <w:color w:val="000000" w:themeColor="text1"/>
          <w:highlight w:val="none"/>
          <w14:textFill>
            <w14:solidFill>
              <w14:schemeClr w14:val="tx1"/>
            </w14:solidFill>
          </w14:textFill>
        </w:rPr>
      </w:pPr>
      <w:bookmarkStart w:id="300" w:name="_Toc54862208"/>
      <w:bookmarkStart w:id="301" w:name="_Ref20165400"/>
      <w:bookmarkStart w:id="302" w:name="_Toc102745910"/>
      <w:r>
        <w:rPr>
          <w:color w:val="000000" w:themeColor="text1"/>
          <w:highlight w:val="none"/>
          <w14:textFill>
            <w14:solidFill>
              <w14:schemeClr w14:val="tx1"/>
            </w14:solidFill>
          </w14:textFill>
        </w:rPr>
        <w:t xml:space="preserve">3.5 </w:t>
      </w:r>
      <w:r>
        <w:rPr>
          <w:rFonts w:hint="eastAsia"/>
          <w:color w:val="000000" w:themeColor="text1"/>
          <w:highlight w:val="none"/>
          <w14:textFill>
            <w14:solidFill>
              <w14:schemeClr w14:val="tx1"/>
            </w14:solidFill>
          </w14:textFill>
        </w:rPr>
        <w:t>指示</w:t>
      </w:r>
      <w:bookmarkEnd w:id="298"/>
      <w:bookmarkEnd w:id="299"/>
      <w:bookmarkEnd w:id="300"/>
      <w:bookmarkEnd w:id="301"/>
      <w:bookmarkEnd w:id="302"/>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3.5.1 </w:t>
      </w:r>
      <w:r>
        <w:rPr>
          <w:rFonts w:hint="eastAsia"/>
          <w:color w:val="000000" w:themeColor="text1"/>
          <w:highlight w:val="none"/>
          <w14:textFill>
            <w14:solidFill>
              <w14:schemeClr w14:val="tx1"/>
            </w14:solidFill>
          </w14:textFill>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w:t>
      </w:r>
      <w:r>
        <w:rPr>
          <w:color w:val="000000" w:themeColor="text1"/>
          <w:highlight w:val="none"/>
          <w14:textFill>
            <w14:solidFill>
              <w14:schemeClr w14:val="tx1"/>
            </w14:solidFill>
          </w14:textFill>
        </w:rPr>
        <w:t>24小时内发出书面确认函，在24小时内未发出书面确认函的，该口头指示或临时书面指示应被视为工程师的正式指示。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3.5.2 </w:t>
      </w:r>
      <w:r>
        <w:rPr>
          <w:rFonts w:hint="eastAsia"/>
          <w:color w:val="000000" w:themeColor="text1"/>
          <w:highlight w:val="none"/>
          <w14:textFill>
            <w14:solidFill>
              <w14:schemeClr w14:val="tx1"/>
            </w14:solidFill>
          </w14:textFill>
        </w:rPr>
        <w:t>承包人收到工程师作出的指示后应遵照执行。如果任何此类指示构成一项变更时，应按照第</w:t>
      </w:r>
      <w:r>
        <w:rPr>
          <w:color w:val="000000" w:themeColor="text1"/>
          <w:highlight w:val="none"/>
          <w14:textFill>
            <w14:solidFill>
              <w14:schemeClr w14:val="tx1"/>
            </w14:solidFill>
          </w14:textFill>
        </w:rPr>
        <w:t>13条[变更与调整]的约定办理。</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3.5.3 </w:t>
      </w:r>
      <w:r>
        <w:rPr>
          <w:rFonts w:hint="eastAsia"/>
          <w:color w:val="000000" w:themeColor="text1"/>
          <w:highlight w:val="none"/>
          <w14:textFill>
            <w14:solidFill>
              <w14:schemeClr w14:val="tx1"/>
            </w14:solidFill>
          </w14:textFill>
        </w:rPr>
        <w:t>由于工程师未能按合同约定发出指示、指示延误或指示错误而导致承包人费用增加和（或）工期延误的，发包人应承担由此增加的费用和（或）工期延误，并向承包人支付合理利润。</w:t>
      </w:r>
    </w:p>
    <w:p>
      <w:pPr>
        <w:pStyle w:val="177"/>
        <w:spacing w:before="156"/>
        <w:rPr>
          <w:color w:val="000000" w:themeColor="text1"/>
          <w:highlight w:val="none"/>
          <w14:textFill>
            <w14:solidFill>
              <w14:schemeClr w14:val="tx1"/>
            </w14:solidFill>
          </w14:textFill>
        </w:rPr>
      </w:pPr>
      <w:bookmarkStart w:id="303" w:name="_Toc54862209"/>
      <w:bookmarkStart w:id="304" w:name="_Ref531951609"/>
      <w:bookmarkStart w:id="305" w:name="_Ref531951611"/>
      <w:bookmarkStart w:id="306" w:name="_Toc102745911"/>
      <w:r>
        <w:rPr>
          <w:color w:val="000000" w:themeColor="text1"/>
          <w:highlight w:val="none"/>
          <w14:textFill>
            <w14:solidFill>
              <w14:schemeClr w14:val="tx1"/>
            </w14:solidFill>
          </w14:textFill>
        </w:rPr>
        <w:t xml:space="preserve">3.6 </w:t>
      </w:r>
      <w:r>
        <w:rPr>
          <w:rFonts w:hint="eastAsia"/>
          <w:color w:val="000000" w:themeColor="text1"/>
          <w:highlight w:val="none"/>
          <w14:textFill>
            <w14:solidFill>
              <w14:schemeClr w14:val="tx1"/>
            </w14:solidFill>
          </w14:textFill>
        </w:rPr>
        <w:t>商定或确定</w:t>
      </w:r>
      <w:bookmarkEnd w:id="303"/>
      <w:bookmarkEnd w:id="304"/>
      <w:bookmarkEnd w:id="305"/>
      <w:bookmarkEnd w:id="306"/>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3.6.1 </w:t>
      </w:r>
      <w:r>
        <w:rPr>
          <w:rFonts w:hint="eastAsia"/>
          <w:color w:val="000000" w:themeColor="text1"/>
          <w:highlight w:val="none"/>
          <w14:textFill>
            <w14:solidFill>
              <w14:schemeClr w14:val="tx1"/>
            </w14:solidFill>
          </w14:textFill>
        </w:rPr>
        <w:t>合同约定工程师应按照本款对任何事项进行商定或确定时，工程师应及时与合同当事人协商，尽量达成一致。工程师应将商定的结果以书面形式通知发包人和承包人，并由双方签署确认。</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3.6.2 </w:t>
      </w:r>
      <w:r>
        <w:rPr>
          <w:rFonts w:hint="eastAsia"/>
          <w:color w:val="000000" w:themeColor="text1"/>
          <w:highlight w:val="none"/>
          <w14:textFill>
            <w14:solidFill>
              <w14:schemeClr w14:val="tx1"/>
            </w14:solidFill>
          </w14:textFill>
        </w:rPr>
        <w:t>除专用合同条件另有约定外，商定的期限应为工程师收到任何一方就商定事由发出的通知后</w:t>
      </w:r>
      <w:r>
        <w:rPr>
          <w:color w:val="000000" w:themeColor="text1"/>
          <w:highlight w:val="none"/>
          <w14:textFill>
            <w14:solidFill>
              <w14:schemeClr w14:val="tx1"/>
            </w14:solidFill>
          </w14:textFill>
        </w:rPr>
        <w:t>42天内或工程师提出并经双方同意的其他期限。未能在该期限内达成一致的，由工程师按照合同约定审慎做出公正的确定。确定的期限应为</w:t>
      </w:r>
      <w:r>
        <w:rPr>
          <w:rFonts w:hint="eastAsia"/>
          <w:color w:val="000000" w:themeColor="text1"/>
          <w:highlight w:val="none"/>
          <w14:textFill>
            <w14:solidFill>
              <w14:schemeClr w14:val="tx1"/>
            </w14:solidFill>
          </w14:textFill>
        </w:rPr>
        <w:t>商定的期限届满后</w:t>
      </w:r>
      <w:r>
        <w:rPr>
          <w:color w:val="000000" w:themeColor="text1"/>
          <w:highlight w:val="none"/>
          <w14:textFill>
            <w14:solidFill>
              <w14:schemeClr w14:val="tx1"/>
            </w14:solidFill>
          </w14:textFill>
        </w:rPr>
        <w:t>42天内或工程师提出并经双方同意的其他期限。工程师应将确定的结果以书面形式通知发包人和承包人，并附详细依据。</w:t>
      </w:r>
    </w:p>
    <w:p>
      <w:pPr>
        <w:pStyle w:val="169"/>
        <w:spacing w:before="156"/>
        <w:rPr>
          <w:color w:val="000000" w:themeColor="text1"/>
          <w:highlight w:val="none"/>
          <w14:textFill>
            <w14:solidFill>
              <w14:schemeClr w14:val="tx1"/>
            </w14:solidFill>
          </w14:textFill>
        </w:rPr>
      </w:pPr>
      <w:bookmarkStart w:id="307" w:name="_Ref532287856"/>
      <w:r>
        <w:rPr>
          <w:color w:val="000000" w:themeColor="text1"/>
          <w:highlight w:val="none"/>
          <w14:textFill>
            <w14:solidFill>
              <w14:schemeClr w14:val="tx1"/>
            </w14:solidFill>
          </w14:textFill>
        </w:rPr>
        <w:t xml:space="preserve">3.6.3 </w:t>
      </w:r>
      <w:r>
        <w:rPr>
          <w:rFonts w:hint="eastAsia"/>
          <w:color w:val="000000" w:themeColor="text1"/>
          <w:highlight w:val="none"/>
          <w14:textFill>
            <w14:solidFill>
              <w14:schemeClr w14:val="tx1"/>
            </w14:solidFill>
          </w14:textFill>
        </w:rPr>
        <w:t>任何一方对工程师的确定有异议的，应在收到确定的结果后</w:t>
      </w:r>
      <w:r>
        <w:rPr>
          <w:color w:val="000000" w:themeColor="text1"/>
          <w:highlight w:val="none"/>
          <w14:textFill>
            <w14:solidFill>
              <w14:schemeClr w14:val="tx1"/>
            </w14:solidFill>
          </w14:textFill>
        </w:rPr>
        <w:t>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bookmarkEnd w:id="307"/>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3.6.4 </w:t>
      </w:r>
      <w:r>
        <w:rPr>
          <w:rFonts w:hint="eastAsia"/>
          <w:color w:val="000000" w:themeColor="text1"/>
          <w:highlight w:val="none"/>
          <w14:textFill>
            <w14:solidFill>
              <w14:schemeClr w14:val="tx1"/>
            </w14:solidFill>
          </w14:textFill>
        </w:rPr>
        <w:t>在该争议解决前，双方应暂按工程师的确定执行。按照第</w:t>
      </w:r>
      <w:r>
        <w:rPr>
          <w:color w:val="000000" w:themeColor="text1"/>
          <w:highlight w:val="none"/>
          <w14:textFill>
            <w14:solidFill>
              <w14:schemeClr w14:val="tx1"/>
            </w14:solidFill>
          </w14:textFill>
        </w:rPr>
        <w:t>20条[争议解决]的约定对工程师的确定</w:t>
      </w:r>
      <w:r>
        <w:rPr>
          <w:rFonts w:hint="eastAsia"/>
          <w:color w:val="000000" w:themeColor="text1"/>
          <w:highlight w:val="none"/>
          <w14:textFill>
            <w14:solidFill>
              <w14:schemeClr w14:val="tx1"/>
            </w14:solidFill>
          </w14:textFill>
        </w:rPr>
        <w:t>作出修改的，按修改后的结果执行，由此导致承包人增加的费用和延误的工期由责任方承担。</w:t>
      </w:r>
    </w:p>
    <w:p>
      <w:pPr>
        <w:pStyle w:val="177"/>
        <w:spacing w:before="156"/>
        <w:rPr>
          <w:color w:val="000000" w:themeColor="text1"/>
          <w:highlight w:val="none"/>
          <w14:textFill>
            <w14:solidFill>
              <w14:schemeClr w14:val="tx1"/>
            </w14:solidFill>
          </w14:textFill>
        </w:rPr>
      </w:pPr>
      <w:bookmarkStart w:id="308" w:name="_Ref531951747"/>
      <w:bookmarkStart w:id="309" w:name="_Toc102745912"/>
      <w:bookmarkStart w:id="310" w:name="_Ref531951749"/>
      <w:bookmarkStart w:id="311" w:name="_Toc54862210"/>
      <w:r>
        <w:rPr>
          <w:color w:val="000000" w:themeColor="text1"/>
          <w:highlight w:val="none"/>
          <w14:textFill>
            <w14:solidFill>
              <w14:schemeClr w14:val="tx1"/>
            </w14:solidFill>
          </w14:textFill>
        </w:rPr>
        <w:t xml:space="preserve">3.7 </w:t>
      </w:r>
      <w:r>
        <w:rPr>
          <w:rFonts w:hint="eastAsia"/>
          <w:color w:val="000000" w:themeColor="text1"/>
          <w:highlight w:val="none"/>
          <w14:textFill>
            <w14:solidFill>
              <w14:schemeClr w14:val="tx1"/>
            </w14:solidFill>
          </w14:textFill>
        </w:rPr>
        <w:t>会议</w:t>
      </w:r>
      <w:bookmarkEnd w:id="308"/>
      <w:bookmarkEnd w:id="309"/>
      <w:bookmarkEnd w:id="310"/>
      <w:bookmarkEnd w:id="311"/>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3.7.1 </w:t>
      </w:r>
      <w:r>
        <w:rPr>
          <w:rFonts w:hint="eastAsia"/>
          <w:color w:val="000000" w:themeColor="text1"/>
          <w:highlight w:val="none"/>
          <w14:textFill>
            <w14:solidFill>
              <w14:schemeClr w14:val="tx1"/>
            </w14:solidFill>
          </w14:textFill>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3.7.2 </w:t>
      </w:r>
      <w:r>
        <w:rPr>
          <w:rFonts w:hint="eastAsia"/>
          <w:color w:val="000000" w:themeColor="text1"/>
          <w:highlight w:val="none"/>
          <w14:textFill>
            <w14:solidFill>
              <w14:schemeClr w14:val="tx1"/>
            </w14:solidFill>
          </w14:textFill>
        </w:rPr>
        <w:t>除专用合同条件另有约定外，发包人应保存每次会议参加人签名的记录，并将会议纪要提供给出席会议的人员。任何根据此类会议以及会议纪要采取的行动应符合本合同的约定。</w:t>
      </w:r>
    </w:p>
    <w:p>
      <w:pPr>
        <w:pStyle w:val="201"/>
        <w:rPr>
          <w:color w:val="000000" w:themeColor="text1"/>
          <w:highlight w:val="none"/>
          <w14:textFill>
            <w14:solidFill>
              <w14:schemeClr w14:val="tx1"/>
            </w14:solidFill>
          </w14:textFill>
        </w:rPr>
      </w:pPr>
      <w:bookmarkStart w:id="312" w:name="_Toc54862211"/>
      <w:bookmarkStart w:id="313" w:name="_Toc15287"/>
      <w:bookmarkStart w:id="314" w:name="_Toc27972"/>
      <w:bookmarkStart w:id="315" w:name="_Ref531952805"/>
      <w:bookmarkStart w:id="316" w:name="_Toc102745913"/>
      <w:bookmarkStart w:id="317" w:name="_Toc30091"/>
      <w:bookmarkStart w:id="318" w:name="_Toc32593"/>
      <w:bookmarkStart w:id="319" w:name="_Toc6980"/>
      <w:bookmarkStart w:id="320" w:name="_Toc30782"/>
      <w:bookmarkStart w:id="321" w:name="_Toc16112"/>
      <w:bookmarkStart w:id="322" w:name="_Toc28892"/>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4条 </w:t>
      </w:r>
      <w:r>
        <w:rPr>
          <w:rFonts w:hint="eastAsia"/>
          <w:color w:val="000000" w:themeColor="text1"/>
          <w:highlight w:val="none"/>
          <w14:textFill>
            <w14:solidFill>
              <w14:schemeClr w14:val="tx1"/>
            </w14:solidFill>
          </w14:textFill>
        </w:rPr>
        <w:t>承包人</w:t>
      </w:r>
      <w:bookmarkEnd w:id="312"/>
      <w:bookmarkEnd w:id="313"/>
      <w:bookmarkEnd w:id="314"/>
      <w:bookmarkEnd w:id="315"/>
      <w:bookmarkEnd w:id="316"/>
      <w:bookmarkEnd w:id="317"/>
      <w:bookmarkEnd w:id="318"/>
      <w:bookmarkEnd w:id="319"/>
      <w:bookmarkEnd w:id="320"/>
      <w:bookmarkEnd w:id="321"/>
      <w:bookmarkEnd w:id="322"/>
    </w:p>
    <w:p>
      <w:pPr>
        <w:pStyle w:val="177"/>
        <w:spacing w:before="156"/>
        <w:rPr>
          <w:color w:val="000000" w:themeColor="text1"/>
          <w:highlight w:val="none"/>
          <w14:textFill>
            <w14:solidFill>
              <w14:schemeClr w14:val="tx1"/>
            </w14:solidFill>
          </w14:textFill>
        </w:rPr>
      </w:pPr>
      <w:bookmarkStart w:id="323" w:name="_Ref531951958"/>
      <w:bookmarkStart w:id="324" w:name="_Ref531951941"/>
      <w:bookmarkStart w:id="325" w:name="_Ref531951975"/>
      <w:bookmarkStart w:id="326" w:name="_Toc54862212"/>
      <w:bookmarkStart w:id="327" w:name="_Ref531951961"/>
      <w:bookmarkStart w:id="328" w:name="_Ref531951945"/>
      <w:bookmarkStart w:id="329" w:name="_Toc102745914"/>
      <w:r>
        <w:rPr>
          <w:color w:val="000000" w:themeColor="text1"/>
          <w:highlight w:val="none"/>
          <w14:textFill>
            <w14:solidFill>
              <w14:schemeClr w14:val="tx1"/>
            </w14:solidFill>
          </w14:textFill>
        </w:rPr>
        <w:t xml:space="preserve">4.1 </w:t>
      </w:r>
      <w:r>
        <w:rPr>
          <w:rFonts w:hint="eastAsia"/>
          <w:color w:val="000000" w:themeColor="text1"/>
          <w:highlight w:val="none"/>
          <w14:textFill>
            <w14:solidFill>
              <w14:schemeClr w14:val="tx1"/>
            </w14:solidFill>
          </w14:textFill>
        </w:rPr>
        <w:t>承包人的一般义务</w:t>
      </w:r>
      <w:bookmarkEnd w:id="323"/>
      <w:bookmarkEnd w:id="324"/>
      <w:bookmarkEnd w:id="325"/>
      <w:bookmarkEnd w:id="326"/>
      <w:bookmarkEnd w:id="327"/>
      <w:bookmarkEnd w:id="328"/>
      <w:bookmarkEnd w:id="32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330" w:name="_Ref509046929"/>
      <w:r>
        <w:rPr>
          <w:rFonts w:hint="eastAsia" w:ascii="宋体"/>
          <w:color w:val="000000" w:themeColor="text1"/>
          <w:sz w:val="24"/>
          <w:szCs w:val="28"/>
          <w:highlight w:val="none"/>
          <w14:textFill>
            <w14:solidFill>
              <w14:schemeClr w14:val="tx1"/>
            </w14:solidFill>
          </w14:textFill>
        </w:rPr>
        <w:t>除专用合同条件另有约定外，承包人在履行合同过程中应遵守法律和工程建设标准规范，并履行以下义务：</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办理法律规定和合同约定由承包人办理的许可和批准，将办理结果书面报送发包人留存，并承担因承包人违反法律或合同约定给发包人造成的任何费用和损失；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按合同约定完成全部工作并在缺陷责任期和保修期内承担缺陷保证责任和保修义务，对工作中的任何缺陷进行整改、完善和修补，使其满足合同约定的目的；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提供合同约定的工程设备和承包人文件，以及为完成合同工作所需的劳务、材料、施工设备和其他物品，并按合同约定负责临时设施的设计、施工、运行、维护、管理和拆除；</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按合同约定的工作内容和进度要求，编制设计、施工的组织和实施计划，保证项目进度计划的实现，并对所有设计、施工作业和施工方法，以及全部工程的完备性和安全可靠性负责；</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按法律规定和合同约定采取安全文明施工、职业健康和环境保护措施，办理员工工伤保险等相关保险，确保工程及人员、材料、设备和设施的安全，防止因工程实施造成的人身伤害和财产损失；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将发包人按合同约定支付的各项价款专用于合同工程，且应及时支付其雇用人员（包括建筑工人）工资，并及时向分包人支付合同价款；</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在进行合同约定的各项工作时，不得侵害发包人与他人使用公用道路、水源、市政管网等公共设施的权利，避免对邻近的公共设施产生干扰。</w:t>
      </w:r>
    </w:p>
    <w:p>
      <w:pPr>
        <w:pStyle w:val="177"/>
        <w:spacing w:before="156"/>
        <w:rPr>
          <w:color w:val="000000" w:themeColor="text1"/>
          <w:highlight w:val="none"/>
          <w14:textFill>
            <w14:solidFill>
              <w14:schemeClr w14:val="tx1"/>
            </w14:solidFill>
          </w14:textFill>
        </w:rPr>
      </w:pPr>
      <w:bookmarkStart w:id="331" w:name="_Ref4426803"/>
      <w:bookmarkStart w:id="332" w:name="_Toc102745915"/>
      <w:bookmarkStart w:id="333" w:name="_Toc54862213"/>
      <w:bookmarkStart w:id="334" w:name="_Ref4428418"/>
      <w:r>
        <w:rPr>
          <w:color w:val="000000" w:themeColor="text1"/>
          <w:highlight w:val="none"/>
          <w14:textFill>
            <w14:solidFill>
              <w14:schemeClr w14:val="tx1"/>
            </w14:solidFill>
          </w14:textFill>
        </w:rPr>
        <w:t xml:space="preserve">4.2 </w:t>
      </w:r>
      <w:r>
        <w:rPr>
          <w:rFonts w:hint="eastAsia"/>
          <w:color w:val="000000" w:themeColor="text1"/>
          <w:highlight w:val="none"/>
          <w14:textFill>
            <w14:solidFill>
              <w14:schemeClr w14:val="tx1"/>
            </w14:solidFill>
          </w14:textFill>
        </w:rPr>
        <w:t>履约担保</w:t>
      </w:r>
      <w:bookmarkEnd w:id="331"/>
      <w:bookmarkEnd w:id="332"/>
      <w:bookmarkEnd w:id="33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承包人应保证其履约担保在发包人竣工验收前一直有效，发包人应在竣工验收合格后7天内将履约担保款项退还给承包人或者解除履约担保。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bookmarkEnd w:id="330"/>
    <w:bookmarkEnd w:id="334"/>
    <w:p>
      <w:pPr>
        <w:pStyle w:val="177"/>
        <w:spacing w:before="156"/>
        <w:rPr>
          <w:color w:val="000000" w:themeColor="text1"/>
          <w:highlight w:val="none"/>
          <w14:textFill>
            <w14:solidFill>
              <w14:schemeClr w14:val="tx1"/>
            </w14:solidFill>
          </w14:textFill>
        </w:rPr>
      </w:pPr>
      <w:bookmarkStart w:id="335" w:name="_Ref532689108"/>
      <w:bookmarkStart w:id="336" w:name="_Toc54862214"/>
      <w:bookmarkStart w:id="337" w:name="_Ref532689105"/>
      <w:bookmarkStart w:id="338" w:name="_Toc102745916"/>
      <w:r>
        <w:rPr>
          <w:color w:val="000000" w:themeColor="text1"/>
          <w:highlight w:val="none"/>
          <w14:textFill>
            <w14:solidFill>
              <w14:schemeClr w14:val="tx1"/>
            </w14:solidFill>
          </w14:textFill>
        </w:rPr>
        <w:t xml:space="preserve">4.3 </w:t>
      </w:r>
      <w:r>
        <w:rPr>
          <w:rFonts w:hint="eastAsia"/>
          <w:color w:val="000000" w:themeColor="text1"/>
          <w:highlight w:val="none"/>
          <w14:textFill>
            <w14:solidFill>
              <w14:schemeClr w14:val="tx1"/>
            </w14:solidFill>
          </w14:textFill>
        </w:rPr>
        <w:t>工程总承包项目经理</w:t>
      </w:r>
      <w:bookmarkEnd w:id="335"/>
      <w:bookmarkEnd w:id="336"/>
      <w:bookmarkEnd w:id="337"/>
      <w:bookmarkEnd w:id="338"/>
    </w:p>
    <w:p>
      <w:pPr>
        <w:pStyle w:val="169"/>
        <w:spacing w:before="156"/>
        <w:rPr>
          <w:color w:val="000000" w:themeColor="text1"/>
          <w:highlight w:val="none"/>
          <w14:textFill>
            <w14:solidFill>
              <w14:schemeClr w14:val="tx1"/>
            </w14:solidFill>
          </w14:textFill>
        </w:rPr>
      </w:pPr>
      <w:bookmarkStart w:id="339" w:name="_Ref532351726"/>
      <w:r>
        <w:rPr>
          <w:color w:val="000000" w:themeColor="text1"/>
          <w:highlight w:val="none"/>
          <w14:textFill>
            <w14:solidFill>
              <w14:schemeClr w14:val="tx1"/>
            </w14:solidFill>
          </w14:textFill>
        </w:rPr>
        <w:t xml:space="preserve">4.3.1 </w:t>
      </w:r>
      <w:r>
        <w:rPr>
          <w:rFonts w:hint="eastAsia"/>
          <w:color w:val="000000" w:themeColor="text1"/>
          <w:highlight w:val="none"/>
          <w14:textFill>
            <w14:solidFill>
              <w14:schemeClr w14:val="tx1"/>
            </w14:solidFill>
          </w14:textFill>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339"/>
    </w:p>
    <w:p>
      <w:pPr>
        <w:pStyle w:val="169"/>
        <w:spacing w:before="156"/>
        <w:rPr>
          <w:color w:val="000000" w:themeColor="text1"/>
          <w:highlight w:val="none"/>
          <w14:textFill>
            <w14:solidFill>
              <w14:schemeClr w14:val="tx1"/>
            </w14:solidFill>
          </w14:textFill>
        </w:rPr>
      </w:pPr>
      <w:bookmarkStart w:id="340" w:name="_Ref532689263"/>
      <w:r>
        <w:rPr>
          <w:color w:val="000000" w:themeColor="text1"/>
          <w:highlight w:val="none"/>
          <w14:textFill>
            <w14:solidFill>
              <w14:schemeClr w14:val="tx1"/>
            </w14:solidFill>
          </w14:textFill>
        </w:rPr>
        <w:t xml:space="preserve">4.3.2 </w:t>
      </w:r>
      <w:r>
        <w:rPr>
          <w:rFonts w:hint="eastAsia"/>
          <w:color w:val="000000" w:themeColor="text1"/>
          <w:highlight w:val="none"/>
          <w14:textFill>
            <w14:solidFill>
              <w14:schemeClr w14:val="tx1"/>
            </w14:solidFill>
          </w14:textFill>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340"/>
    </w:p>
    <w:p>
      <w:pPr>
        <w:pStyle w:val="169"/>
        <w:spacing w:before="156"/>
        <w:rPr>
          <w:color w:val="000000" w:themeColor="text1"/>
          <w:highlight w:val="none"/>
          <w14:textFill>
            <w14:solidFill>
              <w14:schemeClr w14:val="tx1"/>
            </w14:solidFill>
          </w14:textFill>
        </w:rPr>
      </w:pPr>
      <w:bookmarkStart w:id="341" w:name="_Ref532689178"/>
      <w:bookmarkStart w:id="342" w:name="_Ref531952112"/>
      <w:r>
        <w:rPr>
          <w:color w:val="000000" w:themeColor="text1"/>
          <w:highlight w:val="none"/>
          <w14:textFill>
            <w14:solidFill>
              <w14:schemeClr w14:val="tx1"/>
            </w14:solidFill>
          </w14:textFill>
        </w:rPr>
        <w:t xml:space="preserve">4.3.3 </w:t>
      </w:r>
      <w:r>
        <w:rPr>
          <w:rFonts w:hint="eastAsia"/>
          <w:color w:val="000000" w:themeColor="text1"/>
          <w:highlight w:val="none"/>
          <w14:textFill>
            <w14:solidFill>
              <w14:schemeClr w14:val="tx1"/>
            </w14:solidFill>
          </w14:textFill>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color w:val="000000" w:themeColor="text1"/>
          <w:highlight w:val="none"/>
          <w14:textFill>
            <w14:solidFill>
              <w14:schemeClr w14:val="tx1"/>
            </w14:solidFill>
          </w14:textFill>
        </w:rPr>
        <w:t>3.5款[指示]</w:t>
      </w:r>
      <w:r>
        <w:rPr>
          <w:rFonts w:hint="eastAsia"/>
          <w:color w:val="000000" w:themeColor="text1"/>
          <w:highlight w:val="none"/>
          <w14:textFill>
            <w14:solidFill>
              <w14:schemeClr w14:val="tx1"/>
            </w14:solidFill>
          </w14:textFill>
        </w:rPr>
        <w:t>作出的指示，代表承包人负责组织合同的实施。在紧急情况下，且无法与发包人和工程师取得联系时，工程总承包项目经理有权采取必要的措施保证人身、工程和财产的安全，但须在事后</w:t>
      </w:r>
      <w:r>
        <w:rPr>
          <w:color w:val="000000" w:themeColor="text1"/>
          <w:highlight w:val="none"/>
          <w14:textFill>
            <w14:solidFill>
              <w14:schemeClr w14:val="tx1"/>
            </w14:solidFill>
          </w14:textFill>
        </w:rPr>
        <w:t>48小时内向工程师送交书面报告。</w:t>
      </w:r>
      <w:bookmarkEnd w:id="341"/>
    </w:p>
    <w:bookmarkEnd w:id="342"/>
    <w:p>
      <w:pPr>
        <w:pStyle w:val="169"/>
        <w:spacing w:before="156"/>
        <w:rPr>
          <w:color w:val="000000" w:themeColor="text1"/>
          <w:highlight w:val="none"/>
          <w14:textFill>
            <w14:solidFill>
              <w14:schemeClr w14:val="tx1"/>
            </w14:solidFill>
          </w14:textFill>
        </w:rPr>
      </w:pPr>
      <w:bookmarkStart w:id="343" w:name="_Ref4426412"/>
      <w:r>
        <w:rPr>
          <w:color w:val="000000" w:themeColor="text1"/>
          <w:highlight w:val="none"/>
          <w14:textFill>
            <w14:solidFill>
              <w14:schemeClr w14:val="tx1"/>
            </w14:solidFill>
          </w14:textFill>
        </w:rPr>
        <w:t xml:space="preserve">4.3.4 </w:t>
      </w:r>
      <w:r>
        <w:rPr>
          <w:rFonts w:hint="eastAsia"/>
          <w:color w:val="000000" w:themeColor="text1"/>
          <w:highlight w:val="none"/>
          <w14:textFill>
            <w14:solidFill>
              <w14:schemeClr w14:val="tx1"/>
            </w14:solidFill>
          </w14:textFill>
        </w:rPr>
        <w:t>承包人需要更换工程总承包项目经理的，应提前</w:t>
      </w:r>
      <w:r>
        <w:rPr>
          <w:color w:val="000000" w:themeColor="text1"/>
          <w:highlight w:val="none"/>
          <w14:textFill>
            <w14:solidFill>
              <w14:schemeClr w14:val="tx1"/>
            </w14:solidFill>
          </w14:textFill>
        </w:rPr>
        <w:t>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344" w:name="_Hlk55056591"/>
      <w:r>
        <w:rPr>
          <w:rFonts w:hint="eastAsia"/>
          <w:color w:val="000000" w:themeColor="text1"/>
          <w:highlight w:val="none"/>
          <w14:textFill>
            <w14:solidFill>
              <w14:schemeClr w14:val="tx1"/>
            </w14:solidFill>
          </w14:textFill>
        </w:rPr>
        <w:t>应按照专用合同条件的约定承担违约责任。</w:t>
      </w:r>
      <w:bookmarkEnd w:id="343"/>
      <w:bookmarkEnd w:id="344"/>
    </w:p>
    <w:p>
      <w:pPr>
        <w:pStyle w:val="169"/>
        <w:spacing w:before="156"/>
        <w:rPr>
          <w:color w:val="000000" w:themeColor="text1"/>
          <w:highlight w:val="none"/>
          <w14:textFill>
            <w14:solidFill>
              <w14:schemeClr w14:val="tx1"/>
            </w14:solidFill>
          </w14:textFill>
        </w:rPr>
      </w:pPr>
      <w:bookmarkStart w:id="345" w:name="_Ref531952137"/>
      <w:r>
        <w:rPr>
          <w:color w:val="000000" w:themeColor="text1"/>
          <w:highlight w:val="none"/>
          <w14:textFill>
            <w14:solidFill>
              <w14:schemeClr w14:val="tx1"/>
            </w14:solidFill>
          </w14:textFill>
        </w:rPr>
        <w:t xml:space="preserve">4.3.5 </w:t>
      </w:r>
      <w:r>
        <w:rPr>
          <w:rFonts w:hint="eastAsia"/>
          <w:color w:val="000000" w:themeColor="text1"/>
          <w:highlight w:val="none"/>
          <w14:textFill>
            <w14:solidFill>
              <w14:schemeClr w14:val="tx1"/>
            </w14:solidFill>
          </w14:textFill>
        </w:rPr>
        <w:t>发包人有权书面通知承包人要求更换其认为不称职的工程总承包项目经理，通知中应当载明要求更换的理由。承包人应在接到更换通知后</w:t>
      </w:r>
      <w:r>
        <w:rPr>
          <w:color w:val="000000" w:themeColor="text1"/>
          <w:highlight w:val="none"/>
          <w14:textFill>
            <w14:solidFill>
              <w14:schemeClr w14:val="tx1"/>
            </w14:solidFill>
          </w14:textFill>
        </w:rPr>
        <w:t>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345"/>
    </w:p>
    <w:p>
      <w:pPr>
        <w:pStyle w:val="169"/>
        <w:spacing w:before="156"/>
        <w:rPr>
          <w:color w:val="000000" w:themeColor="text1"/>
          <w:highlight w:val="none"/>
          <w14:textFill>
            <w14:solidFill>
              <w14:schemeClr w14:val="tx1"/>
            </w14:solidFill>
          </w14:textFill>
        </w:rPr>
      </w:pPr>
      <w:bookmarkStart w:id="346" w:name="_Ref122620"/>
      <w:r>
        <w:rPr>
          <w:color w:val="000000" w:themeColor="text1"/>
          <w:highlight w:val="none"/>
          <w14:textFill>
            <w14:solidFill>
              <w14:schemeClr w14:val="tx1"/>
            </w14:solidFill>
          </w14:textFill>
        </w:rPr>
        <w:t xml:space="preserve">4.3.6 </w:t>
      </w:r>
      <w:r>
        <w:rPr>
          <w:rFonts w:hint="eastAsia"/>
          <w:color w:val="000000" w:themeColor="text1"/>
          <w:highlight w:val="none"/>
          <w14:textFill>
            <w14:solidFill>
              <w14:schemeClr w14:val="tx1"/>
            </w14:solidFill>
          </w14:textFill>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346"/>
    </w:p>
    <w:p>
      <w:pPr>
        <w:pStyle w:val="177"/>
        <w:spacing w:before="156"/>
        <w:rPr>
          <w:color w:val="000000" w:themeColor="text1"/>
          <w:highlight w:val="none"/>
          <w14:textFill>
            <w14:solidFill>
              <w14:schemeClr w14:val="tx1"/>
            </w14:solidFill>
          </w14:textFill>
        </w:rPr>
      </w:pPr>
      <w:bookmarkStart w:id="347" w:name="_Toc102745917"/>
      <w:bookmarkStart w:id="348" w:name="_Ref531952175"/>
      <w:bookmarkStart w:id="349" w:name="_Ref531952172"/>
      <w:bookmarkStart w:id="350" w:name="_Toc54862215"/>
      <w:r>
        <w:rPr>
          <w:color w:val="000000" w:themeColor="text1"/>
          <w:highlight w:val="none"/>
          <w14:textFill>
            <w14:solidFill>
              <w14:schemeClr w14:val="tx1"/>
            </w14:solidFill>
          </w14:textFill>
        </w:rPr>
        <w:t xml:space="preserve">4.4 </w:t>
      </w:r>
      <w:r>
        <w:rPr>
          <w:rFonts w:hint="eastAsia"/>
          <w:color w:val="000000" w:themeColor="text1"/>
          <w:highlight w:val="none"/>
          <w14:textFill>
            <w14:solidFill>
              <w14:schemeClr w14:val="tx1"/>
            </w14:solidFill>
          </w14:textFill>
        </w:rPr>
        <w:t>承包人人员</w:t>
      </w:r>
      <w:bookmarkEnd w:id="347"/>
      <w:bookmarkEnd w:id="348"/>
      <w:bookmarkEnd w:id="349"/>
      <w:bookmarkEnd w:id="350"/>
    </w:p>
    <w:p>
      <w:pPr>
        <w:pStyle w:val="169"/>
        <w:spacing w:before="156"/>
        <w:rPr>
          <w:color w:val="000000" w:themeColor="text1"/>
          <w:highlight w:val="none"/>
          <w14:textFill>
            <w14:solidFill>
              <w14:schemeClr w14:val="tx1"/>
            </w14:solidFill>
          </w14:textFill>
        </w:rPr>
      </w:pPr>
      <w:bookmarkStart w:id="351" w:name="_Ref531952185"/>
      <w:r>
        <w:rPr>
          <w:color w:val="000000" w:themeColor="text1"/>
          <w:highlight w:val="none"/>
          <w14:textFill>
            <w14:solidFill>
              <w14:schemeClr w14:val="tx1"/>
            </w14:solidFill>
          </w14:textFill>
        </w:rPr>
        <w:t xml:space="preserve">4.4.1 </w:t>
      </w:r>
      <w:r>
        <w:rPr>
          <w:rFonts w:hint="eastAsia"/>
          <w:color w:val="000000" w:themeColor="text1"/>
          <w:highlight w:val="none"/>
          <w14:textFill>
            <w14:solidFill>
              <w14:schemeClr w14:val="tx1"/>
            </w14:solidFill>
          </w14:textFill>
        </w:rPr>
        <w:t>人员安排</w:t>
      </w:r>
      <w:bookmarkEnd w:id="35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关键人员</w:t>
      </w:r>
      <w:bookmarkStart w:id="352" w:name="_Hlk16210335"/>
      <w:r>
        <w:rPr>
          <w:rFonts w:hint="eastAsia" w:ascii="宋体"/>
          <w:color w:val="000000" w:themeColor="text1"/>
          <w:sz w:val="24"/>
          <w:szCs w:val="28"/>
          <w:highlight w:val="none"/>
          <w14:textFill>
            <w14:solidFill>
              <w14:schemeClr w14:val="tx1"/>
            </w14:solidFill>
          </w14:textFill>
        </w:rPr>
        <w:t>是发包人及承包人一致认为对工程建设起重要作用的承包人主要管理人员或技术人员。关键人员的具体范围由发包人及承包人在附件6[承包人主要管理人员表]中另行约定。</w:t>
      </w:r>
    </w:p>
    <w:bookmarkEnd w:id="352"/>
    <w:p>
      <w:pPr>
        <w:pStyle w:val="169"/>
        <w:spacing w:before="156"/>
        <w:rPr>
          <w:color w:val="000000" w:themeColor="text1"/>
          <w:highlight w:val="none"/>
          <w14:textFill>
            <w14:solidFill>
              <w14:schemeClr w14:val="tx1"/>
            </w14:solidFill>
          </w14:textFill>
        </w:rPr>
      </w:pPr>
      <w:bookmarkStart w:id="353" w:name="_Ref531952211"/>
      <w:bookmarkStart w:id="354" w:name="_Ref4426641"/>
      <w:r>
        <w:rPr>
          <w:color w:val="000000" w:themeColor="text1"/>
          <w:highlight w:val="none"/>
          <w14:textFill>
            <w14:solidFill>
              <w14:schemeClr w14:val="tx1"/>
            </w14:solidFill>
          </w14:textFill>
        </w:rPr>
        <w:t xml:space="preserve">4.4.2 </w:t>
      </w:r>
      <w:r>
        <w:rPr>
          <w:rFonts w:hint="eastAsia"/>
          <w:color w:val="000000" w:themeColor="text1"/>
          <w:highlight w:val="none"/>
          <w14:textFill>
            <w14:solidFill>
              <w14:schemeClr w14:val="tx1"/>
            </w14:solidFill>
          </w14:textFill>
        </w:rPr>
        <w:t>关键人员更换</w:t>
      </w:r>
      <w:bookmarkEnd w:id="353"/>
      <w:bookmarkEnd w:id="354"/>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169"/>
        <w:spacing w:before="156"/>
        <w:rPr>
          <w:color w:val="000000" w:themeColor="text1"/>
          <w:highlight w:val="none"/>
          <w14:textFill>
            <w14:solidFill>
              <w14:schemeClr w14:val="tx1"/>
            </w14:solidFill>
          </w14:textFill>
        </w:rPr>
      </w:pPr>
      <w:bookmarkStart w:id="355" w:name="_Ref531952227"/>
      <w:r>
        <w:rPr>
          <w:color w:val="000000" w:themeColor="text1"/>
          <w:highlight w:val="none"/>
          <w14:textFill>
            <w14:solidFill>
              <w14:schemeClr w14:val="tx1"/>
            </w14:solidFill>
          </w14:textFill>
        </w:rPr>
        <w:t xml:space="preserve">4.4.3 </w:t>
      </w:r>
      <w:r>
        <w:rPr>
          <w:rFonts w:hint="eastAsia"/>
          <w:color w:val="000000" w:themeColor="text1"/>
          <w:highlight w:val="none"/>
          <w14:textFill>
            <w14:solidFill>
              <w14:schemeClr w14:val="tx1"/>
            </w14:solidFill>
          </w14:textFill>
        </w:rPr>
        <w:t>现场管理关键人员在岗要求</w:t>
      </w:r>
      <w:bookmarkEnd w:id="35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177"/>
        <w:spacing w:before="156"/>
        <w:rPr>
          <w:color w:val="000000" w:themeColor="text1"/>
          <w:highlight w:val="none"/>
          <w14:textFill>
            <w14:solidFill>
              <w14:schemeClr w14:val="tx1"/>
            </w14:solidFill>
          </w14:textFill>
        </w:rPr>
      </w:pPr>
      <w:bookmarkStart w:id="356" w:name="_Toc102745918"/>
      <w:bookmarkStart w:id="357" w:name="_Ref531952259"/>
      <w:bookmarkStart w:id="358" w:name="_Ref531952262"/>
      <w:bookmarkStart w:id="359" w:name="_Toc54862216"/>
      <w:r>
        <w:rPr>
          <w:rFonts w:hint="eastAsia"/>
          <w:color w:val="000000" w:themeColor="text1"/>
          <w:highlight w:val="none"/>
          <w14:textFill>
            <w14:solidFill>
              <w14:schemeClr w14:val="tx1"/>
            </w14:solidFill>
          </w14:textFill>
        </w:rPr>
        <w:t>4.5 分包</w:t>
      </w:r>
      <w:bookmarkEnd w:id="356"/>
      <w:bookmarkEnd w:id="357"/>
      <w:bookmarkEnd w:id="358"/>
      <w:bookmarkEnd w:id="359"/>
    </w:p>
    <w:p>
      <w:pPr>
        <w:pStyle w:val="169"/>
        <w:spacing w:before="156"/>
        <w:rPr>
          <w:color w:val="000000" w:themeColor="text1"/>
          <w:highlight w:val="none"/>
          <w14:textFill>
            <w14:solidFill>
              <w14:schemeClr w14:val="tx1"/>
            </w14:solidFill>
          </w14:textFill>
        </w:rPr>
      </w:pPr>
      <w:bookmarkStart w:id="360" w:name="_Ref531952273"/>
      <w:r>
        <w:rPr>
          <w:color w:val="000000" w:themeColor="text1"/>
          <w:highlight w:val="none"/>
          <w14:textFill>
            <w14:solidFill>
              <w14:schemeClr w14:val="tx1"/>
            </w14:solidFill>
          </w14:textFill>
        </w:rPr>
        <w:t xml:space="preserve">4.5.1 </w:t>
      </w:r>
      <w:r>
        <w:rPr>
          <w:rFonts w:hint="eastAsia"/>
          <w:color w:val="000000" w:themeColor="text1"/>
          <w:highlight w:val="none"/>
          <w14:textFill>
            <w14:solidFill>
              <w14:schemeClr w14:val="tx1"/>
            </w14:solidFill>
          </w14:textFill>
        </w:rPr>
        <w:t>一般约定</w:t>
      </w:r>
      <w:bookmarkEnd w:id="36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169"/>
        <w:spacing w:before="156"/>
        <w:rPr>
          <w:color w:val="000000" w:themeColor="text1"/>
          <w:highlight w:val="none"/>
          <w14:textFill>
            <w14:solidFill>
              <w14:schemeClr w14:val="tx1"/>
            </w14:solidFill>
          </w14:textFill>
        </w:rPr>
      </w:pPr>
      <w:bookmarkStart w:id="361" w:name="_Ref531952286"/>
      <w:r>
        <w:rPr>
          <w:color w:val="000000" w:themeColor="text1"/>
          <w:highlight w:val="none"/>
          <w14:textFill>
            <w14:solidFill>
              <w14:schemeClr w14:val="tx1"/>
            </w14:solidFill>
          </w14:textFill>
        </w:rPr>
        <w:t xml:space="preserve">4.5.2 </w:t>
      </w:r>
      <w:r>
        <w:rPr>
          <w:rFonts w:hint="eastAsia"/>
          <w:color w:val="000000" w:themeColor="text1"/>
          <w:highlight w:val="none"/>
          <w14:textFill>
            <w14:solidFill>
              <w14:schemeClr w14:val="tx1"/>
            </w14:solidFill>
          </w14:textFill>
        </w:rPr>
        <w:t>分包的确定</w:t>
      </w:r>
      <w:bookmarkEnd w:id="36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承包人应按照专用合同条件约定对工作事项进行分包，确定分包人。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4.5.3 </w:t>
      </w:r>
      <w:r>
        <w:rPr>
          <w:rFonts w:hint="eastAsia"/>
          <w:color w:val="000000" w:themeColor="text1"/>
          <w:highlight w:val="none"/>
          <w14:textFill>
            <w14:solidFill>
              <w14:schemeClr w14:val="tx1"/>
            </w14:solidFill>
          </w14:textFill>
        </w:rPr>
        <w:t>分包人资质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分包人应符合国家法律规定的资质等级，否则不能作为分包人。承包人有义务对分包人的资质进行审查。</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4.5.4 </w:t>
      </w:r>
      <w:r>
        <w:rPr>
          <w:rFonts w:hint="eastAsia"/>
          <w:color w:val="000000" w:themeColor="text1"/>
          <w:highlight w:val="none"/>
          <w14:textFill>
            <w14:solidFill>
              <w14:schemeClr w14:val="tx1"/>
            </w14:solidFill>
          </w14:textFill>
        </w:rPr>
        <w:t>分包管理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169"/>
        <w:spacing w:before="156"/>
        <w:rPr>
          <w:color w:val="000000" w:themeColor="text1"/>
          <w:highlight w:val="none"/>
          <w14:textFill>
            <w14:solidFill>
              <w14:schemeClr w14:val="tx1"/>
            </w14:solidFill>
          </w14:textFill>
        </w:rPr>
      </w:pPr>
      <w:bookmarkStart w:id="362" w:name="_Ref531952298"/>
      <w:r>
        <w:rPr>
          <w:color w:val="000000" w:themeColor="text1"/>
          <w:highlight w:val="none"/>
          <w14:textFill>
            <w14:solidFill>
              <w14:schemeClr w14:val="tx1"/>
            </w14:solidFill>
          </w14:textFill>
        </w:rPr>
        <w:t xml:space="preserve">4.5.5 </w:t>
      </w:r>
      <w:r>
        <w:rPr>
          <w:rFonts w:hint="eastAsia"/>
          <w:color w:val="000000" w:themeColor="text1"/>
          <w:highlight w:val="none"/>
          <w14:textFill>
            <w14:solidFill>
              <w14:schemeClr w14:val="tx1"/>
            </w14:solidFill>
          </w14:textFill>
        </w:rPr>
        <w:t>分包合同价款支付</w:t>
      </w:r>
      <w:bookmarkEnd w:id="36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除本项第（2）目约定的情况或专用合同条件另有约定外，分包合同价款由承包人与分包人结算，未经承包人同意，发包人不得向分包人支付分包合同价款；</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363" w:name="_Ref4613798"/>
      <w:r>
        <w:rPr>
          <w:rFonts w:hint="eastAsia" w:ascii="宋体"/>
          <w:color w:val="000000" w:themeColor="text1"/>
          <w:sz w:val="24"/>
          <w:szCs w:val="28"/>
          <w:highlight w:val="none"/>
          <w14:textFill>
            <w14:solidFill>
              <w14:schemeClr w14:val="tx1"/>
            </w14:solidFill>
          </w14:textFill>
        </w:rPr>
        <w:t>（2） 生效法律文书要求发包人向分包人支付分包合同价款的，发包人有权从应付承包人工程款中扣除该部分款项</w:t>
      </w:r>
      <w:bookmarkEnd w:id="363"/>
      <w:r>
        <w:rPr>
          <w:rFonts w:hint="eastAsia" w:ascii="宋体"/>
          <w:color w:val="000000" w:themeColor="text1"/>
          <w:sz w:val="24"/>
          <w:szCs w:val="28"/>
          <w:highlight w:val="none"/>
          <w14:textFill>
            <w14:solidFill>
              <w14:schemeClr w14:val="tx1"/>
            </w14:solidFill>
          </w14:textFill>
        </w:rPr>
        <w:t>，将扣款直接支付给分包人，并书面通知承包人。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4.5.6 </w:t>
      </w:r>
      <w:r>
        <w:rPr>
          <w:rFonts w:hint="eastAsia"/>
          <w:color w:val="000000" w:themeColor="text1"/>
          <w:highlight w:val="none"/>
          <w14:textFill>
            <w14:solidFill>
              <w14:schemeClr w14:val="tx1"/>
            </w14:solidFill>
          </w14:textFill>
        </w:rPr>
        <w:t>责任承担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承包人对分包人的行为向发包人负责，承包人和分包人就分包工作向发包人承担连带责任。</w:t>
      </w:r>
    </w:p>
    <w:p>
      <w:pPr>
        <w:pStyle w:val="177"/>
        <w:spacing w:before="156"/>
        <w:rPr>
          <w:color w:val="000000" w:themeColor="text1"/>
          <w:highlight w:val="none"/>
          <w14:textFill>
            <w14:solidFill>
              <w14:schemeClr w14:val="tx1"/>
            </w14:solidFill>
          </w14:textFill>
        </w:rPr>
      </w:pPr>
      <w:bookmarkStart w:id="364" w:name="_Toc54862217"/>
      <w:bookmarkStart w:id="365" w:name="_Toc102745919"/>
      <w:bookmarkStart w:id="366" w:name="_Ref4426916"/>
      <w:bookmarkStart w:id="367" w:name="_Ref4768805"/>
      <w:bookmarkStart w:id="368" w:name="_Ref531952321"/>
      <w:bookmarkStart w:id="369" w:name="_Ref531952317"/>
      <w:r>
        <w:rPr>
          <w:color w:val="000000" w:themeColor="text1"/>
          <w:highlight w:val="none"/>
          <w14:textFill>
            <w14:solidFill>
              <w14:schemeClr w14:val="tx1"/>
            </w14:solidFill>
          </w14:textFill>
        </w:rPr>
        <w:t xml:space="preserve">4.6 </w:t>
      </w:r>
      <w:r>
        <w:rPr>
          <w:rFonts w:hint="eastAsia"/>
          <w:color w:val="000000" w:themeColor="text1"/>
          <w:highlight w:val="none"/>
          <w14:textFill>
            <w14:solidFill>
              <w14:schemeClr w14:val="tx1"/>
            </w14:solidFill>
          </w14:textFill>
        </w:rPr>
        <w:t>联合体</w:t>
      </w:r>
      <w:bookmarkEnd w:id="364"/>
      <w:bookmarkEnd w:id="365"/>
      <w:bookmarkEnd w:id="366"/>
    </w:p>
    <w:p>
      <w:pPr>
        <w:pStyle w:val="169"/>
        <w:spacing w:before="156"/>
        <w:rPr>
          <w:color w:val="000000" w:themeColor="text1"/>
          <w:highlight w:val="none"/>
          <w14:textFill>
            <w14:solidFill>
              <w14:schemeClr w14:val="tx1"/>
            </w14:solidFill>
          </w14:textFill>
        </w:rPr>
      </w:pPr>
      <w:bookmarkStart w:id="370" w:name="_Hlk16235129"/>
      <w:r>
        <w:rPr>
          <w:color w:val="000000" w:themeColor="text1"/>
          <w:highlight w:val="none"/>
          <w14:textFill>
            <w14:solidFill>
              <w14:schemeClr w14:val="tx1"/>
            </w14:solidFill>
          </w14:textFill>
        </w:rPr>
        <w:t xml:space="preserve">4.6.1 </w:t>
      </w:r>
      <w:r>
        <w:rPr>
          <w:rFonts w:hint="eastAsia"/>
          <w:color w:val="000000" w:themeColor="text1"/>
          <w:highlight w:val="none"/>
          <w14:textFill>
            <w14:solidFill>
              <w14:schemeClr w14:val="tx1"/>
            </w14:solidFill>
          </w14:textFill>
        </w:rPr>
        <w:t>经发包人同意，</w:t>
      </w:r>
      <w:bookmarkEnd w:id="370"/>
      <w:r>
        <w:rPr>
          <w:rFonts w:hint="eastAsia"/>
          <w:color w:val="000000" w:themeColor="text1"/>
          <w:highlight w:val="none"/>
          <w14:textFill>
            <w14:solidFill>
              <w14:schemeClr w14:val="tx1"/>
            </w14:solidFill>
          </w14:textFill>
        </w:rPr>
        <w:t>以联合体方式承包工程的，联合体各方应共同与发包人订立合同协议书。联合体各方应为履行合同向发包人承担连带责任。</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4.6.2 </w:t>
      </w:r>
      <w:r>
        <w:rPr>
          <w:rFonts w:hint="eastAsia"/>
          <w:color w:val="000000" w:themeColor="text1"/>
          <w:highlight w:val="none"/>
          <w14:textFill>
            <w14:solidFill>
              <w14:schemeClr w14:val="tx1"/>
            </w14:solidFill>
          </w14:textFill>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4.6.3 </w:t>
      </w:r>
      <w:r>
        <w:rPr>
          <w:rFonts w:hint="eastAsia"/>
          <w:color w:val="000000" w:themeColor="text1"/>
          <w:highlight w:val="none"/>
          <w14:textFill>
            <w14:solidFill>
              <w14:schemeClr w14:val="tx1"/>
            </w14:solidFill>
          </w14:textFill>
        </w:rPr>
        <w:t>联合体协议经发包人确认后作为合同附件。在履行合同过程中，未经发包人同意，不得变更联合体成员和其负责的工作范围，或者修改联合体协议中与本合同履行相关的内容。</w:t>
      </w:r>
    </w:p>
    <w:p>
      <w:pPr>
        <w:pStyle w:val="177"/>
        <w:spacing w:before="156"/>
        <w:rPr>
          <w:color w:val="000000" w:themeColor="text1"/>
          <w:highlight w:val="none"/>
          <w14:textFill>
            <w14:solidFill>
              <w14:schemeClr w14:val="tx1"/>
            </w14:solidFill>
          </w14:textFill>
        </w:rPr>
      </w:pPr>
      <w:bookmarkStart w:id="371" w:name="_Toc54862218"/>
      <w:bookmarkStart w:id="372" w:name="_Toc102745920"/>
      <w:bookmarkStart w:id="373" w:name="_Ref11926629"/>
      <w:bookmarkStart w:id="374" w:name="_Ref11926631"/>
      <w:r>
        <w:rPr>
          <w:color w:val="000000" w:themeColor="text1"/>
          <w:highlight w:val="none"/>
          <w14:textFill>
            <w14:solidFill>
              <w14:schemeClr w14:val="tx1"/>
            </w14:solidFill>
          </w14:textFill>
        </w:rPr>
        <w:t xml:space="preserve">4.7 </w:t>
      </w:r>
      <w:r>
        <w:rPr>
          <w:rFonts w:hint="eastAsia"/>
          <w:color w:val="000000" w:themeColor="text1"/>
          <w:highlight w:val="none"/>
          <w14:textFill>
            <w14:solidFill>
              <w14:schemeClr w14:val="tx1"/>
            </w14:solidFill>
          </w14:textFill>
        </w:rPr>
        <w:t>承包人现场查勘</w:t>
      </w:r>
      <w:bookmarkEnd w:id="371"/>
      <w:bookmarkEnd w:id="372"/>
      <w:bookmarkEnd w:id="373"/>
      <w:bookmarkEnd w:id="374"/>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4.7.1 </w:t>
      </w:r>
      <w:r>
        <w:rPr>
          <w:rFonts w:hint="eastAsia"/>
          <w:color w:val="000000" w:themeColor="text1"/>
          <w:highlight w:val="none"/>
          <w14:textFill>
            <w14:solidFill>
              <w14:schemeClr w14:val="tx1"/>
            </w14:solidFill>
          </w14:textFill>
        </w:rPr>
        <w:t>除专用合同条件另有约定外，承包人应对基于发包人提交的基础资料所做出的解释和推断负责，因基础资料存在错误、遗漏导致承包人解释或推断失实的，按照第</w:t>
      </w:r>
      <w:r>
        <w:rPr>
          <w:color w:val="000000" w:themeColor="text1"/>
          <w:highlight w:val="none"/>
          <w14:textFill>
            <w14:solidFill>
              <w14:schemeClr w14:val="tx1"/>
            </w14:solidFill>
          </w14:textFill>
        </w:rPr>
        <w:t>2.3项[提供基础资料]的规定承担责任。承包人发现基础资料中存在明显错误或疏忽的，应及时书面通知发包人。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4.7.2 </w:t>
      </w:r>
      <w:r>
        <w:rPr>
          <w:rFonts w:hint="eastAsia"/>
          <w:color w:val="000000" w:themeColor="text1"/>
          <w:highlight w:val="none"/>
          <w14:textFill>
            <w14:solidFill>
              <w14:schemeClr w14:val="tx1"/>
            </w14:solidFill>
          </w14:textFill>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color w:val="000000" w:themeColor="text1"/>
          <w:highlight w:val="none"/>
          <w14:textFill>
            <w14:solidFill>
              <w14:schemeClr w14:val="tx1"/>
            </w14:solidFill>
          </w14:textFill>
        </w:rPr>
        <w:t>4.8款[不可预见的困难]约定的情形除外。</w:t>
      </w:r>
    </w:p>
    <w:p>
      <w:pPr>
        <w:pStyle w:val="177"/>
        <w:spacing w:before="156"/>
        <w:rPr>
          <w:color w:val="000000" w:themeColor="text1"/>
          <w:highlight w:val="none"/>
          <w14:textFill>
            <w14:solidFill>
              <w14:schemeClr w14:val="tx1"/>
            </w14:solidFill>
          </w14:textFill>
        </w:rPr>
      </w:pPr>
      <w:bookmarkStart w:id="375" w:name="_Ref11918789"/>
      <w:bookmarkStart w:id="376" w:name="_Ref11918693"/>
      <w:bookmarkStart w:id="377" w:name="_Toc54862219"/>
      <w:bookmarkStart w:id="378" w:name="_Ref11918626"/>
      <w:bookmarkStart w:id="379" w:name="_Toc102745921"/>
      <w:bookmarkStart w:id="380" w:name="不可预见的困难"/>
      <w:r>
        <w:rPr>
          <w:rFonts w:hint="eastAsia"/>
          <w:color w:val="000000" w:themeColor="text1"/>
          <w:highlight w:val="none"/>
          <w14:textFill>
            <w14:solidFill>
              <w14:schemeClr w14:val="tx1"/>
            </w14:solidFill>
          </w14:textFill>
        </w:rPr>
        <w:t>4.8 不可预见的困难</w:t>
      </w:r>
      <w:bookmarkEnd w:id="367"/>
      <w:bookmarkEnd w:id="368"/>
      <w:bookmarkEnd w:id="369"/>
      <w:bookmarkEnd w:id="375"/>
      <w:bookmarkEnd w:id="376"/>
      <w:bookmarkEnd w:id="377"/>
      <w:bookmarkEnd w:id="378"/>
      <w:bookmarkEnd w:id="379"/>
      <w:bookmarkEnd w:id="38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177"/>
        <w:spacing w:before="156"/>
        <w:rPr>
          <w:color w:val="000000" w:themeColor="text1"/>
          <w:highlight w:val="none"/>
          <w14:textFill>
            <w14:solidFill>
              <w14:schemeClr w14:val="tx1"/>
            </w14:solidFill>
          </w14:textFill>
        </w:rPr>
      </w:pPr>
      <w:bookmarkStart w:id="381" w:name="_Ref11926570"/>
      <w:bookmarkStart w:id="382" w:name="_Ref11926566"/>
      <w:bookmarkStart w:id="383" w:name="_Toc102745922"/>
      <w:bookmarkStart w:id="384" w:name="_Toc54862220"/>
      <w:r>
        <w:rPr>
          <w:color w:val="000000" w:themeColor="text1"/>
          <w:highlight w:val="none"/>
          <w14:textFill>
            <w14:solidFill>
              <w14:schemeClr w14:val="tx1"/>
            </w14:solidFill>
          </w14:textFill>
        </w:rPr>
        <w:t xml:space="preserve">4.9 </w:t>
      </w:r>
      <w:r>
        <w:rPr>
          <w:rFonts w:hint="eastAsia"/>
          <w:color w:val="000000" w:themeColor="text1"/>
          <w:highlight w:val="none"/>
          <w14:textFill>
            <w14:solidFill>
              <w14:schemeClr w14:val="tx1"/>
            </w14:solidFill>
          </w14:textFill>
        </w:rPr>
        <w:t>工程质量管理</w:t>
      </w:r>
      <w:bookmarkEnd w:id="381"/>
      <w:bookmarkEnd w:id="382"/>
      <w:bookmarkEnd w:id="383"/>
      <w:bookmarkEnd w:id="384"/>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4.9.1 </w:t>
      </w:r>
      <w:r>
        <w:rPr>
          <w:rFonts w:hint="eastAsia"/>
          <w:color w:val="000000" w:themeColor="text1"/>
          <w:highlight w:val="none"/>
          <w14:textFill>
            <w14:solidFill>
              <w14:schemeClr w14:val="tx1"/>
            </w14:solidFill>
          </w14:textFill>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4.9.2 </w:t>
      </w:r>
      <w:r>
        <w:rPr>
          <w:rFonts w:hint="eastAsia"/>
          <w:color w:val="000000" w:themeColor="text1"/>
          <w:highlight w:val="none"/>
          <w14:textFill>
            <w14:solidFill>
              <w14:schemeClr w14:val="tx1"/>
            </w14:solidFill>
          </w14:textFill>
        </w:rPr>
        <w:t>承包人按照第</w:t>
      </w:r>
      <w:r>
        <w:rPr>
          <w:color w:val="000000" w:themeColor="text1"/>
          <w:highlight w:val="none"/>
          <w14:textFill>
            <w14:solidFill>
              <w14:schemeClr w14:val="tx1"/>
            </w14:solidFill>
          </w14:textFill>
        </w:rPr>
        <w:t>8.4款[项目进度计划]约定向工程师提交工程质量保证体系及措施文件，建立完善的质量检查制度，并提交相应的工程质量文件。对于发包人和工程师违反法律规定和合同约定的错误指示，承包人有权拒绝实施。</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4.9.3 </w:t>
      </w:r>
      <w:r>
        <w:rPr>
          <w:rFonts w:hint="eastAsia"/>
          <w:color w:val="000000" w:themeColor="text1"/>
          <w:highlight w:val="none"/>
          <w14:textFill>
            <w14:solidFill>
              <w14:schemeClr w14:val="tx1"/>
            </w14:solidFill>
          </w14:textFill>
        </w:rPr>
        <w:t>承包人应对其人员进行质量教育和技术培训，定期考核人员的劳动技能，严格执行相关规范和操作规程。</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4.9.4 </w:t>
      </w:r>
      <w:r>
        <w:rPr>
          <w:rFonts w:hint="eastAsia"/>
          <w:color w:val="000000" w:themeColor="text1"/>
          <w:highlight w:val="none"/>
          <w14:textFill>
            <w14:solidFill>
              <w14:schemeClr w14:val="tx1"/>
            </w14:solidFill>
          </w14:textFill>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201"/>
        <w:rPr>
          <w:color w:val="000000" w:themeColor="text1"/>
          <w:highlight w:val="none"/>
          <w14:textFill>
            <w14:solidFill>
              <w14:schemeClr w14:val="tx1"/>
            </w14:solidFill>
          </w14:textFill>
        </w:rPr>
      </w:pPr>
      <w:bookmarkStart w:id="385" w:name="_Toc17825"/>
      <w:bookmarkStart w:id="386" w:name="_Toc15460"/>
      <w:bookmarkStart w:id="387" w:name="_Toc124"/>
      <w:bookmarkStart w:id="388" w:name="_Toc25676"/>
      <w:bookmarkStart w:id="389" w:name="_Toc3009"/>
      <w:bookmarkStart w:id="390" w:name="_Toc54862221"/>
      <w:bookmarkStart w:id="391" w:name="_Toc14778"/>
      <w:bookmarkStart w:id="392" w:name="_Toc102745923"/>
      <w:bookmarkStart w:id="393" w:name="_Ref531952837"/>
      <w:bookmarkStart w:id="394" w:name="_Toc23947"/>
      <w:bookmarkStart w:id="395" w:name="_Toc14851"/>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5条 </w:t>
      </w:r>
      <w:r>
        <w:rPr>
          <w:rFonts w:hint="eastAsia"/>
          <w:color w:val="000000" w:themeColor="text1"/>
          <w:highlight w:val="none"/>
          <w14:textFill>
            <w14:solidFill>
              <w14:schemeClr w14:val="tx1"/>
            </w14:solidFill>
          </w14:textFill>
        </w:rPr>
        <w:t>设计</w:t>
      </w:r>
      <w:bookmarkEnd w:id="385"/>
      <w:bookmarkEnd w:id="386"/>
      <w:bookmarkEnd w:id="387"/>
      <w:bookmarkEnd w:id="388"/>
      <w:bookmarkEnd w:id="389"/>
      <w:bookmarkEnd w:id="390"/>
      <w:bookmarkEnd w:id="391"/>
      <w:bookmarkEnd w:id="392"/>
      <w:bookmarkEnd w:id="393"/>
      <w:bookmarkEnd w:id="394"/>
      <w:bookmarkEnd w:id="395"/>
    </w:p>
    <w:p>
      <w:pPr>
        <w:pStyle w:val="177"/>
        <w:spacing w:before="156"/>
        <w:rPr>
          <w:color w:val="000000" w:themeColor="text1"/>
          <w:highlight w:val="none"/>
          <w14:textFill>
            <w14:solidFill>
              <w14:schemeClr w14:val="tx1"/>
            </w14:solidFill>
          </w14:textFill>
        </w:rPr>
      </w:pPr>
      <w:bookmarkStart w:id="396" w:name="_Toc54862222"/>
      <w:bookmarkStart w:id="397" w:name="_Ref531952863"/>
      <w:bookmarkStart w:id="398" w:name="_Ref531952860"/>
      <w:bookmarkStart w:id="399" w:name="_Toc102745924"/>
      <w:r>
        <w:rPr>
          <w:color w:val="000000" w:themeColor="text1"/>
          <w:highlight w:val="none"/>
          <w14:textFill>
            <w14:solidFill>
              <w14:schemeClr w14:val="tx1"/>
            </w14:solidFill>
          </w14:textFill>
        </w:rPr>
        <w:t xml:space="preserve">5.1 </w:t>
      </w:r>
      <w:r>
        <w:rPr>
          <w:rFonts w:hint="eastAsia"/>
          <w:color w:val="000000" w:themeColor="text1"/>
          <w:highlight w:val="none"/>
          <w14:textFill>
            <w14:solidFill>
              <w14:schemeClr w14:val="tx1"/>
            </w14:solidFill>
          </w14:textFill>
        </w:rPr>
        <w:t>承包人的设计义务</w:t>
      </w:r>
      <w:bookmarkEnd w:id="396"/>
      <w:bookmarkEnd w:id="397"/>
      <w:bookmarkEnd w:id="398"/>
      <w:bookmarkEnd w:id="399"/>
    </w:p>
    <w:p>
      <w:pPr>
        <w:pStyle w:val="169"/>
        <w:spacing w:before="156"/>
        <w:rPr>
          <w:color w:val="000000" w:themeColor="text1"/>
          <w:highlight w:val="none"/>
          <w14:textFill>
            <w14:solidFill>
              <w14:schemeClr w14:val="tx1"/>
            </w14:solidFill>
          </w14:textFill>
        </w:rPr>
      </w:pPr>
      <w:bookmarkStart w:id="400" w:name="_Ref531952881"/>
      <w:r>
        <w:rPr>
          <w:color w:val="000000" w:themeColor="text1"/>
          <w:highlight w:val="none"/>
          <w14:textFill>
            <w14:solidFill>
              <w14:schemeClr w14:val="tx1"/>
            </w14:solidFill>
          </w14:textFill>
        </w:rPr>
        <w:t xml:space="preserve">5.1.1 </w:t>
      </w:r>
      <w:r>
        <w:rPr>
          <w:rFonts w:hint="eastAsia"/>
          <w:color w:val="000000" w:themeColor="text1"/>
          <w:highlight w:val="none"/>
          <w14:textFill>
            <w14:solidFill>
              <w14:schemeClr w14:val="tx1"/>
            </w14:solidFill>
          </w14:textFill>
        </w:rPr>
        <w:t>设计义务的一般要求</w:t>
      </w:r>
      <w:bookmarkEnd w:id="40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169"/>
        <w:spacing w:before="156"/>
        <w:rPr>
          <w:color w:val="000000" w:themeColor="text1"/>
          <w:highlight w:val="none"/>
          <w14:textFill>
            <w14:solidFill>
              <w14:schemeClr w14:val="tx1"/>
            </w14:solidFill>
          </w14:textFill>
        </w:rPr>
      </w:pPr>
      <w:bookmarkStart w:id="401" w:name="_Ref531952952"/>
      <w:bookmarkStart w:id="402" w:name="_Ref531952899"/>
      <w:r>
        <w:rPr>
          <w:color w:val="000000" w:themeColor="text1"/>
          <w:highlight w:val="none"/>
          <w14:textFill>
            <w14:solidFill>
              <w14:schemeClr w14:val="tx1"/>
            </w14:solidFill>
          </w14:textFill>
        </w:rPr>
        <w:t xml:space="preserve">5.1.2 </w:t>
      </w:r>
      <w:r>
        <w:rPr>
          <w:rFonts w:hint="eastAsia"/>
          <w:color w:val="000000" w:themeColor="text1"/>
          <w:highlight w:val="none"/>
          <w14:textFill>
            <w14:solidFill>
              <w14:schemeClr w14:val="tx1"/>
            </w14:solidFill>
          </w14:textFill>
        </w:rPr>
        <w:t>对设计人员的要求</w:t>
      </w:r>
      <w:bookmarkEnd w:id="40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402"/>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5.1.3 </w:t>
      </w:r>
      <w:r>
        <w:rPr>
          <w:rFonts w:hint="eastAsia"/>
          <w:color w:val="000000" w:themeColor="text1"/>
          <w:highlight w:val="none"/>
          <w14:textFill>
            <w14:solidFill>
              <w14:schemeClr w14:val="tx1"/>
            </w14:solidFill>
          </w14:textFill>
        </w:rPr>
        <w:t>法律和标准的变化</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在基准日期之后，因国家颁布新的强制性规范、标准导致承包人的费用变化的，发包人应合理调整合同价格；导致工期延误的，发包人应合理延长工期。</w:t>
      </w:r>
    </w:p>
    <w:p>
      <w:pPr>
        <w:pStyle w:val="177"/>
        <w:spacing w:before="156"/>
        <w:rPr>
          <w:color w:val="000000" w:themeColor="text1"/>
          <w:highlight w:val="none"/>
          <w14:textFill>
            <w14:solidFill>
              <w14:schemeClr w14:val="tx1"/>
            </w14:solidFill>
          </w14:textFill>
        </w:rPr>
      </w:pPr>
      <w:bookmarkStart w:id="403" w:name="_Ref531953051"/>
      <w:bookmarkStart w:id="404" w:name="_Toc102745925"/>
      <w:bookmarkStart w:id="405" w:name="_Toc54862223"/>
      <w:bookmarkStart w:id="406" w:name="_Ref531953054"/>
      <w:r>
        <w:rPr>
          <w:color w:val="000000" w:themeColor="text1"/>
          <w:highlight w:val="none"/>
          <w14:textFill>
            <w14:solidFill>
              <w14:schemeClr w14:val="tx1"/>
            </w14:solidFill>
          </w14:textFill>
        </w:rPr>
        <w:t xml:space="preserve">5.2 </w:t>
      </w:r>
      <w:r>
        <w:rPr>
          <w:rFonts w:hint="eastAsia"/>
          <w:color w:val="000000" w:themeColor="text1"/>
          <w:highlight w:val="none"/>
          <w14:textFill>
            <w14:solidFill>
              <w14:schemeClr w14:val="tx1"/>
            </w14:solidFill>
          </w14:textFill>
        </w:rPr>
        <w:t>承包人文件审查</w:t>
      </w:r>
      <w:bookmarkEnd w:id="403"/>
      <w:bookmarkEnd w:id="404"/>
      <w:bookmarkEnd w:id="405"/>
      <w:bookmarkEnd w:id="406"/>
    </w:p>
    <w:p>
      <w:pPr>
        <w:pStyle w:val="169"/>
        <w:spacing w:before="156"/>
        <w:rPr>
          <w:color w:val="000000" w:themeColor="text1"/>
          <w:highlight w:val="none"/>
          <w14:textFill>
            <w14:solidFill>
              <w14:schemeClr w14:val="tx1"/>
            </w14:solidFill>
          </w14:textFill>
        </w:rPr>
      </w:pPr>
      <w:bookmarkStart w:id="407" w:name="_Ref531953064"/>
      <w:r>
        <w:rPr>
          <w:color w:val="000000" w:themeColor="text1"/>
          <w:highlight w:val="none"/>
          <w14:textFill>
            <w14:solidFill>
              <w14:schemeClr w14:val="tx1"/>
            </w14:solidFill>
          </w14:textFill>
        </w:rPr>
        <w:t xml:space="preserve">5.2.1 </w:t>
      </w:r>
      <w:r>
        <w:rPr>
          <w:rFonts w:hint="eastAsia"/>
          <w:color w:val="000000" w:themeColor="text1"/>
          <w:highlight w:val="none"/>
          <w14:textFill>
            <w14:solidFill>
              <w14:schemeClr w14:val="tx1"/>
            </w14:solidFill>
          </w14:textFill>
        </w:rPr>
        <w:t>根据发包人要求应当通过工程师报发包人审查同意的承包人文件，承包人应当按照发包人要求约定的范围和内容及时报送审查。</w:t>
      </w:r>
      <w:bookmarkEnd w:id="40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发包人同意承包人文件的，应及时通知承包人，发包人不同意承包人文件的，应在审查期限内通过工程师以书面形式通知承包人，并说明不同意的具体内容和理由。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承包人对发包人的意见按以下方式处理：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发包人的意见构成变更的，承包人应在7天内通知发包人按照第13条[变更与调整]中关于发包人指示变更的约定执行，双方对是否构成变更无法达成一致的，按照第20条[争议解决]的约定执行；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因承包人原因导致无法通过审查的，承包人应根据发包人的书面说明，对承包人文件进行修改后重新报送发包人审查，审查期重新起算。因此引起的工期延长和必要的工程费用增加，由承包人负责。</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合同约定的审查期满，发包人没有做出审查结论也没有提出异议的，视为承包人文件已获发包人同意。</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发包人对承包人文件的审查和同意不得被理解为对合同的修改或改变，也并不减轻或免除承包人任何的责任和义务。</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5.2.2 </w:t>
      </w:r>
      <w:r>
        <w:rPr>
          <w:rFonts w:hint="eastAsia"/>
          <w:color w:val="000000" w:themeColor="text1"/>
          <w:highlight w:val="none"/>
          <w14:textFill>
            <w14:solidFill>
              <w14:schemeClr w14:val="tx1"/>
            </w14:solidFill>
          </w14:textFill>
        </w:rPr>
        <w:t>承包人文件不需要政府有关部门或专用合同条件约定的第三方审查单位审查或批准的，承包人应当严格按照经发包人审查同意的承包人文件设计和实施工程。</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发包人有义务向承包人提供审查会议的批准文件和纪要。承包人有义务按照相关审查会议批准的文件和纪要，并依据合同约定及相关技术标准，对承包人文件进行修改、补充和完善。</w:t>
      </w:r>
    </w:p>
    <w:p>
      <w:pPr>
        <w:pStyle w:val="169"/>
        <w:spacing w:before="156"/>
        <w:rPr>
          <w:color w:val="000000" w:themeColor="text1"/>
          <w:highlight w:val="none"/>
          <w14:textFill>
            <w14:solidFill>
              <w14:schemeClr w14:val="tx1"/>
            </w14:solidFill>
          </w14:textFill>
        </w:rPr>
      </w:pPr>
      <w:bookmarkStart w:id="408" w:name="_Ref531953074"/>
      <w:r>
        <w:rPr>
          <w:color w:val="000000" w:themeColor="text1"/>
          <w:highlight w:val="none"/>
          <w14:textFill>
            <w14:solidFill>
              <w14:schemeClr w14:val="tx1"/>
            </w14:solidFill>
          </w14:textFill>
        </w:rPr>
        <w:t xml:space="preserve">5.2.3 </w:t>
      </w:r>
      <w:r>
        <w:rPr>
          <w:rFonts w:hint="eastAsia"/>
          <w:color w:val="000000" w:themeColor="text1"/>
          <w:highlight w:val="none"/>
          <w14:textFill>
            <w14:solidFill>
              <w14:schemeClr w14:val="tx1"/>
            </w14:solidFill>
          </w14:textFill>
        </w:rPr>
        <w:t>承包人文件需政府有关部门或专用合同条件约定的第三方审查单位审查或批准的，发包人应在发包人审查同意承包人文件后</w:t>
      </w:r>
      <w:r>
        <w:rPr>
          <w:color w:val="000000" w:themeColor="text1"/>
          <w:highlight w:val="none"/>
          <w14:textFill>
            <w14:solidFill>
              <w14:schemeClr w14:val="tx1"/>
            </w14:solidFill>
          </w14:textFill>
        </w:rPr>
        <w:t>7天内，向政府有关部门或第三方报送承包人文件，承包人应予以协助。</w:t>
      </w:r>
      <w:bookmarkEnd w:id="40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177"/>
        <w:spacing w:before="156"/>
        <w:rPr>
          <w:color w:val="000000" w:themeColor="text1"/>
          <w:highlight w:val="none"/>
          <w14:textFill>
            <w14:solidFill>
              <w14:schemeClr w14:val="tx1"/>
            </w14:solidFill>
          </w14:textFill>
        </w:rPr>
      </w:pPr>
      <w:bookmarkStart w:id="409" w:name="_Ref531953097"/>
      <w:bookmarkStart w:id="410" w:name="_Ref531953095"/>
      <w:bookmarkStart w:id="411" w:name="_Toc102745926"/>
      <w:bookmarkStart w:id="412" w:name="_Toc54862224"/>
      <w:r>
        <w:rPr>
          <w:color w:val="000000" w:themeColor="text1"/>
          <w:highlight w:val="none"/>
          <w14:textFill>
            <w14:solidFill>
              <w14:schemeClr w14:val="tx1"/>
            </w14:solidFill>
          </w14:textFill>
        </w:rPr>
        <w:t xml:space="preserve">5.3 </w:t>
      </w:r>
      <w:r>
        <w:rPr>
          <w:rFonts w:hint="eastAsia"/>
          <w:color w:val="000000" w:themeColor="text1"/>
          <w:highlight w:val="none"/>
          <w14:textFill>
            <w14:solidFill>
              <w14:schemeClr w14:val="tx1"/>
            </w14:solidFill>
          </w14:textFill>
        </w:rPr>
        <w:t>培训</w:t>
      </w:r>
      <w:bookmarkEnd w:id="409"/>
      <w:bookmarkEnd w:id="410"/>
      <w:bookmarkEnd w:id="411"/>
      <w:bookmarkEnd w:id="41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adjustRightInd w:val="0"/>
        <w:snapToGrid w:val="0"/>
        <w:spacing w:line="360" w:lineRule="auto"/>
        <w:ind w:firstLine="600"/>
        <w:rPr>
          <w:color w:val="000000" w:themeColor="text1"/>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培训的时长应由双方在专用合同条件中约定，承包人应为培训提供有经验的人员、设施和其它必要条件。</w:t>
      </w:r>
      <w:bookmarkStart w:id="413" w:name="_Ref531953108"/>
      <w:bookmarkStart w:id="414" w:name="_Ref531953105"/>
      <w:bookmarkStart w:id="415" w:name="_Toc54862225"/>
    </w:p>
    <w:p>
      <w:pPr>
        <w:pStyle w:val="177"/>
        <w:spacing w:before="156"/>
        <w:rPr>
          <w:color w:val="000000" w:themeColor="text1"/>
          <w:highlight w:val="none"/>
          <w14:textFill>
            <w14:solidFill>
              <w14:schemeClr w14:val="tx1"/>
            </w14:solidFill>
          </w14:textFill>
        </w:rPr>
      </w:pPr>
      <w:bookmarkStart w:id="416" w:name="_Toc102745927"/>
      <w:r>
        <w:rPr>
          <w:color w:val="000000" w:themeColor="text1"/>
          <w:highlight w:val="none"/>
          <w14:textFill>
            <w14:solidFill>
              <w14:schemeClr w14:val="tx1"/>
            </w14:solidFill>
          </w14:textFill>
        </w:rPr>
        <w:t xml:space="preserve">5.4 </w:t>
      </w:r>
      <w:r>
        <w:rPr>
          <w:rFonts w:hint="eastAsia"/>
          <w:color w:val="000000" w:themeColor="text1"/>
          <w:highlight w:val="none"/>
          <w14:textFill>
            <w14:solidFill>
              <w14:schemeClr w14:val="tx1"/>
            </w14:solidFill>
          </w14:textFill>
        </w:rPr>
        <w:t>竣工文件</w:t>
      </w:r>
      <w:bookmarkEnd w:id="413"/>
      <w:bookmarkEnd w:id="414"/>
      <w:bookmarkEnd w:id="415"/>
      <w:bookmarkEnd w:id="416"/>
      <w:bookmarkStart w:id="417" w:name="_Ref531953134"/>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5.4.1 </w:t>
      </w:r>
      <w:r>
        <w:rPr>
          <w:rFonts w:hint="eastAsia"/>
          <w:color w:val="000000" w:themeColor="text1"/>
          <w:highlight w:val="none"/>
          <w14:textFill>
            <w14:solidFill>
              <w14:schemeClr w14:val="tx1"/>
            </w14:solidFill>
          </w14:textFill>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417"/>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5.4.2 </w:t>
      </w:r>
      <w:r>
        <w:rPr>
          <w:rFonts w:hint="eastAsia"/>
          <w:color w:val="000000" w:themeColor="text1"/>
          <w:highlight w:val="none"/>
          <w14:textFill>
            <w14:solidFill>
              <w14:schemeClr w14:val="tx1"/>
            </w14:solidFill>
          </w14:textFill>
        </w:rPr>
        <w:t>在颁发工程接收证书之前，承包人应按照发包人要求的份数和形式向工程师提交相应竣工图纸，并取得工程师对尺寸、参照系统及其他有关细节的认可。工程师应按照第</w:t>
      </w:r>
      <w:r>
        <w:rPr>
          <w:color w:val="000000" w:themeColor="text1"/>
          <w:highlight w:val="none"/>
          <w14:textFill>
            <w14:solidFill>
              <w14:schemeClr w14:val="tx1"/>
            </w14:solidFill>
          </w14:textFill>
        </w:rPr>
        <w:t>5.2款[承包人文件审查]的约定进行审查。</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5.4.3 </w:t>
      </w:r>
      <w:r>
        <w:rPr>
          <w:rFonts w:hint="eastAsia"/>
          <w:color w:val="000000" w:themeColor="text1"/>
          <w:highlight w:val="none"/>
          <w14:textFill>
            <w14:solidFill>
              <w14:schemeClr w14:val="tx1"/>
            </w14:solidFill>
          </w14:textFill>
        </w:rPr>
        <w:t>除专用合同条件另有约定外，在工程师收到本款下的文件前，不应认为工程已根据第</w:t>
      </w:r>
      <w:r>
        <w:rPr>
          <w:color w:val="000000" w:themeColor="text1"/>
          <w:highlight w:val="none"/>
          <w14:textFill>
            <w14:solidFill>
              <w14:schemeClr w14:val="tx1"/>
            </w14:solidFill>
          </w14:textFill>
        </w:rPr>
        <w:t>10.1款[竣工验收]和第10.2款[单位/区段（子项）工程的验收]的约定完成验收。</w:t>
      </w:r>
      <w:bookmarkStart w:id="418" w:name="_Ref531953117"/>
      <w:bookmarkStart w:id="419" w:name="_Toc54862226"/>
      <w:bookmarkStart w:id="420" w:name="_Ref531953119"/>
    </w:p>
    <w:p>
      <w:pPr>
        <w:pStyle w:val="177"/>
        <w:spacing w:before="156"/>
        <w:rPr>
          <w:color w:val="000000" w:themeColor="text1"/>
          <w:highlight w:val="none"/>
          <w14:textFill>
            <w14:solidFill>
              <w14:schemeClr w14:val="tx1"/>
            </w14:solidFill>
          </w14:textFill>
        </w:rPr>
      </w:pPr>
      <w:bookmarkStart w:id="421" w:name="_Toc102745928"/>
      <w:r>
        <w:rPr>
          <w:color w:val="000000" w:themeColor="text1"/>
          <w:highlight w:val="none"/>
          <w14:textFill>
            <w14:solidFill>
              <w14:schemeClr w14:val="tx1"/>
            </w14:solidFill>
          </w14:textFill>
        </w:rPr>
        <w:t xml:space="preserve">5.5 </w:t>
      </w:r>
      <w:r>
        <w:rPr>
          <w:rFonts w:hint="eastAsia"/>
          <w:color w:val="000000" w:themeColor="text1"/>
          <w:highlight w:val="none"/>
          <w14:textFill>
            <w14:solidFill>
              <w14:schemeClr w14:val="tx1"/>
            </w14:solidFill>
          </w14:textFill>
        </w:rPr>
        <w:t>操作和维修手册</w:t>
      </w:r>
      <w:bookmarkEnd w:id="418"/>
      <w:bookmarkEnd w:id="419"/>
      <w:bookmarkEnd w:id="420"/>
      <w:bookmarkEnd w:id="421"/>
      <w:bookmarkStart w:id="422" w:name="_Ref531953145"/>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5.5.1 </w:t>
      </w:r>
      <w:r>
        <w:rPr>
          <w:rFonts w:hint="eastAsia"/>
          <w:color w:val="000000" w:themeColor="text1"/>
          <w:highlight w:val="none"/>
          <w14:textFill>
            <w14:solidFill>
              <w14:schemeClr w14:val="tx1"/>
            </w14:solidFill>
          </w14:textFill>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422"/>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5.5.2 </w:t>
      </w:r>
      <w:r>
        <w:rPr>
          <w:rFonts w:hint="eastAsia"/>
          <w:color w:val="000000" w:themeColor="text1"/>
          <w:highlight w:val="none"/>
          <w14:textFill>
            <w14:solidFill>
              <w14:schemeClr w14:val="tx1"/>
            </w14:solidFill>
          </w14:textFill>
        </w:rPr>
        <w:t>工程师收到承包人提交的文件后，应依据第</w:t>
      </w:r>
      <w:r>
        <w:rPr>
          <w:color w:val="000000" w:themeColor="text1"/>
          <w:highlight w:val="none"/>
          <w14:textFill>
            <w14:solidFill>
              <w14:schemeClr w14:val="tx1"/>
            </w14:solidFill>
          </w14:textFill>
        </w:rPr>
        <w:t>5.2款[承包人文件审查]的约定对操作和维修手册进行审查，竣工试验工程中，承包人应为任何因操作和维修手册错误或遗漏引起的风险或损失承担责任。</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5.5.3 </w:t>
      </w:r>
      <w:r>
        <w:rPr>
          <w:rFonts w:hint="eastAsia"/>
          <w:color w:val="000000" w:themeColor="text1"/>
          <w:highlight w:val="none"/>
          <w14:textFill>
            <w14:solidFill>
              <w14:schemeClr w14:val="tx1"/>
            </w14:solidFill>
          </w14:textFill>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color w:val="000000" w:themeColor="text1"/>
          <w:highlight w:val="none"/>
          <w14:textFill>
            <w14:solidFill>
              <w14:schemeClr w14:val="tx1"/>
            </w14:solidFill>
          </w14:textFill>
        </w:rPr>
        <w:t>10.1款[竣工验收]和第10.2款[单位/区段（子项）工程的验收]的约定完成验收。</w:t>
      </w:r>
    </w:p>
    <w:p>
      <w:pPr>
        <w:pStyle w:val="177"/>
        <w:spacing w:before="156"/>
        <w:rPr>
          <w:color w:val="000000" w:themeColor="text1"/>
          <w:highlight w:val="none"/>
          <w14:textFill>
            <w14:solidFill>
              <w14:schemeClr w14:val="tx1"/>
            </w14:solidFill>
          </w14:textFill>
        </w:rPr>
      </w:pPr>
      <w:bookmarkStart w:id="423" w:name="_Toc54862227"/>
      <w:bookmarkStart w:id="424" w:name="_Toc102745929"/>
      <w:r>
        <w:rPr>
          <w:color w:val="000000" w:themeColor="text1"/>
          <w:highlight w:val="none"/>
          <w14:textFill>
            <w14:solidFill>
              <w14:schemeClr w14:val="tx1"/>
            </w14:solidFill>
          </w14:textFill>
        </w:rPr>
        <w:t xml:space="preserve">5.6 </w:t>
      </w:r>
      <w:r>
        <w:rPr>
          <w:rFonts w:hint="eastAsia"/>
          <w:color w:val="000000" w:themeColor="text1"/>
          <w:highlight w:val="none"/>
          <w14:textFill>
            <w14:solidFill>
              <w14:schemeClr w14:val="tx1"/>
            </w14:solidFill>
          </w14:textFill>
        </w:rPr>
        <w:t>承包人文件错误</w:t>
      </w:r>
      <w:bookmarkEnd w:id="423"/>
      <w:bookmarkEnd w:id="424"/>
      <w:r>
        <w:rPr>
          <w:color w:val="000000" w:themeColor="text1"/>
          <w:highlight w:val="none"/>
          <w14:textFill>
            <w14:solidFill>
              <w14:schemeClr w14:val="tx1"/>
            </w14:solidFill>
          </w14:textFill>
        </w:rPr>
        <w:t xml:space="preserve">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201"/>
        <w:rPr>
          <w:color w:val="000000" w:themeColor="text1"/>
          <w:highlight w:val="none"/>
          <w14:textFill>
            <w14:solidFill>
              <w14:schemeClr w14:val="tx1"/>
            </w14:solidFill>
          </w14:textFill>
        </w:rPr>
      </w:pPr>
      <w:bookmarkStart w:id="425" w:name="_Toc23586"/>
      <w:bookmarkStart w:id="426" w:name="_Toc10400"/>
      <w:bookmarkStart w:id="427" w:name="_Toc25284"/>
      <w:bookmarkStart w:id="428" w:name="_Toc16527"/>
      <w:bookmarkStart w:id="429" w:name="_Toc18887"/>
      <w:bookmarkStart w:id="430" w:name="_Toc54862228"/>
      <w:bookmarkStart w:id="431" w:name="_Toc102745930"/>
      <w:bookmarkStart w:id="432" w:name="_Toc8939"/>
      <w:bookmarkStart w:id="433" w:name="_Ref531953761"/>
      <w:bookmarkStart w:id="434" w:name="_Toc20825"/>
      <w:bookmarkStart w:id="435" w:name="_Ref531953765"/>
      <w:bookmarkStart w:id="436" w:name="_Toc10327"/>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6条 </w:t>
      </w:r>
      <w:r>
        <w:rPr>
          <w:rFonts w:hint="eastAsia"/>
          <w:color w:val="000000" w:themeColor="text1"/>
          <w:highlight w:val="none"/>
          <w14:textFill>
            <w14:solidFill>
              <w14:schemeClr w14:val="tx1"/>
            </w14:solidFill>
          </w14:textFill>
        </w:rPr>
        <w:t>材料、工程设备</w:t>
      </w:r>
      <w:bookmarkEnd w:id="425"/>
      <w:bookmarkEnd w:id="426"/>
      <w:bookmarkEnd w:id="427"/>
      <w:bookmarkEnd w:id="428"/>
      <w:bookmarkEnd w:id="429"/>
      <w:bookmarkEnd w:id="430"/>
      <w:bookmarkEnd w:id="431"/>
      <w:bookmarkEnd w:id="432"/>
      <w:bookmarkEnd w:id="433"/>
      <w:bookmarkEnd w:id="434"/>
      <w:bookmarkEnd w:id="435"/>
      <w:bookmarkEnd w:id="436"/>
    </w:p>
    <w:p>
      <w:pPr>
        <w:pStyle w:val="177"/>
        <w:spacing w:before="156"/>
        <w:rPr>
          <w:color w:val="000000" w:themeColor="text1"/>
          <w:highlight w:val="none"/>
          <w14:textFill>
            <w14:solidFill>
              <w14:schemeClr w14:val="tx1"/>
            </w14:solidFill>
          </w14:textFill>
        </w:rPr>
      </w:pPr>
      <w:bookmarkStart w:id="437" w:name="_Ref531953828"/>
      <w:bookmarkStart w:id="438" w:name="_Toc102745931"/>
      <w:bookmarkStart w:id="439" w:name="_Toc54862229"/>
      <w:bookmarkStart w:id="440" w:name="_Ref531953832"/>
      <w:r>
        <w:rPr>
          <w:color w:val="000000" w:themeColor="text1"/>
          <w:highlight w:val="none"/>
          <w14:textFill>
            <w14:solidFill>
              <w14:schemeClr w14:val="tx1"/>
            </w14:solidFill>
          </w14:textFill>
        </w:rPr>
        <w:t xml:space="preserve">6.1 </w:t>
      </w:r>
      <w:r>
        <w:rPr>
          <w:rFonts w:hint="eastAsia"/>
          <w:color w:val="000000" w:themeColor="text1"/>
          <w:highlight w:val="none"/>
          <w14:textFill>
            <w14:solidFill>
              <w14:schemeClr w14:val="tx1"/>
            </w14:solidFill>
          </w14:textFill>
        </w:rPr>
        <w:t>实施方法</w:t>
      </w:r>
      <w:bookmarkEnd w:id="437"/>
      <w:bookmarkEnd w:id="438"/>
      <w:bookmarkEnd w:id="439"/>
      <w:bookmarkEnd w:id="44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承包人应按以下方法进行材料的加工、工程设备的采购、制造和安装、以及工程的所有其他实施作业：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441" w:name="_Ref531953847"/>
      <w:r>
        <w:rPr>
          <w:rFonts w:hint="eastAsia" w:ascii="宋体"/>
          <w:color w:val="000000" w:themeColor="text1"/>
          <w:sz w:val="24"/>
          <w:szCs w:val="28"/>
          <w:highlight w:val="none"/>
          <w14:textFill>
            <w14:solidFill>
              <w14:schemeClr w14:val="tx1"/>
            </w14:solidFill>
          </w14:textFill>
        </w:rPr>
        <w:t>（1） 按照法律规定和合同约定的方法；</w:t>
      </w:r>
      <w:bookmarkEnd w:id="44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按照公认的良好行业习惯，使用恰当、审慎、先进的方法；</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除专用合同条件另有规定外，应使用适当配备的实施方法、设备、设施和无危险的材料。</w:t>
      </w:r>
    </w:p>
    <w:p>
      <w:pPr>
        <w:pStyle w:val="177"/>
        <w:spacing w:before="156"/>
        <w:rPr>
          <w:color w:val="000000" w:themeColor="text1"/>
          <w:highlight w:val="none"/>
          <w14:textFill>
            <w14:solidFill>
              <w14:schemeClr w14:val="tx1"/>
            </w14:solidFill>
          </w14:textFill>
        </w:rPr>
      </w:pPr>
      <w:bookmarkStart w:id="442" w:name="_Toc102745932"/>
      <w:bookmarkStart w:id="443" w:name="_Ref11926422"/>
      <w:bookmarkStart w:id="444" w:name="_Toc54862230"/>
      <w:bookmarkStart w:id="445" w:name="_Ref4427594"/>
      <w:r>
        <w:rPr>
          <w:color w:val="000000" w:themeColor="text1"/>
          <w:highlight w:val="none"/>
          <w14:textFill>
            <w14:solidFill>
              <w14:schemeClr w14:val="tx1"/>
            </w14:solidFill>
          </w14:textFill>
        </w:rPr>
        <w:t xml:space="preserve">6.2 </w:t>
      </w:r>
      <w:r>
        <w:rPr>
          <w:rFonts w:hint="eastAsia"/>
          <w:color w:val="000000" w:themeColor="text1"/>
          <w:highlight w:val="none"/>
          <w14:textFill>
            <w14:solidFill>
              <w14:schemeClr w14:val="tx1"/>
            </w14:solidFill>
          </w14:textFill>
        </w:rPr>
        <w:t>材料和工程设备</w:t>
      </w:r>
      <w:bookmarkEnd w:id="442"/>
      <w:bookmarkEnd w:id="443"/>
      <w:bookmarkEnd w:id="444"/>
    </w:p>
    <w:p>
      <w:pPr>
        <w:pStyle w:val="169"/>
        <w:spacing w:before="156"/>
        <w:rPr>
          <w:color w:val="000000" w:themeColor="text1"/>
          <w:highlight w:val="none"/>
          <w14:textFill>
            <w14:solidFill>
              <w14:schemeClr w14:val="tx1"/>
            </w14:solidFill>
          </w14:textFill>
        </w:rPr>
      </w:pPr>
      <w:bookmarkStart w:id="446" w:name="_Ref11960295"/>
      <w:r>
        <w:rPr>
          <w:color w:val="000000" w:themeColor="text1"/>
          <w:highlight w:val="none"/>
          <w14:textFill>
            <w14:solidFill>
              <w14:schemeClr w14:val="tx1"/>
            </w14:solidFill>
          </w14:textFill>
        </w:rPr>
        <w:t xml:space="preserve">6.2.1 </w:t>
      </w:r>
      <w:r>
        <w:rPr>
          <w:rFonts w:hint="eastAsia"/>
          <w:color w:val="000000" w:themeColor="text1"/>
          <w:highlight w:val="none"/>
          <w14:textFill>
            <w14:solidFill>
              <w14:schemeClr w14:val="tx1"/>
            </w14:solidFill>
          </w14:textFill>
        </w:rPr>
        <w:t>发包人提供的材料和工程设备</w:t>
      </w:r>
      <w:bookmarkEnd w:id="445"/>
      <w:bookmarkEnd w:id="44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发包人自行供应材料、工程设备的，应在订立合同时在专用合同条件的附件《发包人供应材料设备一览表》中明确材料、工程设备的品种、规格、型号、主要参数、数量、单价、质量等级和交接地点等。</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69"/>
        <w:spacing w:before="156"/>
        <w:rPr>
          <w:color w:val="000000" w:themeColor="text1"/>
          <w:highlight w:val="none"/>
          <w14:textFill>
            <w14:solidFill>
              <w14:schemeClr w14:val="tx1"/>
            </w14:solidFill>
          </w14:textFill>
        </w:rPr>
      </w:pPr>
      <w:bookmarkStart w:id="447" w:name="_Ref531953918"/>
      <w:r>
        <w:rPr>
          <w:color w:val="000000" w:themeColor="text1"/>
          <w:highlight w:val="none"/>
          <w14:textFill>
            <w14:solidFill>
              <w14:schemeClr w14:val="tx1"/>
            </w14:solidFill>
          </w14:textFill>
        </w:rPr>
        <w:t xml:space="preserve">6.2.2 </w:t>
      </w:r>
      <w:r>
        <w:rPr>
          <w:rFonts w:hint="eastAsia"/>
          <w:color w:val="000000" w:themeColor="text1"/>
          <w:highlight w:val="none"/>
          <w14:textFill>
            <w14:solidFill>
              <w14:schemeClr w14:val="tx1"/>
            </w14:solidFill>
          </w14:textFill>
        </w:rPr>
        <w:t>承包人提供的材料和工程设备</w:t>
      </w:r>
      <w:bookmarkEnd w:id="44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169"/>
        <w:spacing w:before="156"/>
        <w:rPr>
          <w:color w:val="000000" w:themeColor="text1"/>
          <w:highlight w:val="none"/>
          <w14:textFill>
            <w14:solidFill>
              <w14:schemeClr w14:val="tx1"/>
            </w14:solidFill>
          </w14:textFill>
        </w:rPr>
      </w:pPr>
      <w:bookmarkStart w:id="448" w:name="_Ref531953991"/>
      <w:bookmarkStart w:id="449" w:name="_Ref531953999"/>
      <w:r>
        <w:rPr>
          <w:color w:val="000000" w:themeColor="text1"/>
          <w:highlight w:val="none"/>
          <w14:textFill>
            <w14:solidFill>
              <w14:schemeClr w14:val="tx1"/>
            </w14:solidFill>
          </w14:textFill>
        </w:rPr>
        <w:t xml:space="preserve">6.2.3 </w:t>
      </w:r>
      <w:r>
        <w:rPr>
          <w:rFonts w:hint="eastAsia"/>
          <w:color w:val="000000" w:themeColor="text1"/>
          <w:highlight w:val="none"/>
          <w14:textFill>
            <w14:solidFill>
              <w14:schemeClr w14:val="tx1"/>
            </w14:solidFill>
          </w14:textFill>
        </w:rPr>
        <w:t>材料和工程设备的保管</w:t>
      </w:r>
      <w:bookmarkEnd w:id="448"/>
      <w:bookmarkEnd w:id="44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发包人供应材料与工程设备的保管与使用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发包人供应的材料和工程设备，承包人清点并接收后由承包人妥善保管，保管费用由承包人承担，但专用合同条件另有约定除外。因承包人原因发生丢失毁损的，由承包人负责赔偿。</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发包人供应的材料和工程设备使用前，由承包人负责必要的检验，检验费用由发包人承担，不合格的不得使用。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承包人采购材料与工程设备的保管与使用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工程师发现承包人使用不符合设计或有关标准要求的材料和工程设备时，有权要求承包人进行修复、拆除或重新采购，由此增加的费用和（或）延误的工期，由承包人承担。</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6.2.4 </w:t>
      </w:r>
      <w:r>
        <w:rPr>
          <w:rFonts w:hint="eastAsia"/>
          <w:color w:val="000000" w:themeColor="text1"/>
          <w:highlight w:val="none"/>
          <w14:textFill>
            <w14:solidFill>
              <w14:schemeClr w14:val="tx1"/>
            </w14:solidFill>
          </w14:textFill>
        </w:rPr>
        <w:t>材料和工程设备的所有权</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承包人按第6.2.2项提供的材料和工程设备，承包人应确保发包人取得无权利负担的材料及工程设备所有权，因承包人与第三人的物权争议导致的增加的费用和（或）延误的工期，由承包人承担。</w:t>
      </w:r>
    </w:p>
    <w:p>
      <w:pPr>
        <w:pStyle w:val="177"/>
        <w:spacing w:before="156"/>
        <w:rPr>
          <w:color w:val="000000" w:themeColor="text1"/>
          <w:highlight w:val="none"/>
          <w14:textFill>
            <w14:solidFill>
              <w14:schemeClr w14:val="tx1"/>
            </w14:solidFill>
          </w14:textFill>
        </w:rPr>
      </w:pPr>
      <w:bookmarkStart w:id="450" w:name="_Toc54862231"/>
      <w:bookmarkStart w:id="451" w:name="_Ref4428239"/>
      <w:bookmarkStart w:id="452" w:name="_Toc102745933"/>
      <w:bookmarkStart w:id="453" w:name="_Toc351203565"/>
      <w:bookmarkStart w:id="454" w:name="_Toc337558785"/>
      <w:r>
        <w:rPr>
          <w:color w:val="000000" w:themeColor="text1"/>
          <w:highlight w:val="none"/>
          <w14:textFill>
            <w14:solidFill>
              <w14:schemeClr w14:val="tx1"/>
            </w14:solidFill>
          </w14:textFill>
        </w:rPr>
        <w:t xml:space="preserve">6.3 </w:t>
      </w:r>
      <w:r>
        <w:rPr>
          <w:rFonts w:hint="eastAsia"/>
          <w:color w:val="000000" w:themeColor="text1"/>
          <w:highlight w:val="none"/>
          <w14:textFill>
            <w14:solidFill>
              <w14:schemeClr w14:val="tx1"/>
            </w14:solidFill>
          </w14:textFill>
        </w:rPr>
        <w:t>样品</w:t>
      </w:r>
      <w:bookmarkEnd w:id="450"/>
      <w:bookmarkEnd w:id="451"/>
      <w:bookmarkEnd w:id="452"/>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6.3.1 </w:t>
      </w:r>
      <w:r>
        <w:rPr>
          <w:rFonts w:hint="eastAsia"/>
          <w:color w:val="000000" w:themeColor="text1"/>
          <w:highlight w:val="none"/>
          <w14:textFill>
            <w14:solidFill>
              <w14:schemeClr w14:val="tx1"/>
            </w14:solidFill>
          </w14:textFill>
        </w:rPr>
        <w:t>样品的报送与封存</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需要承包人报送样品的材料或工程设备，样品的种类、名称、规格、数量等要求均应在专用合同条件中约定。样品的报送程序如下：</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经工程师审批确认的样品应按约定的方法封样，封存的样品作为检验工程相关部分的标准之一。承包人在施工过程中不得使用与样品不符的材料或工程设备。</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6.3.2 </w:t>
      </w:r>
      <w:r>
        <w:rPr>
          <w:rFonts w:hint="eastAsia"/>
          <w:color w:val="000000" w:themeColor="text1"/>
          <w:highlight w:val="none"/>
          <w14:textFill>
            <w14:solidFill>
              <w14:schemeClr w14:val="tx1"/>
            </w14:solidFill>
          </w14:textFill>
        </w:rPr>
        <w:t>样品的保管</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经批准的样品应由工程师负责封存于现场，承包人应在现场为保存样品提供适当和固定的场所并保持适当和良好的存储环境条件。</w:t>
      </w:r>
    </w:p>
    <w:p>
      <w:pPr>
        <w:pStyle w:val="177"/>
        <w:spacing w:before="156"/>
        <w:rPr>
          <w:color w:val="000000" w:themeColor="text1"/>
          <w:highlight w:val="none"/>
          <w14:textFill>
            <w14:solidFill>
              <w14:schemeClr w14:val="tx1"/>
            </w14:solidFill>
          </w14:textFill>
        </w:rPr>
      </w:pPr>
      <w:bookmarkStart w:id="455" w:name="_Ref11959204"/>
      <w:bookmarkStart w:id="456" w:name="_Toc54862232"/>
      <w:bookmarkStart w:id="457" w:name="_Toc102745934"/>
      <w:bookmarkStart w:id="458" w:name="_Ref11959210"/>
      <w:r>
        <w:rPr>
          <w:color w:val="000000" w:themeColor="text1"/>
          <w:highlight w:val="none"/>
          <w14:textFill>
            <w14:solidFill>
              <w14:schemeClr w14:val="tx1"/>
            </w14:solidFill>
          </w14:textFill>
        </w:rPr>
        <w:t xml:space="preserve">6.4 </w:t>
      </w:r>
      <w:r>
        <w:rPr>
          <w:rFonts w:hint="eastAsia"/>
          <w:color w:val="000000" w:themeColor="text1"/>
          <w:highlight w:val="none"/>
          <w14:textFill>
            <w14:solidFill>
              <w14:schemeClr w14:val="tx1"/>
            </w14:solidFill>
          </w14:textFill>
        </w:rPr>
        <w:t>质量检查</w:t>
      </w:r>
      <w:bookmarkEnd w:id="455"/>
      <w:bookmarkEnd w:id="456"/>
      <w:bookmarkEnd w:id="457"/>
      <w:bookmarkEnd w:id="458"/>
    </w:p>
    <w:p>
      <w:pPr>
        <w:pStyle w:val="169"/>
        <w:spacing w:before="156"/>
        <w:rPr>
          <w:color w:val="000000" w:themeColor="text1"/>
          <w:highlight w:val="none"/>
          <w14:textFill>
            <w14:solidFill>
              <w14:schemeClr w14:val="tx1"/>
            </w14:solidFill>
          </w14:textFill>
        </w:rPr>
      </w:pPr>
      <w:bookmarkStart w:id="459" w:name="_Ref18990699"/>
      <w:r>
        <w:rPr>
          <w:color w:val="000000" w:themeColor="text1"/>
          <w:highlight w:val="none"/>
          <w14:textFill>
            <w14:solidFill>
              <w14:schemeClr w14:val="tx1"/>
            </w14:solidFill>
          </w14:textFill>
        </w:rPr>
        <w:t xml:space="preserve">6.4.1 </w:t>
      </w:r>
      <w:r>
        <w:rPr>
          <w:rFonts w:hint="eastAsia"/>
          <w:color w:val="000000" w:themeColor="text1"/>
          <w:highlight w:val="none"/>
          <w14:textFill>
            <w14:solidFill>
              <w14:schemeClr w14:val="tx1"/>
            </w14:solidFill>
          </w14:textFill>
        </w:rPr>
        <w:t>工程质量要求</w:t>
      </w:r>
      <w:bookmarkEnd w:id="45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工程质量标准必须符合现行国家有关工程施工质量验收规范和标准的要求。有关工程质量的特殊标准或要求由合同当事人在专用合同条件中约定。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169"/>
        <w:spacing w:before="156"/>
        <w:rPr>
          <w:color w:val="000000" w:themeColor="text1"/>
          <w:highlight w:val="none"/>
          <w14:textFill>
            <w14:solidFill>
              <w14:schemeClr w14:val="tx1"/>
            </w14:solidFill>
          </w14:textFill>
        </w:rPr>
      </w:pPr>
      <w:bookmarkStart w:id="460" w:name="_Ref18990717"/>
      <w:r>
        <w:rPr>
          <w:color w:val="000000" w:themeColor="text1"/>
          <w:highlight w:val="none"/>
          <w14:textFill>
            <w14:solidFill>
              <w14:schemeClr w14:val="tx1"/>
            </w14:solidFill>
          </w14:textFill>
        </w:rPr>
        <w:t xml:space="preserve">6.4.2 </w:t>
      </w:r>
      <w:r>
        <w:rPr>
          <w:rFonts w:hint="eastAsia"/>
          <w:color w:val="000000" w:themeColor="text1"/>
          <w:highlight w:val="none"/>
          <w14:textFill>
            <w14:solidFill>
              <w14:schemeClr w14:val="tx1"/>
            </w14:solidFill>
          </w14:textFill>
        </w:rPr>
        <w:t>质量检查</w:t>
      </w:r>
      <w:bookmarkEnd w:id="46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169"/>
        <w:spacing w:before="156"/>
        <w:rPr>
          <w:color w:val="000000" w:themeColor="text1"/>
          <w:highlight w:val="none"/>
          <w14:textFill>
            <w14:solidFill>
              <w14:schemeClr w14:val="tx1"/>
            </w14:solidFill>
          </w14:textFill>
        </w:rPr>
      </w:pPr>
      <w:bookmarkStart w:id="461" w:name="_Ref11959222"/>
      <w:r>
        <w:rPr>
          <w:color w:val="000000" w:themeColor="text1"/>
          <w:highlight w:val="none"/>
          <w14:textFill>
            <w14:solidFill>
              <w14:schemeClr w14:val="tx1"/>
            </w14:solidFill>
          </w14:textFill>
        </w:rPr>
        <w:t xml:space="preserve">6.4.3 </w:t>
      </w:r>
      <w:r>
        <w:rPr>
          <w:rFonts w:hint="eastAsia"/>
          <w:color w:val="000000" w:themeColor="text1"/>
          <w:highlight w:val="none"/>
          <w14:textFill>
            <w14:solidFill>
              <w14:schemeClr w14:val="tx1"/>
            </w14:solidFill>
          </w14:textFill>
        </w:rPr>
        <w:t>隐蔽工程检查</w:t>
      </w:r>
      <w:bookmarkEnd w:id="46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承包人未通知工程师到场检查，私自将工程隐蔽部位覆盖的，工程师有权指示承包人钻孔探测或揭开检查，无论工程隐蔽部位质量是否合格，由此增加的费用和（或）延误的工期均由承包人承担。</w:t>
      </w:r>
    </w:p>
    <w:bookmarkEnd w:id="453"/>
    <w:p>
      <w:pPr>
        <w:pStyle w:val="177"/>
        <w:spacing w:before="156"/>
        <w:rPr>
          <w:color w:val="000000" w:themeColor="text1"/>
          <w:highlight w:val="none"/>
          <w14:textFill>
            <w14:solidFill>
              <w14:schemeClr w14:val="tx1"/>
            </w14:solidFill>
          </w14:textFill>
        </w:rPr>
      </w:pPr>
      <w:bookmarkStart w:id="462" w:name="_Ref11927389"/>
      <w:bookmarkStart w:id="463" w:name="_Ref11927403"/>
      <w:bookmarkStart w:id="464" w:name="_Ref11927398"/>
      <w:bookmarkStart w:id="465" w:name="_Toc102745935"/>
      <w:bookmarkStart w:id="466" w:name="_Ref11959158"/>
      <w:bookmarkStart w:id="467" w:name="_Ref11959175"/>
      <w:bookmarkStart w:id="468" w:name="_Toc54862233"/>
      <w:r>
        <w:rPr>
          <w:color w:val="000000" w:themeColor="text1"/>
          <w:highlight w:val="none"/>
          <w14:textFill>
            <w14:solidFill>
              <w14:schemeClr w14:val="tx1"/>
            </w14:solidFill>
          </w14:textFill>
        </w:rPr>
        <w:t xml:space="preserve">6.5 </w:t>
      </w:r>
      <w:r>
        <w:rPr>
          <w:rFonts w:hint="eastAsia"/>
          <w:color w:val="000000" w:themeColor="text1"/>
          <w:highlight w:val="none"/>
          <w14:textFill>
            <w14:solidFill>
              <w14:schemeClr w14:val="tx1"/>
            </w14:solidFill>
          </w14:textFill>
        </w:rPr>
        <w:t>由承包人试验</w:t>
      </w:r>
      <w:bookmarkEnd w:id="462"/>
      <w:bookmarkEnd w:id="463"/>
      <w:bookmarkEnd w:id="464"/>
      <w:r>
        <w:rPr>
          <w:rFonts w:hint="eastAsia"/>
          <w:color w:val="000000" w:themeColor="text1"/>
          <w:highlight w:val="none"/>
          <w14:textFill>
            <w14:solidFill>
              <w14:schemeClr w14:val="tx1"/>
            </w14:solidFill>
          </w14:textFill>
        </w:rPr>
        <w:t>和检验</w:t>
      </w:r>
      <w:bookmarkEnd w:id="465"/>
      <w:bookmarkEnd w:id="466"/>
      <w:bookmarkEnd w:id="467"/>
      <w:bookmarkEnd w:id="468"/>
    </w:p>
    <w:bookmarkEnd w:id="454"/>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6.5.1 </w:t>
      </w:r>
      <w:r>
        <w:rPr>
          <w:rFonts w:hint="eastAsia"/>
          <w:color w:val="000000" w:themeColor="text1"/>
          <w:highlight w:val="none"/>
          <w14:textFill>
            <w14:solidFill>
              <w14:schemeClr w14:val="tx1"/>
            </w14:solidFill>
          </w14:textFill>
        </w:rPr>
        <w:t>试验设备与试验人员</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承包人应按专用合同条件约定的试验内容、时间和地点提供试验设备、取样装置、试验场所和试验条件，并向工程师提交相应进场计划表。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承包人配置的试验设备要符合相应试验规程的要求并经过具有资质的检测单位检测，且在正式使用该试验设备前，需要经过工程师与承包人共同校定。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承包人应向工程师提交试验人员的名单及其岗位、资格等证明资料，试验人员必须能够熟练进行相应的检测试验，承包人对试验人员的试验程序和试验结果的正确性负责。</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6.5.2 </w:t>
      </w:r>
      <w:r>
        <w:rPr>
          <w:rFonts w:hint="eastAsia"/>
          <w:color w:val="000000" w:themeColor="text1"/>
          <w:highlight w:val="none"/>
          <w14:textFill>
            <w14:solidFill>
              <w14:schemeClr w14:val="tx1"/>
            </w14:solidFill>
          </w14:textFill>
        </w:rPr>
        <w:t>取样</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试验属于自检性质的，承包人可以单独取样。试验属于工程师抽检性质的，可由工程师取样，也可由承包人的试验人员在工程师的监督下取样。</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6.5.3 </w:t>
      </w:r>
      <w:r>
        <w:rPr>
          <w:rFonts w:hint="eastAsia"/>
          <w:color w:val="000000" w:themeColor="text1"/>
          <w:highlight w:val="none"/>
          <w14:textFill>
            <w14:solidFill>
              <w14:schemeClr w14:val="tx1"/>
            </w14:solidFill>
          </w14:textFill>
        </w:rPr>
        <w:t>材料、工程设备和工程的试验和检验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169"/>
        <w:spacing w:before="156"/>
        <w:rPr>
          <w:color w:val="000000" w:themeColor="text1"/>
          <w:highlight w:val="none"/>
          <w14:textFill>
            <w14:solidFill>
              <w14:schemeClr w14:val="tx1"/>
            </w14:solidFill>
          </w14:textFill>
        </w:rPr>
      </w:pPr>
      <w:bookmarkStart w:id="469" w:name="_Toc351203566"/>
      <w:bookmarkStart w:id="470" w:name="_Toc337558786"/>
      <w:r>
        <w:rPr>
          <w:color w:val="000000" w:themeColor="text1"/>
          <w:highlight w:val="none"/>
          <w14:textFill>
            <w14:solidFill>
              <w14:schemeClr w14:val="tx1"/>
            </w14:solidFill>
          </w14:textFill>
        </w:rPr>
        <w:t xml:space="preserve">6.5.4 </w:t>
      </w:r>
      <w:r>
        <w:rPr>
          <w:rFonts w:hint="eastAsia"/>
          <w:color w:val="000000" w:themeColor="text1"/>
          <w:highlight w:val="none"/>
          <w14:textFill>
            <w14:solidFill>
              <w14:schemeClr w14:val="tx1"/>
            </w14:solidFill>
          </w14:textFill>
        </w:rPr>
        <w:t>现场工艺试验</w:t>
      </w:r>
      <w:bookmarkEnd w:id="469"/>
    </w:p>
    <w:bookmarkEnd w:id="470"/>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承包人应按合同约定进行现场工艺试验。对大型的现场工艺试验，发包人认为必要时，承包人应根据发包人提出的工艺试验要求，编制工艺试验措施计划，报送发包人审查。</w:t>
      </w:r>
    </w:p>
    <w:p>
      <w:pPr>
        <w:pStyle w:val="177"/>
        <w:spacing w:before="156"/>
        <w:rPr>
          <w:color w:val="000000" w:themeColor="text1"/>
          <w:highlight w:val="none"/>
          <w14:textFill>
            <w14:solidFill>
              <w14:schemeClr w14:val="tx1"/>
            </w14:solidFill>
          </w14:textFill>
        </w:rPr>
      </w:pPr>
      <w:bookmarkStart w:id="471" w:name="_Ref532592784"/>
      <w:bookmarkStart w:id="472" w:name="_Toc102745936"/>
      <w:bookmarkStart w:id="473" w:name="_Ref532592787"/>
      <w:bookmarkStart w:id="474" w:name="_Toc54862234"/>
      <w:r>
        <w:rPr>
          <w:color w:val="000000" w:themeColor="text1"/>
          <w:highlight w:val="none"/>
          <w14:textFill>
            <w14:solidFill>
              <w14:schemeClr w14:val="tx1"/>
            </w14:solidFill>
          </w14:textFill>
        </w:rPr>
        <w:t xml:space="preserve">6.6 </w:t>
      </w:r>
      <w:r>
        <w:rPr>
          <w:rFonts w:hint="eastAsia"/>
          <w:color w:val="000000" w:themeColor="text1"/>
          <w:highlight w:val="none"/>
          <w14:textFill>
            <w14:solidFill>
              <w14:schemeClr w14:val="tx1"/>
            </w14:solidFill>
          </w14:textFill>
        </w:rPr>
        <w:t>缺陷和修补</w:t>
      </w:r>
      <w:bookmarkEnd w:id="471"/>
      <w:bookmarkEnd w:id="472"/>
      <w:bookmarkEnd w:id="473"/>
      <w:bookmarkEnd w:id="474"/>
    </w:p>
    <w:p>
      <w:pPr>
        <w:pStyle w:val="169"/>
        <w:spacing w:before="156"/>
        <w:rPr>
          <w:color w:val="000000" w:themeColor="text1"/>
          <w:highlight w:val="none"/>
          <w14:textFill>
            <w14:solidFill>
              <w14:schemeClr w14:val="tx1"/>
            </w14:solidFill>
          </w14:textFill>
        </w:rPr>
      </w:pPr>
      <w:bookmarkStart w:id="475" w:name="_Ref16875551"/>
      <w:r>
        <w:rPr>
          <w:color w:val="000000" w:themeColor="text1"/>
          <w:highlight w:val="none"/>
          <w14:textFill>
            <w14:solidFill>
              <w14:schemeClr w14:val="tx1"/>
            </w14:solidFill>
          </w14:textFill>
        </w:rPr>
        <w:t xml:space="preserve">6.6.1 </w:t>
      </w:r>
      <w:r>
        <w:rPr>
          <w:rFonts w:hint="eastAsia"/>
          <w:color w:val="000000" w:themeColor="text1"/>
          <w:highlight w:val="none"/>
          <w14:textFill>
            <w14:solidFill>
              <w14:schemeClr w14:val="tx1"/>
            </w14:solidFill>
          </w14:textFill>
        </w:rPr>
        <w:t>发包人可在颁发接收证书前随时指示承包人：</w:t>
      </w:r>
      <w:bookmarkEnd w:id="47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对不符合合同要求的任何工程设备或材料进行修补，或者将其移出现场并进行更换；</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 xml:space="preserve">（2） 对不符合合同的其他工作进行修补，或者将其去除并重新实施；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476" w:name="_Ref4708991"/>
      <w:r>
        <w:rPr>
          <w:rFonts w:hint="eastAsia" w:ascii="宋体"/>
          <w:color w:val="000000" w:themeColor="text1"/>
          <w:sz w:val="24"/>
          <w:szCs w:val="28"/>
          <w:highlight w:val="none"/>
          <w14:textFill>
            <w14:solidFill>
              <w14:schemeClr w14:val="tx1"/>
            </w14:solidFill>
          </w14:textFill>
        </w:rPr>
        <w:t>（3） 实施因意外、不可预见的事件或其他原因引起的、为工程的安全迫切需要的任何修补工作。</w:t>
      </w:r>
      <w:bookmarkEnd w:id="476"/>
    </w:p>
    <w:p>
      <w:pPr>
        <w:pStyle w:val="169"/>
        <w:spacing w:before="156"/>
        <w:rPr>
          <w:color w:val="000000" w:themeColor="text1"/>
          <w:highlight w:val="none"/>
          <w14:textFill>
            <w14:solidFill>
              <w14:schemeClr w14:val="tx1"/>
            </w14:solidFill>
          </w14:textFill>
        </w:rPr>
      </w:pPr>
      <w:bookmarkStart w:id="477" w:name="_Ref11956964"/>
      <w:r>
        <w:rPr>
          <w:color w:val="000000" w:themeColor="text1"/>
          <w:highlight w:val="none"/>
          <w14:textFill>
            <w14:solidFill>
              <w14:schemeClr w14:val="tx1"/>
            </w14:solidFill>
          </w14:textFill>
        </w:rPr>
        <w:t xml:space="preserve">6.6.2 </w:t>
      </w:r>
      <w:r>
        <w:rPr>
          <w:rFonts w:hint="eastAsia"/>
          <w:color w:val="000000" w:themeColor="text1"/>
          <w:highlight w:val="none"/>
          <w14:textFill>
            <w14:solidFill>
              <w14:schemeClr w14:val="tx1"/>
            </w14:solidFill>
          </w14:textFill>
        </w:rPr>
        <w:t>承包人应遵守第</w:t>
      </w:r>
      <w:r>
        <w:rPr>
          <w:color w:val="000000" w:themeColor="text1"/>
          <w:highlight w:val="none"/>
          <w14:textFill>
            <w14:solidFill>
              <w14:schemeClr w14:val="tx1"/>
            </w14:solidFill>
          </w14:textFill>
        </w:rPr>
        <w:t>6.6.1项下指示，并在合理可行的情况下，根据上述指示中规定的时间完成修补工作。除因下列原因引起的第6.6.1项第（3）目下的情形外，承包人应承担所有修补工作的费用：</w:t>
      </w:r>
      <w:bookmarkEnd w:id="47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因发包人或其人员的任何行为导致的情形，且在此情况下发包人应承担因此引起的工期延误和承包人费用损失，并向承包人支付合理的利润。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第17.4款[不可抗力后果的承担]中适用的不可抗力事件的情形。</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6.6.3 </w:t>
      </w:r>
      <w:r>
        <w:rPr>
          <w:rFonts w:hint="eastAsia"/>
          <w:color w:val="000000" w:themeColor="text1"/>
          <w:highlight w:val="none"/>
          <w14:textFill>
            <w14:solidFill>
              <w14:schemeClr w14:val="tx1"/>
            </w14:solidFill>
          </w14:textFill>
        </w:rPr>
        <w:t>如果承包人未能遵守发包人的指示，发包人可以自行决定请第三方完成上述修补工作，并有权要求承包人支付因未履行指示而产生的所有费用，但承包人根据第</w:t>
      </w:r>
      <w:r>
        <w:rPr>
          <w:color w:val="000000" w:themeColor="text1"/>
          <w:highlight w:val="none"/>
          <w14:textFill>
            <w14:solidFill>
              <w14:schemeClr w14:val="tx1"/>
            </w14:solidFill>
          </w14:textFill>
        </w:rPr>
        <w:t>6.6.2项有权就修补工</w:t>
      </w:r>
      <w:r>
        <w:rPr>
          <w:rFonts w:hint="eastAsia"/>
          <w:color w:val="000000" w:themeColor="text1"/>
          <w:highlight w:val="none"/>
          <w14:textFill>
            <w14:solidFill>
              <w14:schemeClr w14:val="tx1"/>
            </w14:solidFill>
          </w14:textFill>
        </w:rPr>
        <w:t>作获得支付的情况除外。</w:t>
      </w:r>
      <w:bookmarkStart w:id="478" w:name="_Toc13645"/>
      <w:bookmarkStart w:id="479" w:name="_Toc21547"/>
      <w:bookmarkStart w:id="480" w:name="_Toc2827"/>
      <w:bookmarkStart w:id="481" w:name="_Toc32107"/>
      <w:bookmarkStart w:id="482" w:name="_Toc26479"/>
      <w:bookmarkStart w:id="483" w:name="_Toc26606"/>
      <w:bookmarkStart w:id="484" w:name="_Toc156"/>
      <w:bookmarkStart w:id="485" w:name="_Toc54862235"/>
      <w:bookmarkStart w:id="486" w:name="_Toc10194"/>
      <w:bookmarkStart w:id="487" w:name="_Ref531954214"/>
    </w:p>
    <w:p>
      <w:pPr>
        <w:pStyle w:val="201"/>
        <w:rPr>
          <w:color w:val="000000" w:themeColor="text1"/>
          <w:highlight w:val="none"/>
          <w14:textFill>
            <w14:solidFill>
              <w14:schemeClr w14:val="tx1"/>
            </w14:solidFill>
          </w14:textFill>
        </w:rPr>
      </w:pPr>
      <w:bookmarkStart w:id="488" w:name="_Toc102745937"/>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7条 </w:t>
      </w:r>
      <w:r>
        <w:rPr>
          <w:rFonts w:hint="eastAsia"/>
          <w:color w:val="000000" w:themeColor="text1"/>
          <w:highlight w:val="none"/>
          <w14:textFill>
            <w14:solidFill>
              <w14:schemeClr w14:val="tx1"/>
            </w14:solidFill>
          </w14:textFill>
        </w:rPr>
        <w:t>施工</w:t>
      </w:r>
      <w:bookmarkEnd w:id="478"/>
      <w:bookmarkEnd w:id="479"/>
      <w:bookmarkEnd w:id="480"/>
      <w:bookmarkEnd w:id="481"/>
      <w:bookmarkEnd w:id="482"/>
      <w:bookmarkEnd w:id="483"/>
      <w:bookmarkEnd w:id="484"/>
      <w:bookmarkEnd w:id="485"/>
      <w:bookmarkEnd w:id="486"/>
      <w:bookmarkEnd w:id="487"/>
      <w:bookmarkEnd w:id="488"/>
    </w:p>
    <w:p>
      <w:pPr>
        <w:pStyle w:val="177"/>
        <w:spacing w:before="156"/>
        <w:rPr>
          <w:color w:val="000000" w:themeColor="text1"/>
          <w:highlight w:val="none"/>
          <w14:textFill>
            <w14:solidFill>
              <w14:schemeClr w14:val="tx1"/>
            </w14:solidFill>
          </w14:textFill>
        </w:rPr>
      </w:pPr>
      <w:bookmarkStart w:id="489" w:name="_Ref531954272"/>
      <w:bookmarkStart w:id="490" w:name="_Toc54862236"/>
      <w:bookmarkStart w:id="491" w:name="_Ref531954276"/>
      <w:bookmarkStart w:id="492" w:name="_Toc102745938"/>
      <w:bookmarkStart w:id="493" w:name="_Ref531954246"/>
      <w:bookmarkStart w:id="494" w:name="_Ref531954260"/>
      <w:r>
        <w:rPr>
          <w:color w:val="000000" w:themeColor="text1"/>
          <w:highlight w:val="none"/>
          <w14:textFill>
            <w14:solidFill>
              <w14:schemeClr w14:val="tx1"/>
            </w14:solidFill>
          </w14:textFill>
        </w:rPr>
        <w:t xml:space="preserve">7.1 </w:t>
      </w:r>
      <w:r>
        <w:rPr>
          <w:rFonts w:hint="eastAsia"/>
          <w:color w:val="000000" w:themeColor="text1"/>
          <w:highlight w:val="none"/>
          <w14:textFill>
            <w14:solidFill>
              <w14:schemeClr w14:val="tx1"/>
            </w14:solidFill>
          </w14:textFill>
        </w:rPr>
        <w:t>交通运输</w:t>
      </w:r>
      <w:bookmarkEnd w:id="489"/>
      <w:bookmarkEnd w:id="490"/>
      <w:bookmarkEnd w:id="491"/>
      <w:bookmarkEnd w:id="492"/>
    </w:p>
    <w:p>
      <w:pPr>
        <w:pStyle w:val="169"/>
        <w:spacing w:before="156"/>
        <w:rPr>
          <w:color w:val="000000" w:themeColor="text1"/>
          <w:highlight w:val="none"/>
          <w14:textFill>
            <w14:solidFill>
              <w14:schemeClr w14:val="tx1"/>
            </w14:solidFill>
          </w14:textFill>
        </w:rPr>
      </w:pPr>
      <w:bookmarkStart w:id="495" w:name="_Ref4422645"/>
      <w:r>
        <w:rPr>
          <w:color w:val="000000" w:themeColor="text1"/>
          <w:highlight w:val="none"/>
          <w14:textFill>
            <w14:solidFill>
              <w14:schemeClr w14:val="tx1"/>
            </w14:solidFill>
          </w14:textFill>
        </w:rPr>
        <w:t xml:space="preserve">7.1.1 </w:t>
      </w:r>
      <w:r>
        <w:rPr>
          <w:rFonts w:hint="eastAsia"/>
          <w:color w:val="000000" w:themeColor="text1"/>
          <w:highlight w:val="none"/>
          <w14:textFill>
            <w14:solidFill>
              <w14:schemeClr w14:val="tx1"/>
            </w14:solidFill>
          </w14:textFill>
        </w:rPr>
        <w:t>出入现场的权利</w:t>
      </w:r>
      <w:bookmarkEnd w:id="49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169"/>
        <w:spacing w:before="156"/>
        <w:rPr>
          <w:color w:val="000000" w:themeColor="text1"/>
          <w:highlight w:val="none"/>
          <w14:textFill>
            <w14:solidFill>
              <w14:schemeClr w14:val="tx1"/>
            </w14:solidFill>
          </w14:textFill>
        </w:rPr>
      </w:pPr>
      <w:bookmarkStart w:id="496" w:name="_Ref18957045"/>
      <w:r>
        <w:rPr>
          <w:color w:val="000000" w:themeColor="text1"/>
          <w:highlight w:val="none"/>
          <w14:textFill>
            <w14:solidFill>
              <w14:schemeClr w14:val="tx1"/>
            </w14:solidFill>
          </w14:textFill>
        </w:rPr>
        <w:t xml:space="preserve">7.1.2 </w:t>
      </w:r>
      <w:r>
        <w:rPr>
          <w:rFonts w:hint="eastAsia"/>
          <w:color w:val="000000" w:themeColor="text1"/>
          <w:highlight w:val="none"/>
          <w14:textFill>
            <w14:solidFill>
              <w14:schemeClr w14:val="tx1"/>
            </w14:solidFill>
          </w14:textFill>
        </w:rPr>
        <w:t>场外交通</w:t>
      </w:r>
      <w:bookmarkEnd w:id="49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169"/>
        <w:spacing w:before="156"/>
        <w:rPr>
          <w:color w:val="000000" w:themeColor="text1"/>
          <w:highlight w:val="none"/>
          <w14:textFill>
            <w14:solidFill>
              <w14:schemeClr w14:val="tx1"/>
            </w14:solidFill>
          </w14:textFill>
        </w:rPr>
      </w:pPr>
      <w:bookmarkStart w:id="497" w:name="_Ref4622358"/>
      <w:r>
        <w:rPr>
          <w:color w:val="000000" w:themeColor="text1"/>
          <w:highlight w:val="none"/>
          <w14:textFill>
            <w14:solidFill>
              <w14:schemeClr w14:val="tx1"/>
            </w14:solidFill>
          </w14:textFill>
        </w:rPr>
        <w:t xml:space="preserve">7.1.3 </w:t>
      </w:r>
      <w:r>
        <w:rPr>
          <w:rFonts w:hint="eastAsia"/>
          <w:color w:val="000000" w:themeColor="text1"/>
          <w:highlight w:val="none"/>
          <w14:textFill>
            <w14:solidFill>
              <w14:schemeClr w14:val="tx1"/>
            </w14:solidFill>
          </w14:textFill>
        </w:rPr>
        <w:t>场内交通</w:t>
      </w:r>
      <w:bookmarkEnd w:id="49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169"/>
        <w:spacing w:before="156"/>
        <w:rPr>
          <w:color w:val="000000" w:themeColor="text1"/>
          <w:highlight w:val="none"/>
          <w14:textFill>
            <w14:solidFill>
              <w14:schemeClr w14:val="tx1"/>
            </w14:solidFill>
          </w14:textFill>
        </w:rPr>
      </w:pPr>
      <w:bookmarkStart w:id="498" w:name="_Ref4622376"/>
      <w:r>
        <w:rPr>
          <w:color w:val="000000" w:themeColor="text1"/>
          <w:highlight w:val="none"/>
          <w14:textFill>
            <w14:solidFill>
              <w14:schemeClr w14:val="tx1"/>
            </w14:solidFill>
          </w14:textFill>
        </w:rPr>
        <w:t xml:space="preserve">7.1.4 </w:t>
      </w:r>
      <w:r>
        <w:rPr>
          <w:rFonts w:hint="eastAsia"/>
          <w:color w:val="000000" w:themeColor="text1"/>
          <w:highlight w:val="none"/>
          <w14:textFill>
            <w14:solidFill>
              <w14:schemeClr w14:val="tx1"/>
            </w14:solidFill>
          </w14:textFill>
        </w:rPr>
        <w:t>超大件和超重件的运输</w:t>
      </w:r>
      <w:bookmarkEnd w:id="49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7.1.5 </w:t>
      </w:r>
      <w:r>
        <w:rPr>
          <w:rFonts w:hint="eastAsia"/>
          <w:color w:val="000000" w:themeColor="text1"/>
          <w:highlight w:val="none"/>
          <w14:textFill>
            <w14:solidFill>
              <w14:schemeClr w14:val="tx1"/>
            </w14:solidFill>
          </w14:textFill>
        </w:rPr>
        <w:t>道路和桥梁的损坏责任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因承包人运输造成施工现场内外公共道路和桥梁损坏的，由承包人承担修复损坏的全部费用和可能引起的赔偿。</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7.1.6 </w:t>
      </w:r>
      <w:r>
        <w:rPr>
          <w:rFonts w:hint="eastAsia"/>
          <w:color w:val="000000" w:themeColor="text1"/>
          <w:highlight w:val="none"/>
          <w14:textFill>
            <w14:solidFill>
              <w14:schemeClr w14:val="tx1"/>
            </w14:solidFill>
          </w14:textFill>
        </w:rPr>
        <w:t>水路和航空运输</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本条上述各款的内容适用于水路运输和航空运输，其中“道路”一词的涵义包括河道、航线、船闸、机场、码头、堤防以及水路或航空运输中其他相似结构物；“车辆”一词的涵义包括船舶和飞机等。</w:t>
      </w:r>
    </w:p>
    <w:p>
      <w:pPr>
        <w:pStyle w:val="177"/>
        <w:spacing w:before="156"/>
        <w:rPr>
          <w:color w:val="000000" w:themeColor="text1"/>
          <w:highlight w:val="none"/>
          <w14:textFill>
            <w14:solidFill>
              <w14:schemeClr w14:val="tx1"/>
            </w14:solidFill>
          </w14:textFill>
        </w:rPr>
      </w:pPr>
      <w:bookmarkStart w:id="499" w:name="_Toc54862237"/>
      <w:bookmarkStart w:id="500" w:name="_Ref11919294"/>
      <w:bookmarkStart w:id="501" w:name="_Ref11919459"/>
      <w:bookmarkStart w:id="502" w:name="_Toc102745939"/>
      <w:r>
        <w:rPr>
          <w:color w:val="000000" w:themeColor="text1"/>
          <w:highlight w:val="none"/>
          <w14:textFill>
            <w14:solidFill>
              <w14:schemeClr w14:val="tx1"/>
            </w14:solidFill>
          </w14:textFill>
        </w:rPr>
        <w:t xml:space="preserve">7.2 </w:t>
      </w:r>
      <w:r>
        <w:rPr>
          <w:rFonts w:hint="eastAsia"/>
          <w:color w:val="000000" w:themeColor="text1"/>
          <w:highlight w:val="none"/>
          <w14:textFill>
            <w14:solidFill>
              <w14:schemeClr w14:val="tx1"/>
            </w14:solidFill>
          </w14:textFill>
        </w:rPr>
        <w:t>施工设备和临时设施</w:t>
      </w:r>
      <w:bookmarkEnd w:id="493"/>
      <w:bookmarkEnd w:id="494"/>
      <w:bookmarkEnd w:id="499"/>
      <w:bookmarkEnd w:id="500"/>
      <w:bookmarkEnd w:id="501"/>
      <w:bookmarkEnd w:id="502"/>
      <w:r>
        <w:rPr>
          <w:color w:val="000000" w:themeColor="text1"/>
          <w:highlight w:val="none"/>
          <w14:textFill>
            <w14:solidFill>
              <w14:schemeClr w14:val="tx1"/>
            </w14:solidFill>
          </w14:textFill>
        </w:rPr>
        <w:t xml:space="preserve"> </w:t>
      </w:r>
    </w:p>
    <w:p>
      <w:pPr>
        <w:pStyle w:val="169"/>
        <w:spacing w:before="156"/>
        <w:rPr>
          <w:color w:val="000000" w:themeColor="text1"/>
          <w:highlight w:val="none"/>
          <w14:textFill>
            <w14:solidFill>
              <w14:schemeClr w14:val="tx1"/>
            </w14:solidFill>
          </w14:textFill>
        </w:rPr>
      </w:pPr>
      <w:bookmarkStart w:id="503" w:name="_Ref18990767"/>
      <w:bookmarkStart w:id="504" w:name="_Ref509043186"/>
      <w:r>
        <w:rPr>
          <w:color w:val="000000" w:themeColor="text1"/>
          <w:highlight w:val="none"/>
          <w14:textFill>
            <w14:solidFill>
              <w14:schemeClr w14:val="tx1"/>
            </w14:solidFill>
          </w14:textFill>
        </w:rPr>
        <w:t xml:space="preserve">7.2.1 </w:t>
      </w:r>
      <w:r>
        <w:rPr>
          <w:rFonts w:hint="eastAsia"/>
          <w:color w:val="000000" w:themeColor="text1"/>
          <w:highlight w:val="none"/>
          <w14:textFill>
            <w14:solidFill>
              <w14:schemeClr w14:val="tx1"/>
            </w14:solidFill>
          </w14:textFill>
        </w:rPr>
        <w:t>承包人提供的施工设备和临时设施</w:t>
      </w:r>
      <w:bookmarkEnd w:id="50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bookmarkEnd w:id="504"/>
    <w:p>
      <w:pPr>
        <w:pStyle w:val="169"/>
        <w:spacing w:before="156"/>
        <w:rPr>
          <w:color w:val="000000" w:themeColor="text1"/>
          <w:highlight w:val="none"/>
          <w14:textFill>
            <w14:solidFill>
              <w14:schemeClr w14:val="tx1"/>
            </w14:solidFill>
          </w14:textFill>
        </w:rPr>
      </w:pPr>
      <w:bookmarkStart w:id="505" w:name="_Ref18990784"/>
      <w:r>
        <w:rPr>
          <w:color w:val="000000" w:themeColor="text1"/>
          <w:highlight w:val="none"/>
          <w14:textFill>
            <w14:solidFill>
              <w14:schemeClr w14:val="tx1"/>
            </w14:solidFill>
          </w14:textFill>
        </w:rPr>
        <w:t xml:space="preserve">7.2.2 </w:t>
      </w:r>
      <w:r>
        <w:rPr>
          <w:rFonts w:hint="eastAsia"/>
          <w:color w:val="000000" w:themeColor="text1"/>
          <w:highlight w:val="none"/>
          <w14:textFill>
            <w14:solidFill>
              <w14:schemeClr w14:val="tx1"/>
            </w14:solidFill>
          </w14:textFill>
        </w:rPr>
        <w:t>发包人提供的施工设备和临时设施</w:t>
      </w:r>
      <w:bookmarkEnd w:id="50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发包人提供的施工设备或临时设施在专用合同条件中约定。</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7.2.3 </w:t>
      </w:r>
      <w:r>
        <w:rPr>
          <w:rFonts w:hint="eastAsia"/>
          <w:color w:val="000000" w:themeColor="text1"/>
          <w:highlight w:val="none"/>
          <w14:textFill>
            <w14:solidFill>
              <w14:schemeClr w14:val="tx1"/>
            </w14:solidFill>
          </w14:textFill>
        </w:rPr>
        <w:t>要求承包人增加或更换施工设备</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承包人使用的施工设备不能满足项目进度计划和（或）质量要求时，工程师有权要求承包人增加或更换施工设备，承包人应及时增加或更换，由此增加的费用和（或）延误的工期由承包人承担。</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7.2.4 </w:t>
      </w:r>
      <w:r>
        <w:rPr>
          <w:rFonts w:hint="eastAsia"/>
          <w:color w:val="000000" w:themeColor="text1"/>
          <w:highlight w:val="none"/>
          <w14:textFill>
            <w14:solidFill>
              <w14:schemeClr w14:val="tx1"/>
            </w14:solidFill>
          </w14:textFill>
        </w:rPr>
        <w:t>施工设备和临时设施专用于合同工程</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177"/>
        <w:spacing w:before="156"/>
        <w:rPr>
          <w:color w:val="000000" w:themeColor="text1"/>
          <w:highlight w:val="none"/>
          <w14:textFill>
            <w14:solidFill>
              <w14:schemeClr w14:val="tx1"/>
            </w14:solidFill>
          </w14:textFill>
        </w:rPr>
      </w:pPr>
      <w:bookmarkStart w:id="506" w:name="_Toc54862238"/>
      <w:bookmarkStart w:id="507" w:name="_Ref11874352"/>
      <w:bookmarkStart w:id="508" w:name="_Toc102745940"/>
      <w:r>
        <w:rPr>
          <w:color w:val="000000" w:themeColor="text1"/>
          <w:highlight w:val="none"/>
          <w14:textFill>
            <w14:solidFill>
              <w14:schemeClr w14:val="tx1"/>
            </w14:solidFill>
          </w14:textFill>
        </w:rPr>
        <w:t xml:space="preserve">7.3 </w:t>
      </w:r>
      <w:r>
        <w:rPr>
          <w:rFonts w:hint="eastAsia"/>
          <w:color w:val="000000" w:themeColor="text1"/>
          <w:highlight w:val="none"/>
          <w14:textFill>
            <w14:solidFill>
              <w14:schemeClr w14:val="tx1"/>
            </w14:solidFill>
          </w14:textFill>
        </w:rPr>
        <w:t>现场合作</w:t>
      </w:r>
      <w:bookmarkEnd w:id="506"/>
      <w:bookmarkEnd w:id="507"/>
      <w:bookmarkEnd w:id="50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承包人应按合同约定或发包人的指示，与发包人人员、发包人的其他承包人等人员就在现场或附近实施与工程有关的各项工作进行合作并提供适当条件，包括使用承包人设备、临时工程或进入现场等。</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承包人应对其在现场的施工活动负责，并应尽合理努力按合同约定或发包人的指示，协调自身与发包人人员、发包人的其他承包人等人员的活动。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177"/>
        <w:spacing w:before="156"/>
        <w:rPr>
          <w:color w:val="000000" w:themeColor="text1"/>
          <w:highlight w:val="none"/>
          <w14:textFill>
            <w14:solidFill>
              <w14:schemeClr w14:val="tx1"/>
            </w14:solidFill>
          </w14:textFill>
        </w:rPr>
      </w:pPr>
      <w:bookmarkStart w:id="509" w:name="_Toc54862239"/>
      <w:bookmarkStart w:id="510" w:name="_Toc102745941"/>
      <w:bookmarkStart w:id="511" w:name="_Ref531954287"/>
      <w:bookmarkStart w:id="512" w:name="_Ref531954285"/>
      <w:r>
        <w:rPr>
          <w:color w:val="000000" w:themeColor="text1"/>
          <w:highlight w:val="none"/>
          <w14:textFill>
            <w14:solidFill>
              <w14:schemeClr w14:val="tx1"/>
            </w14:solidFill>
          </w14:textFill>
        </w:rPr>
        <w:t xml:space="preserve">7.4 </w:t>
      </w:r>
      <w:r>
        <w:rPr>
          <w:rFonts w:hint="eastAsia"/>
          <w:color w:val="000000" w:themeColor="text1"/>
          <w:highlight w:val="none"/>
          <w14:textFill>
            <w14:solidFill>
              <w14:schemeClr w14:val="tx1"/>
            </w14:solidFill>
          </w14:textFill>
        </w:rPr>
        <w:t>测量放线</w:t>
      </w:r>
      <w:bookmarkEnd w:id="509"/>
      <w:bookmarkEnd w:id="510"/>
      <w:bookmarkEnd w:id="511"/>
      <w:bookmarkEnd w:id="512"/>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7.4.1 </w:t>
      </w:r>
      <w:r>
        <w:rPr>
          <w:rFonts w:hint="eastAsia"/>
          <w:color w:val="000000" w:themeColor="text1"/>
          <w:highlight w:val="none"/>
          <w14:textFill>
            <w14:solidFill>
              <w14:schemeClr w14:val="tx1"/>
            </w14:solidFill>
          </w14:textFill>
        </w:rPr>
        <w:t>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7.4.2 </w:t>
      </w:r>
      <w:r>
        <w:rPr>
          <w:rFonts w:hint="eastAsia"/>
          <w:color w:val="000000" w:themeColor="text1"/>
          <w:highlight w:val="none"/>
          <w14:textFill>
            <w14:solidFill>
              <w14:schemeClr w14:val="tx1"/>
            </w14:solidFill>
          </w14:textFill>
        </w:rPr>
        <w:t>承包人应负责管理施工控制网点。施工控制网点丢失或损坏的，承包人应及时修复。承包人应承担施工控制网点的管理与修复费用，并在工程竣工后将施工控制网点移交发包人。承包人负责对工程、单位</w:t>
      </w:r>
      <w:r>
        <w:rPr>
          <w:color w:val="000000" w:themeColor="text1"/>
          <w:highlight w:val="none"/>
          <w14:textFill>
            <w14:solidFill>
              <w14:schemeClr w14:val="tx1"/>
            </w14:solidFill>
          </w14:textFill>
        </w:rPr>
        <w:t>/区段（子项）工程、施工部位放线，并对放线的准确性负责。</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7.4.3 </w:t>
      </w:r>
      <w:r>
        <w:rPr>
          <w:rFonts w:hint="eastAsia"/>
          <w:color w:val="000000" w:themeColor="text1"/>
          <w:highlight w:val="none"/>
          <w14:textFill>
            <w14:solidFill>
              <w14:schemeClr w14:val="tx1"/>
            </w14:solidFill>
          </w14:textFill>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177"/>
        <w:spacing w:before="156"/>
        <w:rPr>
          <w:color w:val="000000" w:themeColor="text1"/>
          <w:highlight w:val="none"/>
          <w14:textFill>
            <w14:solidFill>
              <w14:schemeClr w14:val="tx1"/>
            </w14:solidFill>
          </w14:textFill>
        </w:rPr>
      </w:pPr>
      <w:bookmarkStart w:id="513" w:name="_Toc54862240"/>
      <w:bookmarkStart w:id="514" w:name="_Toc102745942"/>
      <w:bookmarkStart w:id="515" w:name="_Ref4770992"/>
      <w:bookmarkStart w:id="516" w:name="_Ref531954329"/>
      <w:bookmarkStart w:id="517" w:name="_Ref531954323"/>
      <w:r>
        <w:rPr>
          <w:color w:val="000000" w:themeColor="text1"/>
          <w:highlight w:val="none"/>
          <w14:textFill>
            <w14:solidFill>
              <w14:schemeClr w14:val="tx1"/>
            </w14:solidFill>
          </w14:textFill>
        </w:rPr>
        <w:t xml:space="preserve">7.5 </w:t>
      </w:r>
      <w:r>
        <w:rPr>
          <w:rFonts w:hint="eastAsia"/>
          <w:color w:val="000000" w:themeColor="text1"/>
          <w:highlight w:val="none"/>
          <w14:textFill>
            <w14:solidFill>
              <w14:schemeClr w14:val="tx1"/>
            </w14:solidFill>
          </w14:textFill>
        </w:rPr>
        <w:t>现场劳动用工</w:t>
      </w:r>
      <w:bookmarkEnd w:id="513"/>
      <w:bookmarkEnd w:id="514"/>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7.5.1 </w:t>
      </w:r>
      <w:r>
        <w:rPr>
          <w:rFonts w:hint="eastAsia"/>
          <w:color w:val="000000" w:themeColor="text1"/>
          <w:highlight w:val="none"/>
          <w14:textFill>
            <w14:solidFill>
              <w14:schemeClr w14:val="tx1"/>
            </w14:solidFill>
          </w14:textFill>
        </w:rPr>
        <w:t>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7.5.2 </w:t>
      </w:r>
      <w:r>
        <w:rPr>
          <w:rFonts w:hint="eastAsia"/>
          <w:color w:val="000000" w:themeColor="text1"/>
          <w:highlight w:val="none"/>
          <w14:textFill>
            <w14:solidFill>
              <w14:schemeClr w14:val="tx1"/>
            </w14:solidFill>
          </w14:textFill>
        </w:rPr>
        <w:t>承包人应当在工程项目部配备劳资专管员，对分包单位劳动用工及工资发放实施监督管理。承包人拖欠建筑工人工资的</w:t>
      </w:r>
      <w:r>
        <w:rPr>
          <w:color w:val="000000" w:themeColor="text1"/>
          <w:highlight w:val="none"/>
          <w14:textFill>
            <w14:solidFill>
              <w14:schemeClr w14:val="tx1"/>
            </w14:solidFill>
          </w14:textFill>
        </w:rPr>
        <w:t>,应当依法予以清偿。分包人拖欠建筑工人工资的,由承包人先行清偿,再依法进行追偿。因发包人未按照合同约定及时拨付工程</w:t>
      </w:r>
      <w:r>
        <w:rPr>
          <w:rFonts w:hint="eastAsia"/>
          <w:color w:val="000000" w:themeColor="text1"/>
          <w:highlight w:val="none"/>
          <w14:textFill>
            <w14:solidFill>
              <w14:schemeClr w14:val="tx1"/>
            </w14:solidFill>
          </w14:textFill>
        </w:rPr>
        <w:t>款导致建筑工人工资拖欠的，发包人应当以未结清的工程款为限先行垫付被拖欠的建筑工人工资。合同当事人可在专用合同条件中约定具体的清偿事宜和违约责任。</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7.5.3 </w:t>
      </w:r>
      <w:r>
        <w:rPr>
          <w:rFonts w:hint="eastAsia"/>
          <w:color w:val="000000" w:themeColor="text1"/>
          <w:highlight w:val="none"/>
          <w14:textFill>
            <w14:solidFill>
              <w14:schemeClr w14:val="tx1"/>
            </w14:solidFill>
          </w14:textFill>
        </w:rPr>
        <w:t>承包人应当按照相关法律法规的要求，进行劳动用工管理和建筑工人工资支付。</w:t>
      </w:r>
    </w:p>
    <w:p>
      <w:pPr>
        <w:pStyle w:val="177"/>
        <w:spacing w:before="156"/>
        <w:rPr>
          <w:color w:val="000000" w:themeColor="text1"/>
          <w:highlight w:val="none"/>
          <w14:textFill>
            <w14:solidFill>
              <w14:schemeClr w14:val="tx1"/>
            </w14:solidFill>
          </w14:textFill>
        </w:rPr>
      </w:pPr>
      <w:bookmarkStart w:id="518" w:name="_Toc102745943"/>
      <w:bookmarkStart w:id="519" w:name="_Toc54862241"/>
      <w:bookmarkStart w:id="520" w:name="_Ref41554059"/>
      <w:r>
        <w:rPr>
          <w:color w:val="000000" w:themeColor="text1"/>
          <w:highlight w:val="none"/>
          <w14:textFill>
            <w14:solidFill>
              <w14:schemeClr w14:val="tx1"/>
            </w14:solidFill>
          </w14:textFill>
        </w:rPr>
        <w:t xml:space="preserve">7.6 </w:t>
      </w:r>
      <w:r>
        <w:rPr>
          <w:rFonts w:hint="eastAsia"/>
          <w:color w:val="000000" w:themeColor="text1"/>
          <w:highlight w:val="none"/>
          <w14:textFill>
            <w14:solidFill>
              <w14:schemeClr w14:val="tx1"/>
            </w14:solidFill>
          </w14:textFill>
        </w:rPr>
        <w:t>安全文明施工</w:t>
      </w:r>
      <w:bookmarkEnd w:id="515"/>
      <w:bookmarkEnd w:id="516"/>
      <w:bookmarkEnd w:id="517"/>
      <w:bookmarkEnd w:id="518"/>
      <w:bookmarkEnd w:id="519"/>
      <w:bookmarkEnd w:id="520"/>
    </w:p>
    <w:p>
      <w:pPr>
        <w:pStyle w:val="169"/>
        <w:spacing w:before="156"/>
        <w:rPr>
          <w:color w:val="000000" w:themeColor="text1"/>
          <w:highlight w:val="none"/>
          <w14:textFill>
            <w14:solidFill>
              <w14:schemeClr w14:val="tx1"/>
            </w14:solidFill>
          </w14:textFill>
        </w:rPr>
      </w:pPr>
      <w:bookmarkStart w:id="521" w:name="_Ref18990822"/>
      <w:r>
        <w:rPr>
          <w:color w:val="000000" w:themeColor="text1"/>
          <w:highlight w:val="none"/>
          <w14:textFill>
            <w14:solidFill>
              <w14:schemeClr w14:val="tx1"/>
            </w14:solidFill>
          </w14:textFill>
        </w:rPr>
        <w:t xml:space="preserve">7.6.1 </w:t>
      </w:r>
      <w:r>
        <w:rPr>
          <w:rFonts w:hint="eastAsia"/>
          <w:color w:val="000000" w:themeColor="text1"/>
          <w:highlight w:val="none"/>
          <w14:textFill>
            <w14:solidFill>
              <w14:schemeClr w14:val="tx1"/>
            </w14:solidFill>
          </w14:textFill>
        </w:rPr>
        <w:t>安全生产要求</w:t>
      </w:r>
      <w:bookmarkEnd w:id="52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因安全生产需要暂停施工的，按照第8.9款[暂停工作]的约定执行。</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7.6.2 </w:t>
      </w:r>
      <w:r>
        <w:rPr>
          <w:rFonts w:hint="eastAsia"/>
          <w:color w:val="000000" w:themeColor="text1"/>
          <w:highlight w:val="none"/>
          <w14:textFill>
            <w14:solidFill>
              <w14:schemeClr w14:val="tx1"/>
            </w14:solidFill>
          </w14:textFill>
        </w:rPr>
        <w:t>安全生产保证措施</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169"/>
        <w:spacing w:before="156"/>
        <w:rPr>
          <w:color w:val="000000" w:themeColor="text1"/>
          <w:highlight w:val="none"/>
          <w14:textFill>
            <w14:solidFill>
              <w14:schemeClr w14:val="tx1"/>
            </w14:solidFill>
          </w14:textFill>
        </w:rPr>
      </w:pPr>
      <w:bookmarkStart w:id="522" w:name="_Ref18990840"/>
      <w:r>
        <w:rPr>
          <w:color w:val="000000" w:themeColor="text1"/>
          <w:highlight w:val="none"/>
          <w14:textFill>
            <w14:solidFill>
              <w14:schemeClr w14:val="tx1"/>
            </w14:solidFill>
          </w14:textFill>
        </w:rPr>
        <w:t xml:space="preserve">7.6.3 </w:t>
      </w:r>
      <w:r>
        <w:rPr>
          <w:rFonts w:hint="eastAsia"/>
          <w:color w:val="000000" w:themeColor="text1"/>
          <w:highlight w:val="none"/>
          <w14:textFill>
            <w14:solidFill>
              <w14:schemeClr w14:val="tx1"/>
            </w14:solidFill>
          </w14:textFill>
        </w:rPr>
        <w:t>文明施工</w:t>
      </w:r>
      <w:bookmarkEnd w:id="52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7.6.4 </w:t>
      </w:r>
      <w:r>
        <w:rPr>
          <w:rFonts w:hint="eastAsia"/>
          <w:color w:val="000000" w:themeColor="text1"/>
          <w:highlight w:val="none"/>
          <w14:textFill>
            <w14:solidFill>
              <w14:schemeClr w14:val="tx1"/>
            </w14:solidFill>
          </w14:textFill>
        </w:rPr>
        <w:t>事故处理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实施过程中发生事故的，承包人应立即通知工程师。发包人、监理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7.6.5 </w:t>
      </w:r>
      <w:r>
        <w:rPr>
          <w:rFonts w:hint="eastAsia"/>
          <w:color w:val="000000" w:themeColor="text1"/>
          <w:highlight w:val="none"/>
          <w14:textFill>
            <w14:solidFill>
              <w14:schemeClr w14:val="tx1"/>
            </w14:solidFill>
          </w14:textFill>
        </w:rPr>
        <w:t>安全生产责任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发包人应负责赔偿以下各种情况造成的损失：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工程或工程的任何部分对土地的占用所造成的第三者财产损失；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由于发包人原因在施工现场及其毗邻地带、履行合同工作中造成的第三者人身伤亡和财产损失；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由于发包人原因对发包人自身、承包人、工程师造成的人身伤害和财产损失。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承包人应负责赔偿由于承包人原因在施工现场及其毗邻地带、履行合同工作中造成的第三者人身伤亡和财产损失。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如果上述损失是由于发包人和承包人共同原因导致的，则双方应根据过错情况按比例承担。</w:t>
      </w:r>
    </w:p>
    <w:p>
      <w:pPr>
        <w:pStyle w:val="177"/>
        <w:spacing w:before="156"/>
        <w:rPr>
          <w:color w:val="000000" w:themeColor="text1"/>
          <w:highlight w:val="none"/>
          <w14:textFill>
            <w14:solidFill>
              <w14:schemeClr w14:val="tx1"/>
            </w14:solidFill>
          </w14:textFill>
        </w:rPr>
      </w:pPr>
      <w:bookmarkStart w:id="523" w:name="_Ref11874562"/>
      <w:bookmarkStart w:id="524" w:name="_Toc102745944"/>
      <w:bookmarkStart w:id="525" w:name="_Ref41554069"/>
      <w:bookmarkStart w:id="526" w:name="_Toc54862242"/>
      <w:r>
        <w:rPr>
          <w:color w:val="000000" w:themeColor="text1"/>
          <w:highlight w:val="none"/>
          <w14:textFill>
            <w14:solidFill>
              <w14:schemeClr w14:val="tx1"/>
            </w14:solidFill>
          </w14:textFill>
        </w:rPr>
        <w:t xml:space="preserve">7.7 </w:t>
      </w:r>
      <w:r>
        <w:rPr>
          <w:rFonts w:hint="eastAsia"/>
          <w:color w:val="000000" w:themeColor="text1"/>
          <w:highlight w:val="none"/>
          <w14:textFill>
            <w14:solidFill>
              <w14:schemeClr w14:val="tx1"/>
            </w14:solidFill>
          </w14:textFill>
        </w:rPr>
        <w:t>职业健康</w:t>
      </w:r>
      <w:bookmarkEnd w:id="523"/>
      <w:bookmarkEnd w:id="524"/>
      <w:bookmarkEnd w:id="525"/>
      <w:bookmarkEnd w:id="52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承包人应遵守适用的职业健康的法律和合同约定（包括对雇用、职业健康、安全、福利等方面的规定），负责现场实施过程中其人员的职业健康和保护，包括：</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承包人应依法为承包人</w:t>
      </w:r>
      <w:bookmarkStart w:id="527" w:name="_Hlk46339538"/>
      <w:r>
        <w:rPr>
          <w:rFonts w:hint="eastAsia" w:ascii="宋体"/>
          <w:color w:val="000000" w:themeColor="text1"/>
          <w:sz w:val="24"/>
          <w:szCs w:val="28"/>
          <w:highlight w:val="none"/>
          <w14:textFill>
            <w14:solidFill>
              <w14:schemeClr w14:val="tx1"/>
            </w14:solidFill>
          </w14:textFill>
        </w:rPr>
        <w:t>员工及承包人聘用的第三方人员</w:t>
      </w:r>
      <w:bookmarkEnd w:id="527"/>
      <w:r>
        <w:rPr>
          <w:rFonts w:hint="eastAsia" w:ascii="宋体"/>
          <w:color w:val="000000" w:themeColor="text1"/>
          <w:sz w:val="24"/>
          <w:szCs w:val="28"/>
          <w:highlight w:val="none"/>
          <w14:textFill>
            <w14:solidFill>
              <w14:schemeClr w14:val="tx1"/>
            </w14:solidFill>
          </w14:textFill>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177"/>
        <w:spacing w:before="156"/>
        <w:rPr>
          <w:color w:val="000000" w:themeColor="text1"/>
          <w:highlight w:val="none"/>
          <w14:textFill>
            <w14:solidFill>
              <w14:schemeClr w14:val="tx1"/>
            </w14:solidFill>
          </w14:textFill>
        </w:rPr>
      </w:pPr>
      <w:bookmarkStart w:id="528" w:name="_Toc102745945"/>
      <w:bookmarkStart w:id="529" w:name="_Toc54862243"/>
      <w:bookmarkStart w:id="530" w:name="_Ref11874570"/>
      <w:r>
        <w:rPr>
          <w:color w:val="000000" w:themeColor="text1"/>
          <w:highlight w:val="none"/>
          <w14:textFill>
            <w14:solidFill>
              <w14:schemeClr w14:val="tx1"/>
            </w14:solidFill>
          </w14:textFill>
        </w:rPr>
        <w:t xml:space="preserve">7.8 </w:t>
      </w:r>
      <w:r>
        <w:rPr>
          <w:rFonts w:hint="eastAsia"/>
          <w:color w:val="000000" w:themeColor="text1"/>
          <w:highlight w:val="none"/>
          <w14:textFill>
            <w14:solidFill>
              <w14:schemeClr w14:val="tx1"/>
            </w14:solidFill>
          </w14:textFill>
        </w:rPr>
        <w:t>环境保护</w:t>
      </w:r>
      <w:bookmarkEnd w:id="528"/>
      <w:bookmarkEnd w:id="529"/>
      <w:bookmarkEnd w:id="530"/>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7.8.1 </w:t>
      </w:r>
      <w:r>
        <w:rPr>
          <w:rFonts w:hint="eastAsia"/>
          <w:color w:val="000000" w:themeColor="text1"/>
          <w:highlight w:val="none"/>
          <w14:textFill>
            <w14:solidFill>
              <w14:schemeClr w14:val="tx1"/>
            </w14:solidFill>
          </w14:textFill>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7.8.2 </w:t>
      </w:r>
      <w:r>
        <w:rPr>
          <w:rFonts w:hint="eastAsia"/>
          <w:color w:val="000000" w:themeColor="text1"/>
          <w:highlight w:val="none"/>
          <w14:textFill>
            <w14:solidFill>
              <w14:schemeClr w14:val="tx1"/>
            </w14:solidFill>
          </w14:textFill>
        </w:rPr>
        <w:t>承包人应采取措施，并负责控制和（或）处理现场的粉尘、废气、废水、固体废物和噪声对环境的污染和危害。因此发生的伤害、赔偿、罚款等费用增加，和（或）竣工日期延误，由承包人负责。</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7.8.3 </w:t>
      </w:r>
      <w:r>
        <w:rPr>
          <w:rFonts w:hint="eastAsia"/>
          <w:color w:val="000000" w:themeColor="text1"/>
          <w:highlight w:val="none"/>
          <w14:textFill>
            <w14:solidFill>
              <w14:schemeClr w14:val="tx1"/>
            </w14:solidFill>
          </w14:textFill>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177"/>
        <w:spacing w:before="156"/>
        <w:rPr>
          <w:color w:val="000000" w:themeColor="text1"/>
          <w:highlight w:val="none"/>
          <w14:textFill>
            <w14:solidFill>
              <w14:schemeClr w14:val="tx1"/>
            </w14:solidFill>
          </w14:textFill>
        </w:rPr>
      </w:pPr>
      <w:bookmarkStart w:id="531" w:name="_Toc102745946"/>
      <w:bookmarkStart w:id="532" w:name="_Ref531954340"/>
      <w:bookmarkStart w:id="533" w:name="_Ref531954344"/>
      <w:bookmarkStart w:id="534" w:name="_Toc54862244"/>
      <w:bookmarkStart w:id="535" w:name="_Ref4771116"/>
      <w:r>
        <w:rPr>
          <w:color w:val="000000" w:themeColor="text1"/>
          <w:highlight w:val="none"/>
          <w14:textFill>
            <w14:solidFill>
              <w14:schemeClr w14:val="tx1"/>
            </w14:solidFill>
          </w14:textFill>
        </w:rPr>
        <w:t xml:space="preserve">7.9 </w:t>
      </w:r>
      <w:r>
        <w:rPr>
          <w:rFonts w:hint="eastAsia"/>
          <w:color w:val="000000" w:themeColor="text1"/>
          <w:highlight w:val="none"/>
          <w14:textFill>
            <w14:solidFill>
              <w14:schemeClr w14:val="tx1"/>
            </w14:solidFill>
          </w14:textFill>
        </w:rPr>
        <w:t>临时性公用设施</w:t>
      </w:r>
      <w:bookmarkEnd w:id="531"/>
      <w:bookmarkEnd w:id="532"/>
      <w:bookmarkEnd w:id="533"/>
      <w:bookmarkEnd w:id="534"/>
      <w:r>
        <w:rPr>
          <w:color w:val="000000" w:themeColor="text1"/>
          <w:highlight w:val="none"/>
          <w14:textFill>
            <w14:solidFill>
              <w14:schemeClr w14:val="tx1"/>
            </w14:solidFill>
          </w14:textFill>
        </w:rPr>
        <w:t xml:space="preserve"> </w:t>
      </w:r>
      <w:bookmarkEnd w:id="535"/>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7.9.1 </w:t>
      </w:r>
      <w:r>
        <w:rPr>
          <w:rFonts w:hint="eastAsia"/>
          <w:color w:val="000000" w:themeColor="text1"/>
          <w:highlight w:val="none"/>
          <w14:textFill>
            <w14:solidFill>
              <w14:schemeClr w14:val="tx1"/>
            </w14:solidFill>
          </w14:textFill>
        </w:rPr>
        <w:t>提供临时用水、用电等和节点铺设</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7.9.2 </w:t>
      </w:r>
      <w:r>
        <w:rPr>
          <w:rFonts w:hint="eastAsia"/>
          <w:color w:val="000000" w:themeColor="text1"/>
          <w:highlight w:val="none"/>
          <w14:textFill>
            <w14:solidFill>
              <w14:schemeClr w14:val="tx1"/>
            </w14:solidFill>
          </w14:textFill>
        </w:rPr>
        <w:t>临时用水、用电等</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因承包人未能按合同约定提交上述资料，造成发包人费用增加和竣工日期延误时，由承包人负责。</w:t>
      </w:r>
      <w:bookmarkStart w:id="536" w:name="_Ref508893743"/>
    </w:p>
    <w:p>
      <w:pPr>
        <w:pStyle w:val="177"/>
        <w:spacing w:before="156"/>
        <w:rPr>
          <w:color w:val="000000" w:themeColor="text1"/>
          <w:highlight w:val="none"/>
          <w14:textFill>
            <w14:solidFill>
              <w14:schemeClr w14:val="tx1"/>
            </w14:solidFill>
          </w14:textFill>
        </w:rPr>
      </w:pPr>
      <w:bookmarkStart w:id="537" w:name="_Toc54862245"/>
      <w:bookmarkStart w:id="538" w:name="_Ref531952248"/>
      <w:bookmarkStart w:id="539" w:name="_Toc102745947"/>
      <w:bookmarkStart w:id="540" w:name="_Ref531952239"/>
      <w:r>
        <w:rPr>
          <w:color w:val="000000" w:themeColor="text1"/>
          <w:highlight w:val="none"/>
          <w14:textFill>
            <w14:solidFill>
              <w14:schemeClr w14:val="tx1"/>
            </w14:solidFill>
          </w14:textFill>
        </w:rPr>
        <w:t xml:space="preserve">7.10 </w:t>
      </w:r>
      <w:r>
        <w:rPr>
          <w:rFonts w:hint="eastAsia"/>
          <w:color w:val="000000" w:themeColor="text1"/>
          <w:highlight w:val="none"/>
          <w14:textFill>
            <w14:solidFill>
              <w14:schemeClr w14:val="tx1"/>
            </w14:solidFill>
          </w14:textFill>
        </w:rPr>
        <w:t>现场安保</w:t>
      </w:r>
      <w:bookmarkEnd w:id="537"/>
      <w:bookmarkEnd w:id="538"/>
      <w:bookmarkEnd w:id="539"/>
      <w:bookmarkEnd w:id="54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承担自发包人向其移交施工现场、进入占有施工现场至发包人接收单位/区段（子项）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承包人应将其作业限制在现场区域、合同约定的区域或为履行合同所需的区域内。承包人应采取一切必要的预防措施，以保持承包人的设备和人员处于现场区域内，避免其进入邻近地区。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承包人为履行合同义务而占用的其他场所（如预制加工场所、办公及生活营区） 的安保适用本款前述关于现场安保的规定。</w:t>
      </w:r>
    </w:p>
    <w:p>
      <w:pPr>
        <w:pStyle w:val="177"/>
        <w:spacing w:before="156"/>
        <w:rPr>
          <w:color w:val="000000" w:themeColor="text1"/>
          <w:highlight w:val="none"/>
          <w14:textFill>
            <w14:solidFill>
              <w14:schemeClr w14:val="tx1"/>
            </w14:solidFill>
          </w14:textFill>
        </w:rPr>
      </w:pPr>
      <w:bookmarkStart w:id="541" w:name="_Toc102745948"/>
      <w:bookmarkStart w:id="542" w:name="_Toc54862246"/>
      <w:r>
        <w:rPr>
          <w:color w:val="000000" w:themeColor="text1"/>
          <w:highlight w:val="none"/>
          <w14:textFill>
            <w14:solidFill>
              <w14:schemeClr w14:val="tx1"/>
            </w14:solidFill>
          </w14:textFill>
        </w:rPr>
        <w:t xml:space="preserve">7.11 </w:t>
      </w:r>
      <w:r>
        <w:rPr>
          <w:rFonts w:hint="eastAsia"/>
          <w:color w:val="000000" w:themeColor="text1"/>
          <w:highlight w:val="none"/>
          <w14:textFill>
            <w14:solidFill>
              <w14:schemeClr w14:val="tx1"/>
            </w14:solidFill>
          </w14:textFill>
        </w:rPr>
        <w:t>工程照管</w:t>
      </w:r>
      <w:bookmarkEnd w:id="541"/>
      <w:bookmarkEnd w:id="54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自开始现场施工日期起至发包人应当接收工程之日止，承包人应承担工程现场、材料、设备及承包人文件的照管和维护工作。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如部分工程于竣工验收前提前交付发包人的，则自交付之日起，该部分工程照管及维护职责由发包人承担。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如发包人及承包人进行竣工验收时尚有部分未竣工工程的，承包人应负责该未竣工工程的照管和维护工作，直至竣工后移交给发包人。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如合同解除或终止的，承包人自合同解除或终止之日起不再对工程承担照管和维护义务。</w:t>
      </w:r>
    </w:p>
    <w:p>
      <w:pPr>
        <w:pStyle w:val="201"/>
        <w:rPr>
          <w:color w:val="000000" w:themeColor="text1"/>
          <w:highlight w:val="none"/>
          <w14:textFill>
            <w14:solidFill>
              <w14:schemeClr w14:val="tx1"/>
            </w14:solidFill>
          </w14:textFill>
        </w:rPr>
      </w:pPr>
      <w:bookmarkStart w:id="543" w:name="_Toc12452"/>
      <w:bookmarkStart w:id="544" w:name="_Toc7491"/>
      <w:bookmarkStart w:id="545" w:name="_Toc20254"/>
      <w:bookmarkStart w:id="546" w:name="_Ref508998009"/>
      <w:bookmarkStart w:id="547" w:name="_Toc32056"/>
      <w:bookmarkStart w:id="548" w:name="_Toc309"/>
      <w:bookmarkStart w:id="549" w:name="_Toc11640"/>
      <w:bookmarkStart w:id="550" w:name="_Toc24747"/>
      <w:bookmarkStart w:id="551" w:name="_Toc17200"/>
      <w:bookmarkStart w:id="552" w:name="_Toc102745949"/>
      <w:bookmarkStart w:id="553" w:name="_Toc54862247"/>
      <w:bookmarkStart w:id="554" w:name="_Ref531954505"/>
      <w:bookmarkStart w:id="555" w:name="_Ref531954518"/>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8条 </w:t>
      </w:r>
      <w:r>
        <w:rPr>
          <w:rFonts w:hint="eastAsia"/>
          <w:color w:val="000000" w:themeColor="text1"/>
          <w:highlight w:val="none"/>
          <w14:textFill>
            <w14:solidFill>
              <w14:schemeClr w14:val="tx1"/>
            </w14:solidFill>
          </w14:textFill>
        </w:rPr>
        <w:t>工期和进度</w:t>
      </w:r>
      <w:bookmarkEnd w:id="543"/>
      <w:bookmarkEnd w:id="544"/>
      <w:bookmarkEnd w:id="545"/>
      <w:bookmarkEnd w:id="546"/>
      <w:bookmarkEnd w:id="547"/>
      <w:bookmarkEnd w:id="548"/>
      <w:bookmarkEnd w:id="549"/>
      <w:bookmarkEnd w:id="550"/>
      <w:bookmarkEnd w:id="551"/>
      <w:bookmarkEnd w:id="552"/>
      <w:bookmarkEnd w:id="553"/>
    </w:p>
    <w:p>
      <w:pPr>
        <w:pStyle w:val="177"/>
        <w:spacing w:before="156"/>
        <w:rPr>
          <w:color w:val="000000" w:themeColor="text1"/>
          <w:highlight w:val="none"/>
          <w14:textFill>
            <w14:solidFill>
              <w14:schemeClr w14:val="tx1"/>
            </w14:solidFill>
          </w14:textFill>
        </w:rPr>
      </w:pPr>
      <w:bookmarkStart w:id="556" w:name="_Ref532362777"/>
      <w:bookmarkStart w:id="557" w:name="_Ref532362774"/>
      <w:bookmarkStart w:id="558" w:name="_Toc54862248"/>
      <w:bookmarkStart w:id="559" w:name="_Ref532362072"/>
      <w:bookmarkStart w:id="560" w:name="_Ref532362075"/>
      <w:bookmarkStart w:id="561" w:name="_Toc102745950"/>
      <w:r>
        <w:rPr>
          <w:color w:val="000000" w:themeColor="text1"/>
          <w:highlight w:val="none"/>
          <w14:textFill>
            <w14:solidFill>
              <w14:schemeClr w14:val="tx1"/>
            </w14:solidFill>
          </w14:textFill>
        </w:rPr>
        <w:t xml:space="preserve">8.1 </w:t>
      </w:r>
      <w:r>
        <w:rPr>
          <w:rFonts w:hint="eastAsia"/>
          <w:color w:val="000000" w:themeColor="text1"/>
          <w:highlight w:val="none"/>
          <w14:textFill>
            <w14:solidFill>
              <w14:schemeClr w14:val="tx1"/>
            </w14:solidFill>
          </w14:textFill>
        </w:rPr>
        <w:t>开始工作</w:t>
      </w:r>
      <w:bookmarkEnd w:id="556"/>
      <w:bookmarkEnd w:id="557"/>
      <w:bookmarkEnd w:id="558"/>
      <w:bookmarkEnd w:id="559"/>
      <w:bookmarkEnd w:id="560"/>
      <w:bookmarkEnd w:id="561"/>
    </w:p>
    <w:p>
      <w:pPr>
        <w:pStyle w:val="169"/>
        <w:spacing w:before="156"/>
        <w:rPr>
          <w:color w:val="000000" w:themeColor="text1"/>
          <w:highlight w:val="none"/>
          <w14:textFill>
            <w14:solidFill>
              <w14:schemeClr w14:val="tx1"/>
            </w14:solidFill>
          </w14:textFill>
        </w:rPr>
      </w:pPr>
      <w:bookmarkStart w:id="562" w:name="_Ref4428890"/>
      <w:r>
        <w:rPr>
          <w:color w:val="000000" w:themeColor="text1"/>
          <w:highlight w:val="none"/>
          <w14:textFill>
            <w14:solidFill>
              <w14:schemeClr w14:val="tx1"/>
            </w14:solidFill>
          </w14:textFill>
        </w:rPr>
        <w:t xml:space="preserve">8.1.1 </w:t>
      </w:r>
      <w:r>
        <w:rPr>
          <w:rFonts w:hint="eastAsia"/>
          <w:color w:val="000000" w:themeColor="text1"/>
          <w:highlight w:val="none"/>
          <w14:textFill>
            <w14:solidFill>
              <w14:schemeClr w14:val="tx1"/>
            </w14:solidFill>
          </w14:textFill>
        </w:rPr>
        <w:t>开始工作准备</w:t>
      </w:r>
      <w:bookmarkEnd w:id="56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合同当事人应按专用合同条件约定完成开始工作准备工作。</w:t>
      </w:r>
    </w:p>
    <w:p>
      <w:pPr>
        <w:pStyle w:val="169"/>
        <w:spacing w:before="156"/>
        <w:rPr>
          <w:color w:val="000000" w:themeColor="text1"/>
          <w:highlight w:val="none"/>
          <w14:textFill>
            <w14:solidFill>
              <w14:schemeClr w14:val="tx1"/>
            </w14:solidFill>
          </w14:textFill>
        </w:rPr>
      </w:pPr>
      <w:bookmarkStart w:id="563" w:name="_Ref536790534"/>
      <w:bookmarkStart w:id="564" w:name="_Hlk51506490"/>
      <w:r>
        <w:rPr>
          <w:color w:val="000000" w:themeColor="text1"/>
          <w:highlight w:val="none"/>
          <w14:textFill>
            <w14:solidFill>
              <w14:schemeClr w14:val="tx1"/>
            </w14:solidFill>
          </w14:textFill>
        </w:rPr>
        <w:t xml:space="preserve">8.1.2 </w:t>
      </w:r>
      <w:r>
        <w:rPr>
          <w:rFonts w:hint="eastAsia"/>
          <w:color w:val="000000" w:themeColor="text1"/>
          <w:highlight w:val="none"/>
          <w14:textFill>
            <w14:solidFill>
              <w14:schemeClr w14:val="tx1"/>
            </w14:solidFill>
          </w14:textFill>
        </w:rPr>
        <w:t>开始工作通知</w:t>
      </w:r>
      <w:bookmarkEnd w:id="563"/>
    </w:p>
    <w:bookmarkEnd w:id="564"/>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经发包人同意后，工程师应提前7天向承包人发出经发包人签认的开始工作通知，工期自开始工作通知中载明的开始工作日期起算。</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除专用合同条件另有约定外，因发包人原因造成实际开始现场施工日期迟于</w:t>
      </w:r>
      <w:bookmarkStart w:id="565" w:name="_Hlk51506566"/>
      <w:r>
        <w:rPr>
          <w:rFonts w:hint="eastAsia" w:ascii="宋体"/>
          <w:color w:val="000000" w:themeColor="text1"/>
          <w:sz w:val="24"/>
          <w:szCs w:val="28"/>
          <w:highlight w:val="none"/>
          <w14:textFill>
            <w14:solidFill>
              <w14:schemeClr w14:val="tx1"/>
            </w14:solidFill>
          </w14:textFill>
        </w:rPr>
        <w:t>计划开始现场施工日期</w:t>
      </w:r>
      <w:bookmarkEnd w:id="565"/>
      <w:r>
        <w:rPr>
          <w:rFonts w:hint="eastAsia" w:ascii="宋体"/>
          <w:color w:val="000000" w:themeColor="text1"/>
          <w:sz w:val="24"/>
          <w:szCs w:val="28"/>
          <w:highlight w:val="none"/>
          <w14:textFill>
            <w14:solidFill>
              <w14:schemeClr w14:val="tx1"/>
            </w14:solidFill>
          </w14:textFill>
        </w:rPr>
        <w:t>后第84天的，承包人有权提出价格调整要求，或者解除合同。发包人应当承担由此增加的费用和（或）延误的工期，并向承包人支付合理利润。</w:t>
      </w:r>
    </w:p>
    <w:p>
      <w:pPr>
        <w:pStyle w:val="177"/>
        <w:spacing w:before="156"/>
        <w:rPr>
          <w:color w:val="000000" w:themeColor="text1"/>
          <w:highlight w:val="none"/>
          <w14:textFill>
            <w14:solidFill>
              <w14:schemeClr w14:val="tx1"/>
            </w14:solidFill>
          </w14:textFill>
        </w:rPr>
      </w:pPr>
      <w:bookmarkStart w:id="566" w:name="_Toc102745951"/>
      <w:bookmarkStart w:id="567" w:name="_Toc54862249"/>
      <w:bookmarkStart w:id="568" w:name="_Ref532362124"/>
      <w:r>
        <w:rPr>
          <w:color w:val="000000" w:themeColor="text1"/>
          <w:highlight w:val="none"/>
          <w14:textFill>
            <w14:solidFill>
              <w14:schemeClr w14:val="tx1"/>
            </w14:solidFill>
          </w14:textFill>
        </w:rPr>
        <w:t xml:space="preserve">8.2 </w:t>
      </w:r>
      <w:r>
        <w:rPr>
          <w:rFonts w:hint="eastAsia"/>
          <w:color w:val="000000" w:themeColor="text1"/>
          <w:highlight w:val="none"/>
          <w14:textFill>
            <w14:solidFill>
              <w14:schemeClr w14:val="tx1"/>
            </w14:solidFill>
          </w14:textFill>
        </w:rPr>
        <w:t>竣工日期</w:t>
      </w:r>
      <w:bookmarkEnd w:id="566"/>
      <w:bookmarkEnd w:id="567"/>
      <w:bookmarkEnd w:id="56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承包人应在合同协议书约定的工期内完成合同工作。除专用合同条件另有约定外，工程的竣工日期以第10.1条[竣工验收]的约定为准，并在工程接收证书中写明。</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因发包人原因，在工程师收到承包人竣工验收申请报告42天后未进行验收的，视为验收合格，实际竣工日期以提交竣工验收申请报告的日期为准，但发包人由于不可抗力不能进行验收的除外。</w:t>
      </w:r>
    </w:p>
    <w:p>
      <w:pPr>
        <w:pStyle w:val="177"/>
        <w:spacing w:before="156"/>
        <w:rPr>
          <w:color w:val="000000" w:themeColor="text1"/>
          <w:highlight w:val="none"/>
          <w14:textFill>
            <w14:solidFill>
              <w14:schemeClr w14:val="tx1"/>
            </w14:solidFill>
          </w14:textFill>
        </w:rPr>
      </w:pPr>
      <w:bookmarkStart w:id="569" w:name="_Toc54862250"/>
      <w:bookmarkStart w:id="570" w:name="_Ref11863334"/>
      <w:bookmarkStart w:id="571" w:name="_Toc102745952"/>
      <w:bookmarkStart w:id="572" w:name="_Ref532352853"/>
      <w:bookmarkStart w:id="573" w:name="_Ref532362204"/>
      <w:bookmarkStart w:id="574" w:name="_Ref532362207"/>
      <w:bookmarkStart w:id="575" w:name="_Ref532352856"/>
      <w:r>
        <w:rPr>
          <w:color w:val="000000" w:themeColor="text1"/>
          <w:highlight w:val="none"/>
          <w14:textFill>
            <w14:solidFill>
              <w14:schemeClr w14:val="tx1"/>
            </w14:solidFill>
          </w14:textFill>
        </w:rPr>
        <w:t xml:space="preserve">8.3 </w:t>
      </w:r>
      <w:r>
        <w:rPr>
          <w:rFonts w:hint="eastAsia"/>
          <w:color w:val="000000" w:themeColor="text1"/>
          <w:highlight w:val="none"/>
          <w14:textFill>
            <w14:solidFill>
              <w14:schemeClr w14:val="tx1"/>
            </w14:solidFill>
          </w14:textFill>
        </w:rPr>
        <w:t>项目实施计划</w:t>
      </w:r>
      <w:bookmarkEnd w:id="569"/>
      <w:bookmarkEnd w:id="570"/>
      <w:bookmarkEnd w:id="571"/>
    </w:p>
    <w:p>
      <w:pPr>
        <w:pStyle w:val="169"/>
        <w:spacing w:before="156"/>
        <w:rPr>
          <w:color w:val="000000" w:themeColor="text1"/>
          <w:highlight w:val="none"/>
          <w14:textFill>
            <w14:solidFill>
              <w14:schemeClr w14:val="tx1"/>
            </w14:solidFill>
          </w14:textFill>
        </w:rPr>
      </w:pPr>
      <w:bookmarkStart w:id="576" w:name="_Ref18990904"/>
      <w:r>
        <w:rPr>
          <w:color w:val="000000" w:themeColor="text1"/>
          <w:highlight w:val="none"/>
          <w14:textFill>
            <w14:solidFill>
              <w14:schemeClr w14:val="tx1"/>
            </w14:solidFill>
          </w14:textFill>
        </w:rPr>
        <w:t xml:space="preserve">8.3.1 </w:t>
      </w:r>
      <w:r>
        <w:rPr>
          <w:rFonts w:hint="eastAsia"/>
          <w:color w:val="000000" w:themeColor="text1"/>
          <w:highlight w:val="none"/>
          <w14:textFill>
            <w14:solidFill>
              <w14:schemeClr w14:val="tx1"/>
            </w14:solidFill>
          </w14:textFill>
        </w:rPr>
        <w:t>项目实施计划的内容</w:t>
      </w:r>
      <w:bookmarkEnd w:id="57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169"/>
        <w:spacing w:before="156"/>
        <w:rPr>
          <w:color w:val="000000" w:themeColor="text1"/>
          <w:highlight w:val="none"/>
          <w14:textFill>
            <w14:solidFill>
              <w14:schemeClr w14:val="tx1"/>
            </w14:solidFill>
          </w14:textFill>
        </w:rPr>
      </w:pPr>
      <w:bookmarkStart w:id="577" w:name="_Ref18990921"/>
      <w:r>
        <w:rPr>
          <w:color w:val="000000" w:themeColor="text1"/>
          <w:highlight w:val="none"/>
          <w14:textFill>
            <w14:solidFill>
              <w14:schemeClr w14:val="tx1"/>
            </w14:solidFill>
          </w14:textFill>
        </w:rPr>
        <w:t xml:space="preserve">8.3.2 </w:t>
      </w:r>
      <w:r>
        <w:rPr>
          <w:rFonts w:hint="eastAsia"/>
          <w:color w:val="000000" w:themeColor="text1"/>
          <w:highlight w:val="none"/>
          <w14:textFill>
            <w14:solidFill>
              <w14:schemeClr w14:val="tx1"/>
            </w14:solidFill>
          </w14:textFill>
        </w:rPr>
        <w:t>项目实施计划的提交和修改</w:t>
      </w:r>
      <w:bookmarkEnd w:id="57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项目进度计划的编制和修改按照第8.4款[项目进度计划]执行。</w:t>
      </w:r>
    </w:p>
    <w:p>
      <w:pPr>
        <w:pStyle w:val="177"/>
        <w:spacing w:before="156"/>
        <w:rPr>
          <w:color w:val="000000" w:themeColor="text1"/>
          <w:highlight w:val="none"/>
          <w14:textFill>
            <w14:solidFill>
              <w14:schemeClr w14:val="tx1"/>
            </w14:solidFill>
          </w14:textFill>
        </w:rPr>
      </w:pPr>
      <w:bookmarkStart w:id="578" w:name="_Ref11865507"/>
      <w:bookmarkStart w:id="579" w:name="_Toc54862251"/>
      <w:bookmarkStart w:id="580" w:name="_Toc102745953"/>
      <w:r>
        <w:rPr>
          <w:color w:val="000000" w:themeColor="text1"/>
          <w:highlight w:val="none"/>
          <w14:textFill>
            <w14:solidFill>
              <w14:schemeClr w14:val="tx1"/>
            </w14:solidFill>
          </w14:textFill>
        </w:rPr>
        <w:t xml:space="preserve">8.4 </w:t>
      </w:r>
      <w:r>
        <w:rPr>
          <w:rFonts w:hint="eastAsia"/>
          <w:color w:val="000000" w:themeColor="text1"/>
          <w:highlight w:val="none"/>
          <w14:textFill>
            <w14:solidFill>
              <w14:schemeClr w14:val="tx1"/>
            </w14:solidFill>
          </w14:textFill>
        </w:rPr>
        <w:t>项目进度计划</w:t>
      </w:r>
      <w:bookmarkEnd w:id="572"/>
      <w:bookmarkEnd w:id="573"/>
      <w:bookmarkEnd w:id="574"/>
      <w:bookmarkEnd w:id="575"/>
      <w:bookmarkEnd w:id="578"/>
      <w:bookmarkEnd w:id="579"/>
      <w:bookmarkEnd w:id="580"/>
    </w:p>
    <w:p>
      <w:pPr>
        <w:pStyle w:val="169"/>
        <w:spacing w:before="156"/>
        <w:rPr>
          <w:color w:val="000000" w:themeColor="text1"/>
          <w:highlight w:val="none"/>
          <w14:textFill>
            <w14:solidFill>
              <w14:schemeClr w14:val="tx1"/>
            </w14:solidFill>
          </w14:textFill>
        </w:rPr>
      </w:pPr>
      <w:bookmarkStart w:id="581" w:name="_Ref4681217"/>
      <w:r>
        <w:rPr>
          <w:color w:val="000000" w:themeColor="text1"/>
          <w:highlight w:val="none"/>
          <w14:textFill>
            <w14:solidFill>
              <w14:schemeClr w14:val="tx1"/>
            </w14:solidFill>
          </w14:textFill>
        </w:rPr>
        <w:t xml:space="preserve">8.4.1 </w:t>
      </w:r>
      <w:r>
        <w:rPr>
          <w:rFonts w:hint="eastAsia"/>
          <w:color w:val="000000" w:themeColor="text1"/>
          <w:highlight w:val="none"/>
          <w14:textFill>
            <w14:solidFill>
              <w14:schemeClr w14:val="tx1"/>
            </w14:solidFill>
          </w14:textFill>
        </w:rPr>
        <w:t>项目进度计划的提交和修改</w:t>
      </w:r>
      <w:bookmarkEnd w:id="58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169"/>
        <w:spacing w:before="156"/>
        <w:rPr>
          <w:color w:val="000000" w:themeColor="text1"/>
          <w:highlight w:val="none"/>
          <w14:textFill>
            <w14:solidFill>
              <w14:schemeClr w14:val="tx1"/>
            </w14:solidFill>
          </w14:textFill>
        </w:rPr>
      </w:pPr>
      <w:bookmarkStart w:id="582" w:name="_Ref4429079"/>
      <w:r>
        <w:rPr>
          <w:color w:val="000000" w:themeColor="text1"/>
          <w:highlight w:val="none"/>
          <w14:textFill>
            <w14:solidFill>
              <w14:schemeClr w14:val="tx1"/>
            </w14:solidFill>
          </w14:textFill>
        </w:rPr>
        <w:t xml:space="preserve">8.4.2 </w:t>
      </w:r>
      <w:r>
        <w:rPr>
          <w:rFonts w:hint="eastAsia"/>
          <w:color w:val="000000" w:themeColor="text1"/>
          <w:highlight w:val="none"/>
          <w14:textFill>
            <w14:solidFill>
              <w14:schemeClr w14:val="tx1"/>
            </w14:solidFill>
          </w14:textFill>
        </w:rPr>
        <w:t>项目进度计划的内容</w:t>
      </w:r>
      <w:bookmarkEnd w:id="58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169"/>
        <w:spacing w:before="156"/>
        <w:rPr>
          <w:color w:val="000000" w:themeColor="text1"/>
          <w:highlight w:val="none"/>
          <w14:textFill>
            <w14:solidFill>
              <w14:schemeClr w14:val="tx1"/>
            </w14:solidFill>
          </w14:textFill>
        </w:rPr>
      </w:pPr>
      <w:bookmarkStart w:id="583" w:name="_Ref3848203"/>
      <w:r>
        <w:rPr>
          <w:color w:val="000000" w:themeColor="text1"/>
          <w:highlight w:val="none"/>
          <w14:textFill>
            <w14:solidFill>
              <w14:schemeClr w14:val="tx1"/>
            </w14:solidFill>
          </w14:textFill>
        </w:rPr>
        <w:t xml:space="preserve">8.4.3 </w:t>
      </w:r>
      <w:r>
        <w:rPr>
          <w:rFonts w:hint="eastAsia"/>
          <w:color w:val="000000" w:themeColor="text1"/>
          <w:highlight w:val="none"/>
          <w14:textFill>
            <w14:solidFill>
              <w14:schemeClr w14:val="tx1"/>
            </w14:solidFill>
          </w14:textFill>
        </w:rPr>
        <w:t>项目进度计划的修订</w:t>
      </w:r>
      <w:bookmarkEnd w:id="58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除合同当事人另有约定外，项目进度计划的修订并不能减轻或者免除双方按第8.7款[工期延误]、第8.8款[工期提前]、第8.9款[暂停工作]应承担的合同责任。</w:t>
      </w:r>
    </w:p>
    <w:p>
      <w:pPr>
        <w:pStyle w:val="177"/>
        <w:spacing w:before="156"/>
        <w:rPr>
          <w:color w:val="000000" w:themeColor="text1"/>
          <w:highlight w:val="none"/>
          <w14:textFill>
            <w14:solidFill>
              <w14:schemeClr w14:val="tx1"/>
            </w14:solidFill>
          </w14:textFill>
        </w:rPr>
      </w:pPr>
      <w:bookmarkStart w:id="584" w:name="_Ref532362276"/>
      <w:bookmarkStart w:id="585" w:name="_Toc102745954"/>
      <w:bookmarkStart w:id="586" w:name="_Toc54862252"/>
      <w:bookmarkStart w:id="587" w:name="_Ref532362278"/>
      <w:r>
        <w:rPr>
          <w:color w:val="000000" w:themeColor="text1"/>
          <w:highlight w:val="none"/>
          <w14:textFill>
            <w14:solidFill>
              <w14:schemeClr w14:val="tx1"/>
            </w14:solidFill>
          </w14:textFill>
        </w:rPr>
        <w:t xml:space="preserve">8.5 </w:t>
      </w:r>
      <w:r>
        <w:rPr>
          <w:rFonts w:hint="eastAsia"/>
          <w:color w:val="000000" w:themeColor="text1"/>
          <w:highlight w:val="none"/>
          <w14:textFill>
            <w14:solidFill>
              <w14:schemeClr w14:val="tx1"/>
            </w14:solidFill>
          </w14:textFill>
        </w:rPr>
        <w:t>进度报告</w:t>
      </w:r>
      <w:bookmarkEnd w:id="584"/>
      <w:bookmarkEnd w:id="585"/>
      <w:bookmarkEnd w:id="586"/>
      <w:bookmarkEnd w:id="58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项目实施过程中，承包人应进行实际进度记录，并根据工程师的要求编制月进度报告，并提交给工程师。进度报告应包含以下主要内容：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工程设计、采购、施工等各个工作内容的进展报告；</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工程施工方法的一般说明；</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当月工程实施介入的项目人员、设备和材料的预估明细报告；</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 xml:space="preserve">（4） 当月实际进度与进度计划对比分析，以及提出未来可能引起工期延误的情形，同时提出应对措施；需要修订项目进度计划的，应对项目进度计划的修订部分进行说明；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承包人对于解决工期延误所提出的建议；</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其他与工程有关的重大事项。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进度报告的具体要求等，在专用合同条件约定。</w:t>
      </w:r>
    </w:p>
    <w:p>
      <w:pPr>
        <w:pStyle w:val="177"/>
        <w:spacing w:before="156"/>
        <w:rPr>
          <w:color w:val="000000" w:themeColor="text1"/>
          <w:highlight w:val="none"/>
          <w14:textFill>
            <w14:solidFill>
              <w14:schemeClr w14:val="tx1"/>
            </w14:solidFill>
          </w14:textFill>
        </w:rPr>
      </w:pPr>
      <w:bookmarkStart w:id="588" w:name="_Toc102745955"/>
      <w:bookmarkStart w:id="589" w:name="_Toc54862253"/>
      <w:r>
        <w:rPr>
          <w:color w:val="000000" w:themeColor="text1"/>
          <w:highlight w:val="none"/>
          <w14:textFill>
            <w14:solidFill>
              <w14:schemeClr w14:val="tx1"/>
            </w14:solidFill>
          </w14:textFill>
        </w:rPr>
        <w:t xml:space="preserve">8.6 </w:t>
      </w:r>
      <w:r>
        <w:rPr>
          <w:rFonts w:hint="eastAsia"/>
          <w:color w:val="000000" w:themeColor="text1"/>
          <w:highlight w:val="none"/>
          <w14:textFill>
            <w14:solidFill>
              <w14:schemeClr w14:val="tx1"/>
            </w14:solidFill>
          </w14:textFill>
        </w:rPr>
        <w:t>提前预警</w:t>
      </w:r>
      <w:bookmarkEnd w:id="588"/>
      <w:bookmarkEnd w:id="58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任何一方应当在下列情形发生时尽快书面通知另一方：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该情形可能对合同的履行或实现合同目的产生不利影响；</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该情形可能对工程完成后的使用产生不利影响；</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该情形可能导致合同价款增加；</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该情形可能导致整个工程或单位/区段（子项）工程的工期延长。</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发包人有权要求承包人根据第13.2款[承包人的合理化建议]的约定提交变更建议，采取措施尽量避免或最小化上述情形的发生或影响。</w:t>
      </w:r>
    </w:p>
    <w:p>
      <w:pPr>
        <w:pStyle w:val="177"/>
        <w:spacing w:before="156"/>
        <w:rPr>
          <w:color w:val="000000" w:themeColor="text1"/>
          <w:highlight w:val="none"/>
          <w14:textFill>
            <w14:solidFill>
              <w14:schemeClr w14:val="tx1"/>
            </w14:solidFill>
          </w14:textFill>
        </w:rPr>
      </w:pPr>
      <w:bookmarkStart w:id="590" w:name="_Toc4784175"/>
      <w:bookmarkEnd w:id="590"/>
      <w:bookmarkStart w:id="591" w:name="_Toc4784165"/>
      <w:bookmarkEnd w:id="591"/>
      <w:bookmarkStart w:id="592" w:name="_Toc4784156"/>
      <w:bookmarkEnd w:id="592"/>
      <w:bookmarkStart w:id="593" w:name="_Toc4784158"/>
      <w:bookmarkEnd w:id="593"/>
      <w:bookmarkStart w:id="594" w:name="_Toc4784163"/>
      <w:bookmarkEnd w:id="594"/>
      <w:bookmarkStart w:id="595" w:name="_Toc4784164"/>
      <w:bookmarkEnd w:id="595"/>
      <w:bookmarkStart w:id="596" w:name="_Toc4784173"/>
      <w:bookmarkEnd w:id="596"/>
      <w:bookmarkStart w:id="597" w:name="_Toc4784174"/>
      <w:bookmarkEnd w:id="597"/>
      <w:bookmarkStart w:id="598" w:name="_Toc4784167"/>
      <w:bookmarkEnd w:id="598"/>
      <w:bookmarkStart w:id="599" w:name="_Toc4784171"/>
      <w:bookmarkEnd w:id="599"/>
      <w:bookmarkStart w:id="600" w:name="_Toc4784166"/>
      <w:bookmarkEnd w:id="600"/>
      <w:bookmarkStart w:id="601" w:name="_Toc4784159"/>
      <w:bookmarkEnd w:id="601"/>
      <w:bookmarkStart w:id="602" w:name="_Toc4784170"/>
      <w:bookmarkEnd w:id="602"/>
      <w:bookmarkStart w:id="603" w:name="_Toc4784172"/>
      <w:bookmarkEnd w:id="603"/>
      <w:bookmarkStart w:id="604" w:name="_Toc4784161"/>
      <w:bookmarkEnd w:id="604"/>
      <w:bookmarkStart w:id="605" w:name="_Toc4784162"/>
      <w:bookmarkEnd w:id="605"/>
      <w:bookmarkStart w:id="606" w:name="_Toc4784160"/>
      <w:bookmarkEnd w:id="606"/>
      <w:bookmarkStart w:id="607" w:name="_Toc4784154"/>
      <w:bookmarkEnd w:id="607"/>
      <w:bookmarkStart w:id="608" w:name="_Toc4784155"/>
      <w:bookmarkEnd w:id="608"/>
      <w:bookmarkStart w:id="609" w:name="_Toc4784157"/>
      <w:bookmarkEnd w:id="609"/>
      <w:bookmarkStart w:id="610" w:name="_Toc4784169"/>
      <w:bookmarkEnd w:id="610"/>
      <w:bookmarkStart w:id="611" w:name="_Toc4784168"/>
      <w:bookmarkEnd w:id="611"/>
      <w:bookmarkStart w:id="612" w:name="_Toc54862254"/>
      <w:bookmarkStart w:id="613" w:name="_Ref4770106"/>
      <w:bookmarkStart w:id="614" w:name="_Toc102745956"/>
      <w:bookmarkStart w:id="615" w:name="_Ref532362359"/>
      <w:bookmarkStart w:id="616" w:name="_Ref532362356"/>
      <w:r>
        <w:rPr>
          <w:color w:val="000000" w:themeColor="text1"/>
          <w:highlight w:val="none"/>
          <w14:textFill>
            <w14:solidFill>
              <w14:schemeClr w14:val="tx1"/>
            </w14:solidFill>
          </w14:textFill>
        </w:rPr>
        <w:t xml:space="preserve">8.7 </w:t>
      </w:r>
      <w:r>
        <w:rPr>
          <w:rFonts w:hint="eastAsia"/>
          <w:color w:val="000000" w:themeColor="text1"/>
          <w:highlight w:val="none"/>
          <w14:textFill>
            <w14:solidFill>
              <w14:schemeClr w14:val="tx1"/>
            </w14:solidFill>
          </w14:textFill>
        </w:rPr>
        <w:t>工期延误</w:t>
      </w:r>
      <w:bookmarkEnd w:id="612"/>
      <w:bookmarkEnd w:id="613"/>
      <w:bookmarkEnd w:id="614"/>
    </w:p>
    <w:p>
      <w:pPr>
        <w:pStyle w:val="169"/>
        <w:spacing w:before="156"/>
        <w:rPr>
          <w:color w:val="000000" w:themeColor="text1"/>
          <w:highlight w:val="none"/>
          <w14:textFill>
            <w14:solidFill>
              <w14:schemeClr w14:val="tx1"/>
            </w14:solidFill>
          </w14:textFill>
        </w:rPr>
      </w:pPr>
      <w:bookmarkStart w:id="617" w:name="_Ref4796050"/>
      <w:r>
        <w:rPr>
          <w:color w:val="000000" w:themeColor="text1"/>
          <w:highlight w:val="none"/>
          <w14:textFill>
            <w14:solidFill>
              <w14:schemeClr w14:val="tx1"/>
            </w14:solidFill>
          </w14:textFill>
        </w:rPr>
        <w:t xml:space="preserve">8.7.1 </w:t>
      </w:r>
      <w:r>
        <w:rPr>
          <w:rFonts w:hint="eastAsia"/>
          <w:color w:val="000000" w:themeColor="text1"/>
          <w:highlight w:val="none"/>
          <w14:textFill>
            <w14:solidFill>
              <w14:schemeClr w14:val="tx1"/>
            </w14:solidFill>
          </w14:textFill>
        </w:rPr>
        <w:t>因发包人原因导致工期延误</w:t>
      </w:r>
      <w:bookmarkEnd w:id="61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在合同履行过程中，因下列情况导致工期延误和（或）费用增加的，由发包人承担由此延误的工期和（或）增加的费用，且发包人应支付承包人合理的利润：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根据第13条[变更与调整]的约定构成一项变更的；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发包人违反本合同约定，导致工期延误和（或）费用增加的；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发包人、发包人代表、工程师或发包人聘请的任意第三方造成或引起的任何延误、妨碍和阻碍；</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发包人未能依据第6.2.1项[发包人提供的材料和工程设备]的约定提供材料和工程设备导致工期延误和（或）费用增加的；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因发包人原因导致的暂停施工；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发包人未及时履行相关合同义务，造成工期延误的其他原因。</w:t>
      </w:r>
    </w:p>
    <w:p>
      <w:pPr>
        <w:pStyle w:val="169"/>
        <w:spacing w:before="156"/>
        <w:rPr>
          <w:color w:val="000000" w:themeColor="text1"/>
          <w:highlight w:val="none"/>
          <w14:textFill>
            <w14:solidFill>
              <w14:schemeClr w14:val="tx1"/>
            </w14:solidFill>
          </w14:textFill>
        </w:rPr>
      </w:pPr>
      <w:bookmarkStart w:id="618" w:name="_Ref4770209"/>
      <w:r>
        <w:rPr>
          <w:color w:val="000000" w:themeColor="text1"/>
          <w:highlight w:val="none"/>
          <w14:textFill>
            <w14:solidFill>
              <w14:schemeClr w14:val="tx1"/>
            </w14:solidFill>
          </w14:textFill>
        </w:rPr>
        <w:t xml:space="preserve">8.7.2 </w:t>
      </w:r>
      <w:r>
        <w:rPr>
          <w:rFonts w:hint="eastAsia"/>
          <w:color w:val="000000" w:themeColor="text1"/>
          <w:highlight w:val="none"/>
          <w14:textFill>
            <w14:solidFill>
              <w14:schemeClr w14:val="tx1"/>
            </w14:solidFill>
          </w14:textFill>
        </w:rPr>
        <w:t>因承包人原因导致工期延误</w:t>
      </w:r>
      <w:bookmarkEnd w:id="61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由于承包人的原因，未能按项目进度计划完成工作，承包人应采取措施加快进度，并承担加快进度所增加的费用。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169"/>
        <w:spacing w:before="156"/>
        <w:rPr>
          <w:color w:val="000000" w:themeColor="text1"/>
          <w:highlight w:val="none"/>
          <w14:textFill>
            <w14:solidFill>
              <w14:schemeClr w14:val="tx1"/>
            </w14:solidFill>
          </w14:textFill>
        </w:rPr>
      </w:pPr>
      <w:bookmarkStart w:id="619" w:name="_Ref4770872"/>
      <w:r>
        <w:rPr>
          <w:color w:val="000000" w:themeColor="text1"/>
          <w:highlight w:val="none"/>
          <w14:textFill>
            <w14:solidFill>
              <w14:schemeClr w14:val="tx1"/>
            </w14:solidFill>
          </w14:textFill>
        </w:rPr>
        <w:t xml:space="preserve">8.7.3 </w:t>
      </w:r>
      <w:r>
        <w:rPr>
          <w:rFonts w:hint="eastAsia"/>
          <w:color w:val="000000" w:themeColor="text1"/>
          <w:highlight w:val="none"/>
          <w14:textFill>
            <w14:solidFill>
              <w14:schemeClr w14:val="tx1"/>
            </w14:solidFill>
          </w14:textFill>
        </w:rPr>
        <w:t>行政审批迟延</w:t>
      </w:r>
      <w:bookmarkEnd w:id="61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169"/>
        <w:spacing w:before="156"/>
        <w:rPr>
          <w:color w:val="000000" w:themeColor="text1"/>
          <w:highlight w:val="none"/>
          <w14:textFill>
            <w14:solidFill>
              <w14:schemeClr w14:val="tx1"/>
            </w14:solidFill>
          </w14:textFill>
        </w:rPr>
      </w:pPr>
      <w:bookmarkStart w:id="620" w:name="_Ref4770933"/>
      <w:r>
        <w:rPr>
          <w:color w:val="000000" w:themeColor="text1"/>
          <w:highlight w:val="none"/>
          <w14:textFill>
            <w14:solidFill>
              <w14:schemeClr w14:val="tx1"/>
            </w14:solidFill>
          </w14:textFill>
        </w:rPr>
        <w:t xml:space="preserve">8.7.4 </w:t>
      </w:r>
      <w:r>
        <w:rPr>
          <w:rFonts w:hint="eastAsia"/>
          <w:color w:val="000000" w:themeColor="text1"/>
          <w:highlight w:val="none"/>
          <w14:textFill>
            <w14:solidFill>
              <w14:schemeClr w14:val="tx1"/>
            </w14:solidFill>
          </w14:textFill>
        </w:rPr>
        <w:t>异常恶劣的气候条件</w:t>
      </w:r>
      <w:bookmarkEnd w:id="62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177"/>
        <w:spacing w:before="156"/>
        <w:rPr>
          <w:color w:val="000000" w:themeColor="text1"/>
          <w:highlight w:val="none"/>
          <w14:textFill>
            <w14:solidFill>
              <w14:schemeClr w14:val="tx1"/>
            </w14:solidFill>
          </w14:textFill>
        </w:rPr>
      </w:pPr>
      <w:bookmarkStart w:id="621" w:name="_Toc102745957"/>
      <w:bookmarkStart w:id="622" w:name="_Ref4781828"/>
      <w:bookmarkStart w:id="623" w:name="_Toc54862255"/>
      <w:r>
        <w:rPr>
          <w:color w:val="000000" w:themeColor="text1"/>
          <w:highlight w:val="none"/>
          <w14:textFill>
            <w14:solidFill>
              <w14:schemeClr w14:val="tx1"/>
            </w14:solidFill>
          </w14:textFill>
        </w:rPr>
        <w:t xml:space="preserve">8.8 </w:t>
      </w:r>
      <w:r>
        <w:rPr>
          <w:rFonts w:hint="eastAsia"/>
          <w:color w:val="000000" w:themeColor="text1"/>
          <w:highlight w:val="none"/>
          <w14:textFill>
            <w14:solidFill>
              <w14:schemeClr w14:val="tx1"/>
            </w14:solidFill>
          </w14:textFill>
        </w:rPr>
        <w:t>工期提前</w:t>
      </w:r>
      <w:bookmarkEnd w:id="615"/>
      <w:bookmarkEnd w:id="616"/>
      <w:bookmarkEnd w:id="621"/>
      <w:bookmarkEnd w:id="622"/>
      <w:bookmarkEnd w:id="623"/>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8.8.1 </w:t>
      </w:r>
      <w:r>
        <w:rPr>
          <w:rFonts w:hint="eastAsia"/>
          <w:color w:val="000000" w:themeColor="text1"/>
          <w:highlight w:val="none"/>
          <w14:textFill>
            <w14:solidFill>
              <w14:schemeClr w14:val="tx1"/>
            </w14:solidFill>
          </w14:textFill>
        </w:rPr>
        <w:t>发包人指示承包人提前竣工且被承包人接受的，应与承包人共同协商采取加快工程进度的措施和修订项目进度计划。发包人应承担承包人由此增加的费用，增加的费用按第</w:t>
      </w:r>
      <w:r>
        <w:rPr>
          <w:color w:val="000000" w:themeColor="text1"/>
          <w:highlight w:val="none"/>
          <w14:textFill>
            <w14:solidFill>
              <w14:schemeClr w14:val="tx1"/>
            </w14:solidFill>
          </w14:textFill>
        </w:rPr>
        <w:t>13条[变更与调整]的约定执行；发包人不得以任何理由要求承包人超过合理限度压缩工期。承包人有权不接受提前竣工的指示，工期按照合同约定执行。</w:t>
      </w:r>
    </w:p>
    <w:p>
      <w:pPr>
        <w:pStyle w:val="169"/>
        <w:spacing w:before="156"/>
        <w:rPr>
          <w:color w:val="000000" w:themeColor="text1"/>
          <w:highlight w:val="none"/>
          <w14:textFill>
            <w14:solidFill>
              <w14:schemeClr w14:val="tx1"/>
            </w14:solidFill>
          </w14:textFill>
        </w:rPr>
      </w:pPr>
      <w:bookmarkStart w:id="624" w:name="_Ref4429347"/>
      <w:r>
        <w:rPr>
          <w:color w:val="000000" w:themeColor="text1"/>
          <w:highlight w:val="none"/>
          <w14:textFill>
            <w14:solidFill>
              <w14:schemeClr w14:val="tx1"/>
            </w14:solidFill>
          </w14:textFill>
        </w:rPr>
        <w:t xml:space="preserve">8.8.2 </w:t>
      </w:r>
      <w:r>
        <w:rPr>
          <w:rFonts w:hint="eastAsia"/>
          <w:color w:val="000000" w:themeColor="text1"/>
          <w:highlight w:val="none"/>
          <w14:textFill>
            <w14:solidFill>
              <w14:schemeClr w14:val="tx1"/>
            </w14:solidFill>
          </w14:textFill>
        </w:rPr>
        <w:t>承包人提出提前竣工的建议且发包人接受的，应与发包人共同协商采取加快工程进度的措施和修订项目进度计划。发包人应承担承包人由此增加的费用，增加的费用按第</w:t>
      </w:r>
      <w:r>
        <w:rPr>
          <w:color w:val="000000" w:themeColor="text1"/>
          <w:highlight w:val="none"/>
          <w14:textFill>
            <w14:solidFill>
              <w14:schemeClr w14:val="tx1"/>
            </w14:solidFill>
          </w14:textFill>
        </w:rPr>
        <w:t>13条[变更与调整]的约定执行，并向承包人支付专用合同条件约定的相应奖励金。</w:t>
      </w:r>
      <w:bookmarkEnd w:id="624"/>
    </w:p>
    <w:p>
      <w:pPr>
        <w:pStyle w:val="177"/>
        <w:spacing w:before="156"/>
        <w:rPr>
          <w:color w:val="000000" w:themeColor="text1"/>
          <w:highlight w:val="none"/>
          <w14:textFill>
            <w14:solidFill>
              <w14:schemeClr w14:val="tx1"/>
            </w14:solidFill>
          </w14:textFill>
        </w:rPr>
      </w:pPr>
      <w:bookmarkStart w:id="625" w:name="_Ref4615031"/>
      <w:bookmarkStart w:id="626" w:name="_Ref4615040"/>
      <w:bookmarkStart w:id="627" w:name="_Toc102745958"/>
      <w:bookmarkStart w:id="628" w:name="_Toc54862256"/>
      <w:r>
        <w:rPr>
          <w:color w:val="000000" w:themeColor="text1"/>
          <w:highlight w:val="none"/>
          <w14:textFill>
            <w14:solidFill>
              <w14:schemeClr w14:val="tx1"/>
            </w14:solidFill>
          </w14:textFill>
        </w:rPr>
        <w:t xml:space="preserve">8.9 </w:t>
      </w:r>
      <w:r>
        <w:rPr>
          <w:rFonts w:hint="eastAsia"/>
          <w:color w:val="000000" w:themeColor="text1"/>
          <w:highlight w:val="none"/>
          <w14:textFill>
            <w14:solidFill>
              <w14:schemeClr w14:val="tx1"/>
            </w14:solidFill>
          </w14:textFill>
        </w:rPr>
        <w:t>暂停工作</w:t>
      </w:r>
      <w:bookmarkEnd w:id="625"/>
      <w:bookmarkEnd w:id="626"/>
      <w:bookmarkEnd w:id="627"/>
      <w:bookmarkEnd w:id="628"/>
    </w:p>
    <w:p>
      <w:pPr>
        <w:pStyle w:val="169"/>
        <w:spacing w:before="156"/>
        <w:rPr>
          <w:color w:val="000000" w:themeColor="text1"/>
          <w:highlight w:val="none"/>
          <w14:textFill>
            <w14:solidFill>
              <w14:schemeClr w14:val="tx1"/>
            </w14:solidFill>
          </w14:textFill>
        </w:rPr>
      </w:pPr>
      <w:bookmarkStart w:id="629" w:name="_Ref4709151"/>
      <w:r>
        <w:rPr>
          <w:color w:val="000000" w:themeColor="text1"/>
          <w:highlight w:val="none"/>
          <w14:textFill>
            <w14:solidFill>
              <w14:schemeClr w14:val="tx1"/>
            </w14:solidFill>
          </w14:textFill>
        </w:rPr>
        <w:t xml:space="preserve">8.9.1 </w:t>
      </w:r>
      <w:r>
        <w:rPr>
          <w:rFonts w:hint="eastAsia"/>
          <w:color w:val="000000" w:themeColor="text1"/>
          <w:highlight w:val="none"/>
          <w14:textFill>
            <w14:solidFill>
              <w14:schemeClr w14:val="tx1"/>
            </w14:solidFill>
          </w14:textFill>
        </w:rPr>
        <w:t>由发包人暂停工作</w:t>
      </w:r>
      <w:bookmarkEnd w:id="62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发包人认为必要时，可通过工程师向承包人发出经发包人签认的暂停工作通知，应列明暂停原因、暂停的日期及预计暂停的期限。承包人应按该通知暂停工作。</w:t>
      </w:r>
      <w:bookmarkStart w:id="630" w:name="_Ref470923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承包人因执行暂停工作通知而造成费用的增加和（或）工期延误由发包人承担，并有权要求发包人支付合理利润，但</w:t>
      </w:r>
      <w:bookmarkEnd w:id="630"/>
      <w:r>
        <w:rPr>
          <w:rFonts w:hint="eastAsia" w:ascii="宋体"/>
          <w:color w:val="000000" w:themeColor="text1"/>
          <w:sz w:val="24"/>
          <w:szCs w:val="28"/>
          <w:highlight w:val="none"/>
          <w14:textFill>
            <w14:solidFill>
              <w14:schemeClr w14:val="tx1"/>
            </w14:solidFill>
          </w14:textFill>
        </w:rPr>
        <w:t>由于承包人原因造成发包人暂停工作的除外。</w:t>
      </w:r>
    </w:p>
    <w:p>
      <w:pPr>
        <w:pStyle w:val="169"/>
        <w:spacing w:before="156"/>
        <w:rPr>
          <w:color w:val="000000" w:themeColor="text1"/>
          <w:highlight w:val="none"/>
          <w14:textFill>
            <w14:solidFill>
              <w14:schemeClr w14:val="tx1"/>
            </w14:solidFill>
          </w14:textFill>
        </w:rPr>
      </w:pPr>
      <w:bookmarkStart w:id="631" w:name="_Ref18972173"/>
      <w:r>
        <w:rPr>
          <w:color w:val="000000" w:themeColor="text1"/>
          <w:highlight w:val="none"/>
          <w14:textFill>
            <w14:solidFill>
              <w14:schemeClr w14:val="tx1"/>
            </w14:solidFill>
          </w14:textFill>
        </w:rPr>
        <w:t xml:space="preserve">8.9.2 </w:t>
      </w:r>
      <w:r>
        <w:rPr>
          <w:rFonts w:hint="eastAsia"/>
          <w:color w:val="000000" w:themeColor="text1"/>
          <w:highlight w:val="none"/>
          <w14:textFill>
            <w14:solidFill>
              <w14:schemeClr w14:val="tx1"/>
            </w14:solidFill>
          </w14:textFill>
        </w:rPr>
        <w:t>由承包人暂停工作</w:t>
      </w:r>
      <w:bookmarkEnd w:id="63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632" w:name="_Ref4709224"/>
      <w:r>
        <w:rPr>
          <w:rFonts w:hint="eastAsia" w:ascii="宋体"/>
          <w:color w:val="000000" w:themeColor="text1"/>
          <w:sz w:val="24"/>
          <w:szCs w:val="28"/>
          <w:highlight w:val="none"/>
          <w14:textFill>
            <w14:solidFill>
              <w14:schemeClr w14:val="tx1"/>
            </w14:solidFill>
          </w14:textFill>
        </w:rPr>
        <w:t>（1） 发包人拖延、拒绝批准付款申请和支付证书，或未能按合同约定支付价款，导致付款延误的；</w:t>
      </w:r>
      <w:bookmarkEnd w:id="63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发包人未按约定履行合同其他义务导致承包人无法继续履行合同的，或者发包人明确表示暂停或实质上已暂停履行合同的。</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8.9.3 </w:t>
      </w:r>
      <w:r>
        <w:rPr>
          <w:rFonts w:hint="eastAsia"/>
          <w:color w:val="000000" w:themeColor="text1"/>
          <w:highlight w:val="none"/>
          <w14:textFill>
            <w14:solidFill>
              <w14:schemeClr w14:val="tx1"/>
            </w14:solidFill>
          </w14:textFill>
        </w:rPr>
        <w:t>除上述原因以外的暂停工作，双方应遵守第</w:t>
      </w:r>
      <w:r>
        <w:rPr>
          <w:color w:val="000000" w:themeColor="text1"/>
          <w:highlight w:val="none"/>
          <w14:textFill>
            <w14:solidFill>
              <w14:schemeClr w14:val="tx1"/>
            </w14:solidFill>
          </w14:textFill>
        </w:rPr>
        <w:t>17条[不可抗力]的相关约定。</w:t>
      </w:r>
    </w:p>
    <w:p>
      <w:pPr>
        <w:pStyle w:val="169"/>
        <w:spacing w:before="156"/>
        <w:rPr>
          <w:color w:val="000000" w:themeColor="text1"/>
          <w:highlight w:val="none"/>
          <w14:textFill>
            <w14:solidFill>
              <w14:schemeClr w14:val="tx1"/>
            </w14:solidFill>
          </w14:textFill>
        </w:rPr>
      </w:pPr>
      <w:bookmarkStart w:id="633" w:name="_Ref4709158"/>
      <w:r>
        <w:rPr>
          <w:color w:val="000000" w:themeColor="text1"/>
          <w:highlight w:val="none"/>
          <w14:textFill>
            <w14:solidFill>
              <w14:schemeClr w14:val="tx1"/>
            </w14:solidFill>
          </w14:textFill>
        </w:rPr>
        <w:t xml:space="preserve">8.9.4 </w:t>
      </w:r>
      <w:r>
        <w:rPr>
          <w:rFonts w:hint="eastAsia"/>
          <w:color w:val="000000" w:themeColor="text1"/>
          <w:highlight w:val="none"/>
          <w14:textFill>
            <w14:solidFill>
              <w14:schemeClr w14:val="tx1"/>
            </w14:solidFill>
          </w14:textFill>
        </w:rPr>
        <w:t>暂停工作期间的工程照管</w:t>
      </w:r>
      <w:bookmarkEnd w:id="633"/>
      <w:r>
        <w:rPr>
          <w:color w:val="000000" w:themeColor="text1"/>
          <w:highlight w:val="none"/>
          <w14:textFill>
            <w14:solidFill>
              <w14:schemeClr w14:val="tx1"/>
            </w14:solidFill>
          </w14:textFill>
        </w:rPr>
        <w:t xml:space="preserve">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因承包人未能尽到照管、保护的责任造成损失的，使发包人的费用增加，（或）竣工日期延误的，由承包人按本合同约定承担责任。</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8.9.5 </w:t>
      </w:r>
      <w:r>
        <w:rPr>
          <w:rFonts w:hint="eastAsia"/>
          <w:color w:val="000000" w:themeColor="text1"/>
          <w:highlight w:val="none"/>
          <w14:textFill>
            <w14:solidFill>
              <w14:schemeClr w14:val="tx1"/>
            </w14:solidFill>
          </w14:textFill>
        </w:rPr>
        <w:t>拖长的暂停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177"/>
        <w:spacing w:before="156"/>
        <w:rPr>
          <w:color w:val="000000" w:themeColor="text1"/>
          <w:highlight w:val="none"/>
          <w14:textFill>
            <w14:solidFill>
              <w14:schemeClr w14:val="tx1"/>
            </w14:solidFill>
          </w14:textFill>
        </w:rPr>
      </w:pPr>
      <w:bookmarkStart w:id="634" w:name="_Toc102745959"/>
      <w:bookmarkStart w:id="635" w:name="_Toc54862257"/>
      <w:r>
        <w:rPr>
          <w:color w:val="000000" w:themeColor="text1"/>
          <w:highlight w:val="none"/>
          <w14:textFill>
            <w14:solidFill>
              <w14:schemeClr w14:val="tx1"/>
            </w14:solidFill>
          </w14:textFill>
        </w:rPr>
        <w:t xml:space="preserve">8.10 </w:t>
      </w:r>
      <w:r>
        <w:rPr>
          <w:rFonts w:hint="eastAsia"/>
          <w:color w:val="000000" w:themeColor="text1"/>
          <w:highlight w:val="none"/>
          <w14:textFill>
            <w14:solidFill>
              <w14:schemeClr w14:val="tx1"/>
            </w14:solidFill>
          </w14:textFill>
        </w:rPr>
        <w:t>复工</w:t>
      </w:r>
      <w:bookmarkEnd w:id="634"/>
      <w:bookmarkEnd w:id="635"/>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8.10.1 </w:t>
      </w:r>
      <w:r>
        <w:rPr>
          <w:rFonts w:hint="eastAsia"/>
          <w:color w:val="000000" w:themeColor="text1"/>
          <w:highlight w:val="none"/>
          <w14:textFill>
            <w14:solidFill>
              <w14:schemeClr w14:val="tx1"/>
            </w14:solidFill>
          </w14:textFill>
        </w:rPr>
        <w:t>收到发包人的复工通知后，承包人应按通知时间复工；发包人通知的复工时间应当给予承包人必要的准备复工时间。</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8.10.2 </w:t>
      </w:r>
      <w:r>
        <w:rPr>
          <w:rFonts w:hint="eastAsia"/>
          <w:color w:val="000000" w:themeColor="text1"/>
          <w:highlight w:val="none"/>
          <w14:textFill>
            <w14:solidFill>
              <w14:schemeClr w14:val="tx1"/>
            </w14:solidFill>
          </w14:textFill>
        </w:rPr>
        <w:t>不论由于何种原因引起暂停工作，双方均可要求对方一同对受暂停影响的工程、工程设备和工程物资进行检查，承包人应将检查结果及需要恢复、修复的内容和估算通知发包人。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8.10.3 </w:t>
      </w:r>
      <w:r>
        <w:rPr>
          <w:rFonts w:hint="eastAsia"/>
          <w:color w:val="000000" w:themeColor="text1"/>
          <w:highlight w:val="none"/>
          <w14:textFill>
            <w14:solidFill>
              <w14:schemeClr w14:val="tx1"/>
            </w14:solidFill>
          </w14:textFill>
        </w:rPr>
        <w:t>除第</w:t>
      </w:r>
      <w:r>
        <w:rPr>
          <w:color w:val="000000" w:themeColor="text1"/>
          <w:highlight w:val="none"/>
          <w14:textFill>
            <w14:solidFill>
              <w14:schemeClr w14:val="tx1"/>
            </w14:solidFill>
          </w14:textFill>
        </w:rPr>
        <w:t>17条[不可抗力]另有约定外，发生的恢复、修复价款及工期延误的后果由责任方承担。</w:t>
      </w:r>
    </w:p>
    <w:p>
      <w:pPr>
        <w:pStyle w:val="201"/>
        <w:rPr>
          <w:color w:val="000000" w:themeColor="text1"/>
          <w:highlight w:val="none"/>
          <w14:textFill>
            <w14:solidFill>
              <w14:schemeClr w14:val="tx1"/>
            </w14:solidFill>
          </w14:textFill>
        </w:rPr>
      </w:pPr>
      <w:bookmarkStart w:id="636" w:name="_Toc54862258"/>
      <w:bookmarkStart w:id="637" w:name="_Toc31038"/>
      <w:bookmarkStart w:id="638" w:name="_Toc31079"/>
      <w:bookmarkStart w:id="639" w:name="_Toc24968"/>
      <w:bookmarkStart w:id="640" w:name="_Toc27839"/>
      <w:bookmarkStart w:id="641" w:name="_Ref4621029"/>
      <w:bookmarkStart w:id="642" w:name="_Toc6659"/>
      <w:bookmarkStart w:id="643" w:name="_Ref4621041"/>
      <w:bookmarkStart w:id="644" w:name="_Toc11452"/>
      <w:bookmarkStart w:id="645" w:name="_Toc32055"/>
      <w:bookmarkStart w:id="646" w:name="_Toc102745960"/>
      <w:bookmarkStart w:id="647" w:name="_Toc3462"/>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9条 </w:t>
      </w:r>
      <w:r>
        <w:rPr>
          <w:rFonts w:hint="eastAsia"/>
          <w:color w:val="000000" w:themeColor="text1"/>
          <w:highlight w:val="none"/>
          <w14:textFill>
            <w14:solidFill>
              <w14:schemeClr w14:val="tx1"/>
            </w14:solidFill>
          </w14:textFill>
        </w:rPr>
        <w:t>竣工试验</w:t>
      </w:r>
      <w:bookmarkEnd w:id="554"/>
      <w:bookmarkEnd w:id="636"/>
      <w:bookmarkEnd w:id="637"/>
      <w:bookmarkEnd w:id="638"/>
      <w:bookmarkEnd w:id="639"/>
      <w:bookmarkEnd w:id="640"/>
      <w:bookmarkEnd w:id="641"/>
      <w:bookmarkEnd w:id="642"/>
      <w:bookmarkEnd w:id="643"/>
      <w:bookmarkEnd w:id="644"/>
      <w:bookmarkEnd w:id="645"/>
      <w:bookmarkEnd w:id="646"/>
      <w:bookmarkEnd w:id="647"/>
    </w:p>
    <w:p>
      <w:pPr>
        <w:pStyle w:val="177"/>
        <w:spacing w:before="156"/>
        <w:rPr>
          <w:color w:val="000000" w:themeColor="text1"/>
          <w:highlight w:val="none"/>
          <w14:textFill>
            <w14:solidFill>
              <w14:schemeClr w14:val="tx1"/>
            </w14:solidFill>
          </w14:textFill>
        </w:rPr>
      </w:pPr>
      <w:bookmarkStart w:id="648" w:name="_Ref532586251"/>
      <w:bookmarkStart w:id="649" w:name="_Toc102745961"/>
      <w:bookmarkStart w:id="650" w:name="_Toc54862259"/>
      <w:bookmarkStart w:id="651" w:name="_Ref532586248"/>
      <w:r>
        <w:rPr>
          <w:color w:val="000000" w:themeColor="text1"/>
          <w:highlight w:val="none"/>
          <w14:textFill>
            <w14:solidFill>
              <w14:schemeClr w14:val="tx1"/>
            </w14:solidFill>
          </w14:textFill>
        </w:rPr>
        <w:t xml:space="preserve">9.1 </w:t>
      </w:r>
      <w:r>
        <w:rPr>
          <w:rFonts w:hint="eastAsia"/>
          <w:color w:val="000000" w:themeColor="text1"/>
          <w:highlight w:val="none"/>
          <w14:textFill>
            <w14:solidFill>
              <w14:schemeClr w14:val="tx1"/>
            </w14:solidFill>
          </w14:textFill>
        </w:rPr>
        <w:t>竣工试验的义务</w:t>
      </w:r>
      <w:bookmarkEnd w:id="648"/>
      <w:bookmarkEnd w:id="649"/>
      <w:bookmarkEnd w:id="650"/>
      <w:bookmarkEnd w:id="651"/>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9.1.1 </w:t>
      </w:r>
      <w:r>
        <w:rPr>
          <w:rFonts w:hint="eastAsia"/>
          <w:color w:val="000000" w:themeColor="text1"/>
          <w:highlight w:val="none"/>
          <w14:textFill>
            <w14:solidFill>
              <w14:schemeClr w14:val="tx1"/>
            </w14:solidFill>
          </w14:textFill>
        </w:rPr>
        <w:t>承包人完成工程或区段（子项）工程进行竣工试验所需的作业，并根据第</w:t>
      </w:r>
      <w:r>
        <w:rPr>
          <w:color w:val="000000" w:themeColor="text1"/>
          <w:highlight w:val="none"/>
          <w14:textFill>
            <w14:solidFill>
              <w14:schemeClr w14:val="tx1"/>
            </w14:solidFill>
          </w14:textFill>
        </w:rPr>
        <w:t>5.4款[竣工文件]和第5.5款[操作和维修手册]提交文件后，进行竣工试验。</w:t>
      </w:r>
      <w:bookmarkStart w:id="652" w:name="_Ref532586608"/>
    </w:p>
    <w:p>
      <w:pPr>
        <w:pStyle w:val="169"/>
        <w:spacing w:before="156"/>
        <w:rPr>
          <w:color w:val="000000" w:themeColor="text1"/>
          <w:highlight w:val="none"/>
          <w14:textFill>
            <w14:solidFill>
              <w14:schemeClr w14:val="tx1"/>
            </w14:solidFill>
          </w14:textFill>
        </w:rPr>
      </w:pPr>
      <w:bookmarkStart w:id="653" w:name="_Ref11919920"/>
      <w:r>
        <w:rPr>
          <w:color w:val="000000" w:themeColor="text1"/>
          <w:highlight w:val="none"/>
          <w14:textFill>
            <w14:solidFill>
              <w14:schemeClr w14:val="tx1"/>
            </w14:solidFill>
          </w14:textFill>
        </w:rPr>
        <w:t xml:space="preserve">9.1.2 </w:t>
      </w:r>
      <w:r>
        <w:rPr>
          <w:rFonts w:hint="eastAsia"/>
          <w:color w:val="000000" w:themeColor="text1"/>
          <w:highlight w:val="none"/>
          <w14:textFill>
            <w14:solidFill>
              <w14:schemeClr w14:val="tx1"/>
            </w14:solidFill>
          </w14:textFill>
        </w:rPr>
        <w:t>承包人应在进行竣工试验之前，至少提前</w:t>
      </w:r>
      <w:r>
        <w:rPr>
          <w:color w:val="000000" w:themeColor="text1"/>
          <w:highlight w:val="none"/>
          <w14:textFill>
            <w14:solidFill>
              <w14:schemeClr w14:val="tx1"/>
            </w14:solidFill>
          </w14:textFill>
        </w:rPr>
        <w:t>42天向工程师提交详细的竣工试验计划，该计划应载明竣工试验的内容、地点、拟开展时间和需要发包人提供的资源条件。</w:t>
      </w:r>
      <w:bookmarkEnd w:id="652"/>
      <w:r>
        <w:rPr>
          <w:rFonts w:hint="eastAsia"/>
          <w:color w:val="000000" w:themeColor="text1"/>
          <w:highlight w:val="none"/>
          <w14:textFill>
            <w14:solidFill>
              <w14:schemeClr w14:val="tx1"/>
            </w14:solidFill>
          </w14:textFill>
        </w:rPr>
        <w:t>工程师应在收到计划后的</w:t>
      </w:r>
      <w:r>
        <w:rPr>
          <w:color w:val="000000" w:themeColor="text1"/>
          <w:highlight w:val="none"/>
          <w14:textFill>
            <w14:solidFill>
              <w14:schemeClr w14:val="tx1"/>
            </w14:solidFill>
          </w14:textFill>
        </w:rPr>
        <w:t>14天内进行审查，并就该计划不符合合同的部分提出意见，承包人应在收到意见后的14天内</w:t>
      </w:r>
      <w:r>
        <w:rPr>
          <w:rFonts w:hint="eastAsia"/>
          <w:color w:val="000000" w:themeColor="text1"/>
          <w:highlight w:val="none"/>
          <w14:textFill>
            <w14:solidFill>
              <w14:schemeClr w14:val="tx1"/>
            </w14:solidFill>
          </w14:textFill>
        </w:rPr>
        <w:t>自费对计划进行修正。工程师逾期未提出意见的，视为竣工试验计划已得到确认。除提交竣工试验计划外，承包人还应提前</w:t>
      </w:r>
      <w:r>
        <w:rPr>
          <w:color w:val="000000" w:themeColor="text1"/>
          <w:highlight w:val="none"/>
          <w14:textFill>
            <w14:solidFill>
              <w14:schemeClr w14:val="tx1"/>
            </w14:solidFill>
          </w14:textFill>
        </w:rPr>
        <w:t>21天将可以开始进行各项竣工试验的日期通知工程师，并在该日期后的14天内或工程师指示的日期进行竣工试验。</w:t>
      </w:r>
      <w:bookmarkEnd w:id="653"/>
    </w:p>
    <w:p>
      <w:pPr>
        <w:pStyle w:val="169"/>
        <w:spacing w:before="156"/>
        <w:rPr>
          <w:color w:val="000000" w:themeColor="text1"/>
          <w:highlight w:val="none"/>
          <w14:textFill>
            <w14:solidFill>
              <w14:schemeClr w14:val="tx1"/>
            </w14:solidFill>
          </w14:textFill>
        </w:rPr>
      </w:pPr>
      <w:bookmarkStart w:id="654" w:name="_Ref532688147"/>
      <w:r>
        <w:rPr>
          <w:color w:val="000000" w:themeColor="text1"/>
          <w:highlight w:val="none"/>
          <w14:textFill>
            <w14:solidFill>
              <w14:schemeClr w14:val="tx1"/>
            </w14:solidFill>
          </w14:textFill>
        </w:rPr>
        <w:t xml:space="preserve">9.1.3 </w:t>
      </w:r>
      <w:r>
        <w:rPr>
          <w:rFonts w:hint="eastAsia"/>
          <w:color w:val="000000" w:themeColor="text1"/>
          <w:highlight w:val="none"/>
          <w14:textFill>
            <w14:solidFill>
              <w14:schemeClr w14:val="tx1"/>
            </w14:solidFill>
          </w14:textFill>
        </w:rPr>
        <w:t>承包人应根据经确认的竣工试验计划以及第</w:t>
      </w:r>
      <w:r>
        <w:rPr>
          <w:color w:val="000000" w:themeColor="text1"/>
          <w:highlight w:val="none"/>
          <w14:textFill>
            <w14:solidFill>
              <w14:schemeClr w14:val="tx1"/>
            </w14:solidFill>
          </w14:textFill>
        </w:rPr>
        <w:t>6.5款[由承包人试验和检验]进行竣工试验。除发包人要求中另有说明外，竣工试验应按以下顺序分阶段进行，即只有在工程或区段（子项）工程已通过上一阶段试验的情况下，才可进行下一阶段试验：</w:t>
      </w:r>
      <w:bookmarkEnd w:id="654"/>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承包人进行启动前试验，包括适当的检查和功能性试验，以证明工程或区段（子项）工程的每一部分均能够安全地承受下一阶段试验；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承包人进行启动试验，以证明工程或区段（子项）工程能够在所有可利用的操作条件下安全运行，并按照专用合同条件和发包人要求中的规定操作；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进行试运行试验。当工程或区段（子项）工程能稳定安全运行时，承包人应通知工程师，可以进行其他竣工试验，包括各种性能测试，以证明工程或区段（子项）工程符合发包人要求中列明的性能保证指标。</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进行上述试验不应构成第10条[验收和工程接收]规定的接收，但试验所产生的任何产品或其他收益均应归属于发包人。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9.1.4 </w:t>
      </w:r>
      <w:r>
        <w:rPr>
          <w:rFonts w:hint="eastAsia"/>
          <w:color w:val="000000" w:themeColor="text1"/>
          <w:highlight w:val="none"/>
          <w14:textFill>
            <w14:solidFill>
              <w14:schemeClr w14:val="tx1"/>
            </w14:solidFill>
          </w14:textFill>
        </w:rPr>
        <w:t>完成上述各阶段竣工试验后，承包人应向工程师提交试验结果报告，试验结果须符合约定的标准、规范和数据。工程师应在收到报告后</w:t>
      </w:r>
      <w:r>
        <w:rPr>
          <w:color w:val="000000" w:themeColor="text1"/>
          <w:highlight w:val="none"/>
          <w14:textFill>
            <w14:solidFill>
              <w14:schemeClr w14:val="tx1"/>
            </w14:solidFill>
          </w14:textFill>
        </w:rPr>
        <w:t>14天内予以回复，逾期未回复的，视为认可竣工试验结果。但在考虑工程或区段（子项）工程是否通过竣工试验时，应适当考虑发包人对工程或其任何部分的使用，对工程或区段（子项）工程的性能、特性和试验结果产生的影响。</w:t>
      </w:r>
    </w:p>
    <w:p>
      <w:pPr>
        <w:pStyle w:val="177"/>
        <w:spacing w:before="156"/>
        <w:rPr>
          <w:color w:val="000000" w:themeColor="text1"/>
          <w:highlight w:val="none"/>
          <w14:textFill>
            <w14:solidFill>
              <w14:schemeClr w14:val="tx1"/>
            </w14:solidFill>
          </w14:textFill>
        </w:rPr>
      </w:pPr>
      <w:bookmarkStart w:id="655" w:name="_Toc102745962"/>
      <w:bookmarkStart w:id="656" w:name="_Toc54862260"/>
      <w:r>
        <w:rPr>
          <w:color w:val="000000" w:themeColor="text1"/>
          <w:highlight w:val="none"/>
          <w14:textFill>
            <w14:solidFill>
              <w14:schemeClr w14:val="tx1"/>
            </w14:solidFill>
          </w14:textFill>
        </w:rPr>
        <w:t xml:space="preserve">9.2 </w:t>
      </w:r>
      <w:r>
        <w:rPr>
          <w:rFonts w:hint="eastAsia"/>
          <w:color w:val="000000" w:themeColor="text1"/>
          <w:highlight w:val="none"/>
          <w14:textFill>
            <w14:solidFill>
              <w14:schemeClr w14:val="tx1"/>
            </w14:solidFill>
          </w14:textFill>
        </w:rPr>
        <w:t>延误的试验</w:t>
      </w:r>
      <w:bookmarkEnd w:id="655"/>
      <w:bookmarkEnd w:id="656"/>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9.2.1 </w:t>
      </w:r>
      <w:r>
        <w:rPr>
          <w:rFonts w:hint="eastAsia"/>
          <w:color w:val="000000" w:themeColor="text1"/>
          <w:highlight w:val="none"/>
          <w14:textFill>
            <w14:solidFill>
              <w14:schemeClr w14:val="tx1"/>
            </w14:solidFill>
          </w14:textFill>
        </w:rPr>
        <w:t>如果承包人已根据第</w:t>
      </w:r>
      <w:r>
        <w:rPr>
          <w:color w:val="000000" w:themeColor="text1"/>
          <w:highlight w:val="none"/>
          <w14:textFill>
            <w14:solidFill>
              <w14:schemeClr w14:val="tx1"/>
            </w14:solidFill>
          </w14:textFill>
        </w:rPr>
        <w:t>9.1款[竣工试验的义务]就可以开始进行各项竣工试验的日期通知工程师，但该等</w:t>
      </w:r>
      <w:r>
        <w:rPr>
          <w:rFonts w:hint="eastAsia"/>
          <w:color w:val="000000" w:themeColor="text1"/>
          <w:highlight w:val="none"/>
          <w14:textFill>
            <w14:solidFill>
              <w14:schemeClr w14:val="tx1"/>
            </w14:solidFill>
          </w14:textFill>
        </w:rPr>
        <w:t>试验因发包人原因被延误</w:t>
      </w:r>
      <w:r>
        <w:rPr>
          <w:color w:val="000000" w:themeColor="text1"/>
          <w:highlight w:val="none"/>
          <w14:textFill>
            <w14:solidFill>
              <w14:schemeClr w14:val="tx1"/>
            </w14:solidFill>
          </w14:textFill>
        </w:rPr>
        <w:t>14天以上的，发包人应承担由此增加的费用和工期延误，并支付承包人合理利润。同时，承包人应在合理可行的情况下尽快进行竣工试验。</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9.2.2 </w:t>
      </w:r>
      <w:r>
        <w:rPr>
          <w:rFonts w:hint="eastAsia"/>
          <w:color w:val="000000" w:themeColor="text1"/>
          <w:highlight w:val="none"/>
          <w14:textFill>
            <w14:solidFill>
              <w14:schemeClr w14:val="tx1"/>
            </w14:solidFill>
          </w14:textFill>
        </w:rPr>
        <w:t>承包人无正当理由延误进行竣工试验的，工程师可向其发出通知，要求其在收到通知后的</w:t>
      </w:r>
      <w:r>
        <w:rPr>
          <w:color w:val="000000" w:themeColor="text1"/>
          <w:highlight w:val="none"/>
          <w14:textFill>
            <w14:solidFill>
              <w14:schemeClr w14:val="tx1"/>
            </w14:solidFill>
          </w14:textFill>
        </w:rPr>
        <w:t>21天内进行该项竣工试验。承包人应在该21天的期限内确定进行试验的日期，并至少提前7天通知工程师。</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9.2.3 </w:t>
      </w:r>
      <w:r>
        <w:rPr>
          <w:rFonts w:hint="eastAsia"/>
          <w:color w:val="000000" w:themeColor="text1"/>
          <w:highlight w:val="none"/>
          <w14:textFill>
            <w14:solidFill>
              <w14:schemeClr w14:val="tx1"/>
            </w14:solidFill>
          </w14:textFill>
        </w:rPr>
        <w:t>如果承包人未在该期限内进行竣工试验，则发包人有权自行组织该项竣工试验，由此产生的合理费用由承包人承担。发包人应在试验完成后</w:t>
      </w:r>
      <w:r>
        <w:rPr>
          <w:color w:val="000000" w:themeColor="text1"/>
          <w:highlight w:val="none"/>
          <w14:textFill>
            <w14:solidFill>
              <w14:schemeClr w14:val="tx1"/>
            </w14:solidFill>
          </w14:textFill>
        </w:rPr>
        <w:t>28天内向承包人发送试验结果。</w:t>
      </w:r>
    </w:p>
    <w:p>
      <w:pPr>
        <w:pStyle w:val="177"/>
        <w:spacing w:before="156"/>
        <w:rPr>
          <w:color w:val="000000" w:themeColor="text1"/>
          <w:highlight w:val="none"/>
          <w14:textFill>
            <w14:solidFill>
              <w14:schemeClr w14:val="tx1"/>
            </w14:solidFill>
          </w14:textFill>
        </w:rPr>
      </w:pPr>
      <w:bookmarkStart w:id="657" w:name="_Toc54862261"/>
      <w:bookmarkStart w:id="658" w:name="_Ref532594588"/>
      <w:bookmarkStart w:id="659" w:name="_Ref532594592"/>
      <w:bookmarkStart w:id="660" w:name="_Toc102745963"/>
      <w:r>
        <w:rPr>
          <w:color w:val="000000" w:themeColor="text1"/>
          <w:highlight w:val="none"/>
          <w14:textFill>
            <w14:solidFill>
              <w14:schemeClr w14:val="tx1"/>
            </w14:solidFill>
          </w14:textFill>
        </w:rPr>
        <w:t xml:space="preserve">9.3 </w:t>
      </w:r>
      <w:r>
        <w:rPr>
          <w:rFonts w:hint="eastAsia"/>
          <w:color w:val="000000" w:themeColor="text1"/>
          <w:highlight w:val="none"/>
          <w14:textFill>
            <w14:solidFill>
              <w14:schemeClr w14:val="tx1"/>
            </w14:solidFill>
          </w14:textFill>
        </w:rPr>
        <w:t>重新试验</w:t>
      </w:r>
      <w:bookmarkEnd w:id="657"/>
      <w:bookmarkEnd w:id="658"/>
      <w:bookmarkEnd w:id="659"/>
      <w:bookmarkEnd w:id="66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果工程或区段（子项）工程未能通过竣工试验，则承包人应根据第6.6款[缺陷和修补]修补缺陷。发包人或承包人可要求按相同的条件，重新进行未通过的试验以及相关工程或区段（子项）工程的竣工试验。该等重新进行的试验仍应适用本条对于竣工试验的规定。</w:t>
      </w:r>
    </w:p>
    <w:p>
      <w:pPr>
        <w:pStyle w:val="177"/>
        <w:spacing w:before="156"/>
        <w:rPr>
          <w:color w:val="000000" w:themeColor="text1"/>
          <w:highlight w:val="none"/>
          <w14:textFill>
            <w14:solidFill>
              <w14:schemeClr w14:val="tx1"/>
            </w14:solidFill>
          </w14:textFill>
        </w:rPr>
      </w:pPr>
      <w:bookmarkStart w:id="661" w:name="_Ref532688226"/>
      <w:bookmarkStart w:id="662" w:name="_Ref532688221"/>
      <w:bookmarkStart w:id="663" w:name="_Toc54862262"/>
      <w:bookmarkStart w:id="664" w:name="_Toc102745964"/>
      <w:r>
        <w:rPr>
          <w:color w:val="000000" w:themeColor="text1"/>
          <w:highlight w:val="none"/>
          <w14:textFill>
            <w14:solidFill>
              <w14:schemeClr w14:val="tx1"/>
            </w14:solidFill>
          </w14:textFill>
        </w:rPr>
        <w:t xml:space="preserve">9.4 </w:t>
      </w:r>
      <w:r>
        <w:rPr>
          <w:rFonts w:hint="eastAsia"/>
          <w:color w:val="000000" w:themeColor="text1"/>
          <w:highlight w:val="none"/>
          <w14:textFill>
            <w14:solidFill>
              <w14:schemeClr w14:val="tx1"/>
            </w14:solidFill>
          </w14:textFill>
        </w:rPr>
        <w:t>未能通过竣工试验</w:t>
      </w:r>
      <w:bookmarkEnd w:id="661"/>
      <w:bookmarkEnd w:id="662"/>
      <w:bookmarkEnd w:id="663"/>
      <w:bookmarkEnd w:id="664"/>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9.4.1 </w:t>
      </w:r>
      <w:r>
        <w:rPr>
          <w:rFonts w:hint="eastAsia"/>
          <w:color w:val="000000" w:themeColor="text1"/>
          <w:highlight w:val="none"/>
          <w14:textFill>
            <w14:solidFill>
              <w14:schemeClr w14:val="tx1"/>
            </w14:solidFill>
          </w14:textFill>
        </w:rPr>
        <w:t>因发包人原因导致竣工试验未能通过的，承包人进行竣工试验的费用由发包人承担，竣工日期相应顺延。</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9.4.2 </w:t>
      </w:r>
      <w:r>
        <w:rPr>
          <w:rFonts w:hint="eastAsia"/>
          <w:color w:val="000000" w:themeColor="text1"/>
          <w:highlight w:val="none"/>
          <w14:textFill>
            <w14:solidFill>
              <w14:schemeClr w14:val="tx1"/>
            </w14:solidFill>
          </w14:textFill>
        </w:rPr>
        <w:t>如果工程或区段（子项）工程未能通过根据第</w:t>
      </w:r>
      <w:r>
        <w:rPr>
          <w:color w:val="000000" w:themeColor="text1"/>
          <w:highlight w:val="none"/>
          <w14:textFill>
            <w14:solidFill>
              <w14:schemeClr w14:val="tx1"/>
            </w14:solidFill>
          </w14:textFill>
        </w:rPr>
        <w:t>9.3款[重新试验]重新进行的竣工试验的，则：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发包人有权要求承包人根据第6.6款[缺陷和修补]继续进行修补和改正，并根据第9.3款[重新试验]再次进行竣工试验；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未能通过竣工试验，对工程或区段（子项）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665" w:name="_Ref4621461"/>
      <w:r>
        <w:rPr>
          <w:rFonts w:hint="eastAsia" w:ascii="宋体"/>
          <w:color w:val="000000" w:themeColor="text1"/>
          <w:sz w:val="24"/>
          <w:szCs w:val="28"/>
          <w:highlight w:val="none"/>
          <w14:textFill>
            <w14:solidFill>
              <w14:schemeClr w14:val="tx1"/>
            </w14:solidFill>
          </w14:textFill>
        </w:rPr>
        <w:t>（3） 未能通过竣工试验，使工程或区段（子项）工程的任何主要部分丧失了生产、使用功能时，发包人有权指令承包人更换相关部分，承包人应承担因此增加的费用和误期损害赔偿责任，并赔偿发包人的相应损失</w:t>
      </w:r>
      <w:bookmarkEnd w:id="665"/>
      <w:r>
        <w:rPr>
          <w:rFonts w:hint="eastAsia" w:ascii="宋体"/>
          <w:color w:val="000000" w:themeColor="text1"/>
          <w:sz w:val="24"/>
          <w:szCs w:val="28"/>
          <w:highlight w:val="none"/>
          <w14:textFill>
            <w14:solidFill>
              <w14:schemeClr w14:val="tx1"/>
            </w14:solidFill>
          </w14:textFill>
        </w:rPr>
        <w:t>；</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未能通过竣工试验，使整个工程或区段（子项）工程丧失了生产、使用功能时，发包人可拒收工程或区段（子项）工程，或指令承包人重新设计、重置相关部分，承包人应承担因此增加的费用和误期损害赔偿责任，并赔偿发包人的相应损失。同时发包人有权根据第16.1款[由发包人解除合同]的约定解除合同。</w:t>
      </w:r>
    </w:p>
    <w:p>
      <w:pPr>
        <w:pStyle w:val="201"/>
        <w:rPr>
          <w:color w:val="000000" w:themeColor="text1"/>
          <w:highlight w:val="none"/>
          <w14:textFill>
            <w14:solidFill>
              <w14:schemeClr w14:val="tx1"/>
            </w14:solidFill>
          </w14:textFill>
        </w:rPr>
      </w:pPr>
      <w:bookmarkStart w:id="666" w:name="_Ref4624043"/>
      <w:bookmarkStart w:id="667" w:name="_Toc54862263"/>
      <w:bookmarkStart w:id="668" w:name="_Toc1425"/>
      <w:bookmarkStart w:id="669" w:name="_Ref4618348"/>
      <w:bookmarkStart w:id="670" w:name="_Toc102745965"/>
      <w:bookmarkStart w:id="671" w:name="_Toc4945"/>
      <w:bookmarkStart w:id="672" w:name="_Toc21275"/>
      <w:bookmarkStart w:id="673" w:name="_Toc19376"/>
      <w:bookmarkStart w:id="674" w:name="_Ref4618338"/>
      <w:bookmarkStart w:id="675" w:name="_Toc24388"/>
      <w:bookmarkStart w:id="676" w:name="_Toc20606"/>
      <w:bookmarkStart w:id="677" w:name="_Toc32445"/>
      <w:bookmarkStart w:id="678" w:name="_Toc27876"/>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10条 </w:t>
      </w:r>
      <w:r>
        <w:rPr>
          <w:rFonts w:hint="eastAsia"/>
          <w:color w:val="000000" w:themeColor="text1"/>
          <w:highlight w:val="none"/>
          <w14:textFill>
            <w14:solidFill>
              <w14:schemeClr w14:val="tx1"/>
            </w14:solidFill>
          </w14:textFill>
        </w:rPr>
        <w:t>验收和工程接收</w:t>
      </w:r>
      <w:bookmarkEnd w:id="666"/>
      <w:bookmarkEnd w:id="667"/>
      <w:bookmarkEnd w:id="668"/>
      <w:bookmarkEnd w:id="669"/>
      <w:bookmarkEnd w:id="670"/>
      <w:bookmarkEnd w:id="671"/>
      <w:bookmarkEnd w:id="672"/>
      <w:bookmarkEnd w:id="673"/>
      <w:bookmarkEnd w:id="674"/>
      <w:bookmarkEnd w:id="675"/>
      <w:bookmarkEnd w:id="676"/>
      <w:bookmarkEnd w:id="677"/>
      <w:bookmarkEnd w:id="678"/>
    </w:p>
    <w:p>
      <w:pPr>
        <w:pStyle w:val="177"/>
        <w:spacing w:before="156"/>
        <w:rPr>
          <w:color w:val="000000" w:themeColor="text1"/>
          <w:highlight w:val="none"/>
          <w14:textFill>
            <w14:solidFill>
              <w14:schemeClr w14:val="tx1"/>
            </w14:solidFill>
          </w14:textFill>
        </w:rPr>
      </w:pPr>
      <w:bookmarkStart w:id="679" w:name="_Ref532300801"/>
      <w:bookmarkStart w:id="680" w:name="_Ref532301202"/>
      <w:bookmarkStart w:id="681" w:name="_Toc102745966"/>
      <w:bookmarkStart w:id="682" w:name="_Ref532301199"/>
      <w:bookmarkStart w:id="683" w:name="_Ref532359143"/>
      <w:bookmarkStart w:id="684" w:name="_Toc54862264"/>
      <w:bookmarkStart w:id="685" w:name="_Ref532300804"/>
      <w:bookmarkStart w:id="686" w:name="_Ref532359152"/>
      <w:r>
        <w:rPr>
          <w:color w:val="000000" w:themeColor="text1"/>
          <w:highlight w:val="none"/>
          <w14:textFill>
            <w14:solidFill>
              <w14:schemeClr w14:val="tx1"/>
            </w14:solidFill>
          </w14:textFill>
        </w:rPr>
        <w:t xml:space="preserve">10.1 </w:t>
      </w:r>
      <w:r>
        <w:rPr>
          <w:rFonts w:hint="eastAsia"/>
          <w:color w:val="000000" w:themeColor="text1"/>
          <w:highlight w:val="none"/>
          <w14:textFill>
            <w14:solidFill>
              <w14:schemeClr w14:val="tx1"/>
            </w14:solidFill>
          </w14:textFill>
        </w:rPr>
        <w:t>竣工验收</w:t>
      </w:r>
      <w:bookmarkEnd w:id="679"/>
      <w:bookmarkEnd w:id="680"/>
      <w:bookmarkEnd w:id="681"/>
      <w:bookmarkEnd w:id="682"/>
      <w:bookmarkEnd w:id="683"/>
      <w:bookmarkEnd w:id="684"/>
      <w:bookmarkEnd w:id="685"/>
      <w:bookmarkEnd w:id="686"/>
    </w:p>
    <w:p>
      <w:pPr>
        <w:pStyle w:val="169"/>
        <w:spacing w:before="156"/>
        <w:rPr>
          <w:color w:val="000000" w:themeColor="text1"/>
          <w:highlight w:val="none"/>
          <w14:textFill>
            <w14:solidFill>
              <w14:schemeClr w14:val="tx1"/>
            </w14:solidFill>
          </w14:textFill>
        </w:rPr>
      </w:pPr>
      <w:bookmarkStart w:id="687" w:name="_Ref532628356"/>
      <w:r>
        <w:rPr>
          <w:color w:val="000000" w:themeColor="text1"/>
          <w:highlight w:val="none"/>
          <w14:textFill>
            <w14:solidFill>
              <w14:schemeClr w14:val="tx1"/>
            </w14:solidFill>
          </w14:textFill>
        </w:rPr>
        <w:t xml:space="preserve">10.1.1 </w:t>
      </w:r>
      <w:r>
        <w:rPr>
          <w:rFonts w:hint="eastAsia"/>
          <w:color w:val="000000" w:themeColor="text1"/>
          <w:highlight w:val="none"/>
          <w14:textFill>
            <w14:solidFill>
              <w14:schemeClr w14:val="tx1"/>
            </w14:solidFill>
          </w14:textFill>
        </w:rPr>
        <w:t>竣工验收条件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工程具备以下条件的，承包人可以申请竣工验收：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因第13条[变更与调整]导致的工程量删减和第14.5.3项[扫尾工作清单]列入缺陷责任期内完成的扫尾工程和缺陷修补工作外，合同范围内的全部单位/区段（子项）工程以及有关工作，包括合同要求的试验和竣工试验均已完成，并符合合同要求；</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已按合同约定编制了扫尾工作和缺陷修补工作清单以及相应实施计划；</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已按合同约定的内容和份数备齐竣工资料；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合同约定要求在竣工验收前应完成的其他工作。</w:t>
      </w:r>
    </w:p>
    <w:bookmarkEnd w:id="687"/>
    <w:p>
      <w:pPr>
        <w:pStyle w:val="169"/>
        <w:spacing w:before="156"/>
        <w:rPr>
          <w:color w:val="000000" w:themeColor="text1"/>
          <w:highlight w:val="none"/>
          <w14:textFill>
            <w14:solidFill>
              <w14:schemeClr w14:val="tx1"/>
            </w14:solidFill>
          </w14:textFill>
        </w:rPr>
      </w:pPr>
      <w:bookmarkStart w:id="688" w:name="_Ref4429424"/>
      <w:bookmarkStart w:id="689" w:name="_Hlk51506601"/>
      <w:r>
        <w:rPr>
          <w:color w:val="000000" w:themeColor="text1"/>
          <w:highlight w:val="none"/>
          <w14:textFill>
            <w14:solidFill>
              <w14:schemeClr w14:val="tx1"/>
            </w14:solidFill>
          </w14:textFill>
        </w:rPr>
        <w:t xml:space="preserve">10.1.2 </w:t>
      </w:r>
      <w:r>
        <w:rPr>
          <w:rFonts w:hint="eastAsia"/>
          <w:color w:val="000000" w:themeColor="text1"/>
          <w:highlight w:val="none"/>
          <w14:textFill>
            <w14:solidFill>
              <w14:schemeClr w14:val="tx1"/>
            </w14:solidFill>
          </w14:textFill>
        </w:rPr>
        <w:t>竣工验收程序</w:t>
      </w:r>
      <w:bookmarkEnd w:id="688"/>
    </w:p>
    <w:bookmarkEnd w:id="689"/>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除专用合同条件另有约定外，承包人申请竣工验收的，应当按照以下程序进行：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690" w:name="_Hlk51506640"/>
      <w:r>
        <w:rPr>
          <w:rFonts w:hint="eastAsia" w:ascii="宋体"/>
          <w:color w:val="000000" w:themeColor="text1"/>
          <w:sz w:val="24"/>
          <w:szCs w:val="28"/>
          <w:highlight w:val="none"/>
          <w14:textFill>
            <w14:solidFill>
              <w14:schemeClr w14:val="tx1"/>
            </w14:solidFill>
          </w14:textFill>
        </w:rPr>
        <w:t>（4） 因发包人原因，未在工程师收到承包人竣工验收申请报告之日起42天内完成竣工验收的，以承包人提交竣工验收申请报告之日作为工程实际竣工日期。</w:t>
      </w:r>
    </w:p>
    <w:bookmarkEnd w:id="690"/>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工程未经竣工验收，发包人擅自使用的，以转移占有工程之日为实际竣工日期。</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除专用合同条件另有约定外，发包人不按照本项和第10.4款[接收证书]约定组织竣工验收、颁发工程接收证书的，每逾期一天，应以签约合同价为基数，按照贷款市场报价利率（LPR）支付违约金。</w:t>
      </w:r>
    </w:p>
    <w:p>
      <w:pPr>
        <w:pStyle w:val="177"/>
        <w:spacing w:before="156"/>
        <w:rPr>
          <w:color w:val="000000" w:themeColor="text1"/>
          <w:highlight w:val="none"/>
          <w14:textFill>
            <w14:solidFill>
              <w14:schemeClr w14:val="tx1"/>
            </w14:solidFill>
          </w14:textFill>
        </w:rPr>
      </w:pPr>
      <w:bookmarkStart w:id="691" w:name="_Toc54862265"/>
      <w:bookmarkStart w:id="692" w:name="_Ref532301210"/>
      <w:bookmarkStart w:id="693" w:name="_Ref532301213"/>
      <w:bookmarkStart w:id="694" w:name="_Toc102745967"/>
      <w:r>
        <w:rPr>
          <w:color w:val="000000" w:themeColor="text1"/>
          <w:highlight w:val="none"/>
          <w14:textFill>
            <w14:solidFill>
              <w14:schemeClr w14:val="tx1"/>
            </w14:solidFill>
          </w14:textFill>
        </w:rPr>
        <w:t xml:space="preserve">10.2 </w:t>
      </w:r>
      <w:r>
        <w:rPr>
          <w:rFonts w:hint="eastAsia"/>
          <w:color w:val="000000" w:themeColor="text1"/>
          <w:highlight w:val="none"/>
          <w14:textFill>
            <w14:solidFill>
              <w14:schemeClr w14:val="tx1"/>
            </w14:solidFill>
          </w14:textFill>
        </w:rPr>
        <w:t>单位</w:t>
      </w:r>
      <w:r>
        <w:rPr>
          <w:color w:val="000000" w:themeColor="text1"/>
          <w:highlight w:val="none"/>
          <w14:textFill>
            <w14:solidFill>
              <w14:schemeClr w14:val="tx1"/>
            </w14:solidFill>
          </w14:textFill>
        </w:rPr>
        <w:t>/区段（子项）工程的验收</w:t>
      </w:r>
      <w:bookmarkEnd w:id="691"/>
      <w:bookmarkEnd w:id="692"/>
      <w:bookmarkEnd w:id="693"/>
      <w:bookmarkEnd w:id="694"/>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10.2.1 </w:t>
      </w:r>
      <w:r>
        <w:rPr>
          <w:rFonts w:hint="eastAsia"/>
          <w:color w:val="000000" w:themeColor="text1"/>
          <w:highlight w:val="none"/>
          <w14:textFill>
            <w14:solidFill>
              <w14:schemeClr w14:val="tx1"/>
            </w14:solidFill>
          </w14:textFill>
        </w:rPr>
        <w:t>发包人根据项目进度计划安排，在全部工程竣工前需要使用已经竣工的单位</w:t>
      </w:r>
      <w:r>
        <w:rPr>
          <w:color w:val="000000" w:themeColor="text1"/>
          <w:highlight w:val="none"/>
          <w14:textFill>
            <w14:solidFill>
              <w14:schemeClr w14:val="tx1"/>
            </w14:solidFill>
          </w14:textFill>
        </w:rPr>
        <w:t>/区段（子项）工程时，或承包人提出经发包人同意时，可进行单位/区段（子项）工程验收。验收的程序可参照第10.1款[竣工验收]的约定进行。验收合格后，由工程师向承包人出具经发包人签认的单位/区段（子项）工程验收证书。单位/区段（子项）工程的验收成果和结论作为全部工程竣工验收申请报告的附件。</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10.2.2 </w:t>
      </w:r>
      <w:r>
        <w:rPr>
          <w:rFonts w:hint="eastAsia"/>
          <w:color w:val="000000" w:themeColor="text1"/>
          <w:highlight w:val="none"/>
          <w14:textFill>
            <w14:solidFill>
              <w14:schemeClr w14:val="tx1"/>
            </w14:solidFill>
          </w14:textFill>
        </w:rPr>
        <w:t>发包人在全部工程竣工前，使用已接收的单位</w:t>
      </w:r>
      <w:r>
        <w:rPr>
          <w:color w:val="000000" w:themeColor="text1"/>
          <w:highlight w:val="none"/>
          <w14:textFill>
            <w14:solidFill>
              <w14:schemeClr w14:val="tx1"/>
            </w14:solidFill>
          </w14:textFill>
        </w:rPr>
        <w:t>/区段（子项）工程导致承包人费用增加的，发包人应承担由此增加的费用和（或）工期延误，并支付承包人合理利润。</w:t>
      </w:r>
    </w:p>
    <w:p>
      <w:pPr>
        <w:pStyle w:val="177"/>
        <w:spacing w:before="156"/>
        <w:rPr>
          <w:color w:val="000000" w:themeColor="text1"/>
          <w:highlight w:val="none"/>
          <w14:textFill>
            <w14:solidFill>
              <w14:schemeClr w14:val="tx1"/>
            </w14:solidFill>
          </w14:textFill>
        </w:rPr>
      </w:pPr>
      <w:bookmarkStart w:id="695" w:name="_Toc102745968"/>
      <w:bookmarkStart w:id="696" w:name="_Toc54862266"/>
      <w:bookmarkStart w:id="697" w:name="_Ref4429473"/>
      <w:bookmarkStart w:id="698" w:name="_Ref532688351"/>
      <w:bookmarkStart w:id="699" w:name="_Ref532688354"/>
      <w:r>
        <w:rPr>
          <w:color w:val="000000" w:themeColor="text1"/>
          <w:highlight w:val="none"/>
          <w14:textFill>
            <w14:solidFill>
              <w14:schemeClr w14:val="tx1"/>
            </w14:solidFill>
          </w14:textFill>
        </w:rPr>
        <w:t xml:space="preserve">10.3 </w:t>
      </w:r>
      <w:r>
        <w:rPr>
          <w:rFonts w:hint="eastAsia"/>
          <w:color w:val="000000" w:themeColor="text1"/>
          <w:highlight w:val="none"/>
          <w14:textFill>
            <w14:solidFill>
              <w14:schemeClr w14:val="tx1"/>
            </w14:solidFill>
          </w14:textFill>
        </w:rPr>
        <w:t>工程的接收</w:t>
      </w:r>
      <w:bookmarkEnd w:id="695"/>
      <w:bookmarkEnd w:id="696"/>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10.3.1 </w:t>
      </w:r>
      <w:r>
        <w:rPr>
          <w:rFonts w:hint="eastAsia"/>
          <w:color w:val="000000" w:themeColor="text1"/>
          <w:highlight w:val="none"/>
          <w14:textFill>
            <w14:solidFill>
              <w14:schemeClr w14:val="tx1"/>
            </w14:solidFill>
          </w14:textFill>
        </w:rPr>
        <w:t>根据工程项目的具体情况和特点，可按工程或单位</w:t>
      </w:r>
      <w:r>
        <w:rPr>
          <w:color w:val="000000" w:themeColor="text1"/>
          <w:highlight w:val="none"/>
          <w14:textFill>
            <w14:solidFill>
              <w14:schemeClr w14:val="tx1"/>
            </w14:solidFill>
          </w14:textFill>
        </w:rPr>
        <w:t>/区段（子项）工程进行接收，并在专用合同条件约定接收的先后顺序、时间安排和其他要求。</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10.3.2 </w:t>
      </w:r>
      <w:r>
        <w:rPr>
          <w:rFonts w:hint="eastAsia"/>
          <w:color w:val="000000" w:themeColor="text1"/>
          <w:highlight w:val="none"/>
          <w14:textFill>
            <w14:solidFill>
              <w14:schemeClr w14:val="tx1"/>
            </w14:solidFill>
          </w14:textFill>
        </w:rPr>
        <w:t>除按本条约定已经提交的资料外，接收工程时承包人需提交竣工验收资料的类别、内容、份数和提交时间，在专用合同条件中约定。</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10.3.3 </w:t>
      </w:r>
      <w:r>
        <w:rPr>
          <w:rFonts w:hint="eastAsia"/>
          <w:color w:val="000000" w:themeColor="text1"/>
          <w:highlight w:val="none"/>
          <w14:textFill>
            <w14:solidFill>
              <w14:schemeClr w14:val="tx1"/>
            </w14:solidFill>
          </w14:textFill>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10.3.4 </w:t>
      </w:r>
      <w:r>
        <w:rPr>
          <w:rFonts w:hint="eastAsia"/>
          <w:color w:val="000000" w:themeColor="text1"/>
          <w:highlight w:val="none"/>
          <w14:textFill>
            <w14:solidFill>
              <w14:schemeClr w14:val="tx1"/>
            </w14:solidFill>
          </w14:textFill>
        </w:rPr>
        <w:t>承包人无正当理由不移交工程的，承包人应承担工程照管、成品保护、保管等与工程有关的各项费用，合同当事人可以在专用合同条件中另行约定承包人无正当理由不移交工程的违约责任。</w:t>
      </w:r>
    </w:p>
    <w:p>
      <w:pPr>
        <w:pStyle w:val="177"/>
        <w:spacing w:before="156"/>
        <w:rPr>
          <w:color w:val="000000" w:themeColor="text1"/>
          <w:highlight w:val="none"/>
          <w14:textFill>
            <w14:solidFill>
              <w14:schemeClr w14:val="tx1"/>
            </w14:solidFill>
          </w14:textFill>
        </w:rPr>
      </w:pPr>
      <w:bookmarkStart w:id="700" w:name="_Toc102745969"/>
      <w:bookmarkStart w:id="701" w:name="_Toc54862267"/>
      <w:r>
        <w:rPr>
          <w:color w:val="000000" w:themeColor="text1"/>
          <w:highlight w:val="none"/>
          <w14:textFill>
            <w14:solidFill>
              <w14:schemeClr w14:val="tx1"/>
            </w14:solidFill>
          </w14:textFill>
        </w:rPr>
        <w:t xml:space="preserve">10.4 </w:t>
      </w:r>
      <w:r>
        <w:rPr>
          <w:rFonts w:hint="eastAsia"/>
          <w:color w:val="000000" w:themeColor="text1"/>
          <w:highlight w:val="none"/>
          <w14:textFill>
            <w14:solidFill>
              <w14:schemeClr w14:val="tx1"/>
            </w14:solidFill>
          </w14:textFill>
        </w:rPr>
        <w:t>接收证书</w:t>
      </w:r>
      <w:bookmarkEnd w:id="697"/>
      <w:bookmarkEnd w:id="700"/>
      <w:bookmarkEnd w:id="701"/>
    </w:p>
    <w:p>
      <w:pPr>
        <w:pStyle w:val="169"/>
        <w:spacing w:before="156"/>
        <w:rPr>
          <w:color w:val="000000" w:themeColor="text1"/>
          <w:highlight w:val="none"/>
          <w14:textFill>
            <w14:solidFill>
              <w14:schemeClr w14:val="tx1"/>
            </w14:solidFill>
          </w14:textFill>
        </w:rPr>
      </w:pPr>
      <w:bookmarkStart w:id="702" w:name="_Ref4429542"/>
      <w:r>
        <w:rPr>
          <w:color w:val="000000" w:themeColor="text1"/>
          <w:highlight w:val="none"/>
          <w14:textFill>
            <w14:solidFill>
              <w14:schemeClr w14:val="tx1"/>
            </w14:solidFill>
          </w14:textFill>
        </w:rPr>
        <w:t xml:space="preserve">10.4.1 </w:t>
      </w:r>
      <w:r>
        <w:rPr>
          <w:rFonts w:hint="eastAsia"/>
          <w:color w:val="000000" w:themeColor="text1"/>
          <w:highlight w:val="none"/>
          <w14:textFill>
            <w14:solidFill>
              <w14:schemeClr w14:val="tx1"/>
            </w14:solidFill>
          </w14:textFill>
        </w:rPr>
        <w:t>除专用合同条件另有约定外，承包人应在竣工验收合格后向发包人提交第</w:t>
      </w:r>
      <w:r>
        <w:rPr>
          <w:color w:val="000000" w:themeColor="text1"/>
          <w:highlight w:val="none"/>
          <w14:textFill>
            <w14:solidFill>
              <w14:schemeClr w14:val="tx1"/>
            </w14:solidFill>
          </w14:textFill>
        </w:rPr>
        <w:t>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w:t>
      </w:r>
      <w:r>
        <w:rPr>
          <w:rFonts w:hint="eastAsia"/>
          <w:color w:val="000000" w:themeColor="text1"/>
          <w:highlight w:val="none"/>
          <w14:textFill>
            <w14:solidFill>
              <w14:schemeClr w14:val="tx1"/>
            </w14:solidFill>
          </w14:textFill>
        </w:rPr>
        <w:t>通知，说明理由并指出在颁发接收证书前承包人需要做的工作，需要修补的缺陷和承包人需要提供的文件。</w:t>
      </w:r>
      <w:bookmarkEnd w:id="702"/>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10.4.2 </w:t>
      </w:r>
      <w:r>
        <w:rPr>
          <w:rFonts w:hint="eastAsia"/>
          <w:color w:val="000000" w:themeColor="text1"/>
          <w:highlight w:val="none"/>
          <w14:textFill>
            <w14:solidFill>
              <w14:schemeClr w14:val="tx1"/>
            </w14:solidFill>
          </w14:textFill>
        </w:rPr>
        <w:t>发包人向承包人颁发的接收证书，应注明工程或单位</w:t>
      </w:r>
      <w:r>
        <w:rPr>
          <w:color w:val="000000" w:themeColor="text1"/>
          <w:highlight w:val="none"/>
          <w14:textFill>
            <w14:solidFill>
              <w14:schemeClr w14:val="tx1"/>
            </w14:solidFill>
          </w14:textFill>
        </w:rPr>
        <w:t>/区段（子项）工程经验收合格的实际竣工日期，并列明不在接收范围内的，在收尾工作和缺陷修补完成之前对工程或单位/区段（子项）工程预期使用目的没有实质影响的少量收尾工作和缺陷。</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10.4.3 </w:t>
      </w:r>
      <w:r>
        <w:rPr>
          <w:rFonts w:hint="eastAsia"/>
          <w:color w:val="000000" w:themeColor="text1"/>
          <w:highlight w:val="none"/>
          <w14:textFill>
            <w14:solidFill>
              <w14:schemeClr w14:val="tx1"/>
            </w14:solidFill>
          </w14:textFill>
        </w:rPr>
        <w:t>竣工验收合格而发包人无正当理由逾期不颁发工程接收证书的，自验收合格后第</w:t>
      </w:r>
      <w:r>
        <w:rPr>
          <w:color w:val="000000" w:themeColor="text1"/>
          <w:highlight w:val="none"/>
          <w14:textFill>
            <w14:solidFill>
              <w14:schemeClr w14:val="tx1"/>
            </w14:solidFill>
          </w14:textFill>
        </w:rPr>
        <w:t>15天起视为已颁发工程接收证书。</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10.4.4 </w:t>
      </w:r>
      <w:r>
        <w:rPr>
          <w:rFonts w:hint="eastAsia"/>
          <w:color w:val="000000" w:themeColor="text1"/>
          <w:highlight w:val="none"/>
          <w14:textFill>
            <w14:solidFill>
              <w14:schemeClr w14:val="tx1"/>
            </w14:solidFill>
          </w14:textFill>
        </w:rPr>
        <w:t>工程未经验收或验收不合格，发包人擅自使用的，应在转移占有工程后</w:t>
      </w:r>
      <w:r>
        <w:rPr>
          <w:color w:val="000000" w:themeColor="text1"/>
          <w:highlight w:val="none"/>
          <w14:textFill>
            <w14:solidFill>
              <w14:schemeClr w14:val="tx1"/>
            </w14:solidFill>
          </w14:textFill>
        </w:rPr>
        <w:t>7天内向承包人颁发工程接收证书；发包人无正当理由逾期不颁发工程接收证书的，自转移占有后第15天起视为已颁发工程接收证书。</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10.4.5 </w:t>
      </w:r>
      <w:r>
        <w:rPr>
          <w:rFonts w:hint="eastAsia"/>
          <w:color w:val="000000" w:themeColor="text1"/>
          <w:highlight w:val="none"/>
          <w14:textFill>
            <w14:solidFill>
              <w14:schemeClr w14:val="tx1"/>
            </w14:solidFill>
          </w14:textFill>
        </w:rPr>
        <w:t>存在扫尾工作的，工程接收证书中应当将第</w:t>
      </w:r>
      <w:r>
        <w:rPr>
          <w:color w:val="000000" w:themeColor="text1"/>
          <w:highlight w:val="none"/>
          <w14:textFill>
            <w14:solidFill>
              <w14:schemeClr w14:val="tx1"/>
            </w14:solidFill>
          </w14:textFill>
        </w:rPr>
        <w:t>14.5.3项[扫尾工作清单]中约定的扫尾工作清单作为工程接收证书附件。</w:t>
      </w:r>
    </w:p>
    <w:bookmarkEnd w:id="698"/>
    <w:bookmarkEnd w:id="699"/>
    <w:p>
      <w:pPr>
        <w:pStyle w:val="177"/>
        <w:spacing w:before="156"/>
        <w:rPr>
          <w:color w:val="000000" w:themeColor="text1"/>
          <w:highlight w:val="none"/>
          <w14:textFill>
            <w14:solidFill>
              <w14:schemeClr w14:val="tx1"/>
            </w14:solidFill>
          </w14:textFill>
        </w:rPr>
      </w:pPr>
      <w:bookmarkStart w:id="703" w:name="_Ref4429932"/>
      <w:bookmarkStart w:id="704" w:name="_Ref4429935"/>
      <w:bookmarkStart w:id="705" w:name="_Toc54862268"/>
      <w:bookmarkStart w:id="706" w:name="_Toc102745970"/>
      <w:r>
        <w:rPr>
          <w:color w:val="000000" w:themeColor="text1"/>
          <w:highlight w:val="none"/>
          <w14:textFill>
            <w14:solidFill>
              <w14:schemeClr w14:val="tx1"/>
            </w14:solidFill>
          </w14:textFill>
        </w:rPr>
        <w:t xml:space="preserve">10.5 </w:t>
      </w:r>
      <w:r>
        <w:rPr>
          <w:rFonts w:hint="eastAsia"/>
          <w:color w:val="000000" w:themeColor="text1"/>
          <w:highlight w:val="none"/>
          <w14:textFill>
            <w14:solidFill>
              <w14:schemeClr w14:val="tx1"/>
            </w14:solidFill>
          </w14:textFill>
        </w:rPr>
        <w:t>竣工退场</w:t>
      </w:r>
      <w:bookmarkEnd w:id="703"/>
      <w:bookmarkEnd w:id="704"/>
      <w:bookmarkEnd w:id="705"/>
      <w:bookmarkEnd w:id="706"/>
    </w:p>
    <w:p>
      <w:pPr>
        <w:pStyle w:val="169"/>
        <w:spacing w:before="156"/>
        <w:rPr>
          <w:color w:val="000000" w:themeColor="text1"/>
          <w:highlight w:val="none"/>
          <w14:textFill>
            <w14:solidFill>
              <w14:schemeClr w14:val="tx1"/>
            </w14:solidFill>
          </w14:textFill>
        </w:rPr>
      </w:pPr>
      <w:bookmarkStart w:id="707" w:name="_Ref4429943"/>
      <w:r>
        <w:rPr>
          <w:color w:val="000000" w:themeColor="text1"/>
          <w:highlight w:val="none"/>
          <w14:textFill>
            <w14:solidFill>
              <w14:schemeClr w14:val="tx1"/>
            </w14:solidFill>
          </w14:textFill>
        </w:rPr>
        <w:t xml:space="preserve">10.5.1 </w:t>
      </w:r>
      <w:r>
        <w:rPr>
          <w:rFonts w:hint="eastAsia"/>
          <w:color w:val="000000" w:themeColor="text1"/>
          <w:highlight w:val="none"/>
          <w14:textFill>
            <w14:solidFill>
              <w14:schemeClr w14:val="tx1"/>
            </w14:solidFill>
          </w14:textFill>
        </w:rPr>
        <w:t>竣工退场</w:t>
      </w:r>
      <w:bookmarkEnd w:id="70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颁发工程接收证书后，承包人应对施工现场进行清理，并撤离相关人员，使得施工现场处于以下状态，直至工程师检验合格为止：</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施工现场内残留的垃圾已全部清除出场；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临时工程已拆除，场地已按合同约定进行清理、平整或复原；</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按合同约定应撤离的人员、承包人提供的施工设备和剩余的材料，包括废弃的施工设备和材料，已按计划撤离施工现场；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施工现场周边及其附近道路、河道的施工堆积物，已全部清理；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施工现场其他竣工退场工作已全部完成。</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10.5.2 </w:t>
      </w:r>
      <w:r>
        <w:rPr>
          <w:rFonts w:hint="eastAsia"/>
          <w:color w:val="000000" w:themeColor="text1"/>
          <w:highlight w:val="none"/>
          <w14:textFill>
            <w14:solidFill>
              <w14:schemeClr w14:val="tx1"/>
            </w14:solidFill>
          </w14:textFill>
        </w:rPr>
        <w:t>地表还原</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承包人应按合同约定和工程师的要求恢复临时占地及清理场地，否则发包人有权委托其他人恢复或清理，所发生的费用由承包人承担。</w:t>
      </w:r>
    </w:p>
    <w:p>
      <w:pPr>
        <w:pStyle w:val="169"/>
        <w:spacing w:before="156"/>
        <w:rPr>
          <w:color w:val="000000" w:themeColor="text1"/>
          <w:highlight w:val="none"/>
          <w14:textFill>
            <w14:solidFill>
              <w14:schemeClr w14:val="tx1"/>
            </w14:solidFill>
          </w14:textFill>
        </w:rPr>
      </w:pPr>
      <w:bookmarkStart w:id="708" w:name="_Ref20159437"/>
      <w:r>
        <w:rPr>
          <w:color w:val="000000" w:themeColor="text1"/>
          <w:highlight w:val="none"/>
          <w14:textFill>
            <w14:solidFill>
              <w14:schemeClr w14:val="tx1"/>
            </w14:solidFill>
          </w14:textFill>
        </w:rPr>
        <w:t xml:space="preserve">10.5.3 </w:t>
      </w:r>
      <w:r>
        <w:rPr>
          <w:rFonts w:hint="eastAsia"/>
          <w:color w:val="000000" w:themeColor="text1"/>
          <w:highlight w:val="none"/>
          <w14:textFill>
            <w14:solidFill>
              <w14:schemeClr w14:val="tx1"/>
            </w14:solidFill>
          </w14:textFill>
        </w:rPr>
        <w:t>人员撤离</w:t>
      </w:r>
      <w:bookmarkEnd w:id="70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555"/>
    </w:p>
    <w:p>
      <w:pPr>
        <w:pStyle w:val="201"/>
        <w:rPr>
          <w:color w:val="000000" w:themeColor="text1"/>
          <w:highlight w:val="none"/>
          <w14:textFill>
            <w14:solidFill>
              <w14:schemeClr w14:val="tx1"/>
            </w14:solidFill>
          </w14:textFill>
        </w:rPr>
      </w:pPr>
      <w:bookmarkStart w:id="709" w:name="_Toc21064"/>
      <w:bookmarkStart w:id="710" w:name="_Toc5019"/>
      <w:bookmarkStart w:id="711" w:name="_Toc4996"/>
      <w:bookmarkStart w:id="712" w:name="_Toc2398"/>
      <w:bookmarkStart w:id="713" w:name="_Toc102745971"/>
      <w:bookmarkStart w:id="714" w:name="_Ref4796906"/>
      <w:bookmarkStart w:id="715" w:name="_Toc54862269"/>
      <w:bookmarkStart w:id="716" w:name="_Ref531955009"/>
      <w:bookmarkStart w:id="717" w:name="_Toc8133"/>
      <w:bookmarkStart w:id="718" w:name="_Toc10808"/>
      <w:bookmarkStart w:id="719" w:name="_Ref4796909"/>
      <w:bookmarkStart w:id="720" w:name="_Toc7979"/>
      <w:bookmarkStart w:id="721" w:name="_Toc1161"/>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11条 </w:t>
      </w:r>
      <w:r>
        <w:rPr>
          <w:rFonts w:hint="eastAsia"/>
          <w:color w:val="000000" w:themeColor="text1"/>
          <w:highlight w:val="none"/>
          <w14:textFill>
            <w14:solidFill>
              <w14:schemeClr w14:val="tx1"/>
            </w14:solidFill>
          </w14:textFill>
        </w:rPr>
        <w:t>缺陷责任与保修</w:t>
      </w:r>
      <w:bookmarkEnd w:id="709"/>
      <w:bookmarkEnd w:id="710"/>
      <w:bookmarkEnd w:id="711"/>
      <w:bookmarkEnd w:id="712"/>
      <w:bookmarkEnd w:id="713"/>
      <w:bookmarkEnd w:id="714"/>
      <w:bookmarkEnd w:id="715"/>
      <w:bookmarkEnd w:id="716"/>
      <w:bookmarkEnd w:id="717"/>
      <w:bookmarkEnd w:id="718"/>
      <w:bookmarkEnd w:id="719"/>
      <w:bookmarkEnd w:id="720"/>
      <w:bookmarkEnd w:id="721"/>
    </w:p>
    <w:p>
      <w:pPr>
        <w:pStyle w:val="177"/>
        <w:spacing w:before="156"/>
        <w:rPr>
          <w:color w:val="000000" w:themeColor="text1"/>
          <w:highlight w:val="none"/>
          <w14:textFill>
            <w14:solidFill>
              <w14:schemeClr w14:val="tx1"/>
            </w14:solidFill>
          </w14:textFill>
        </w:rPr>
      </w:pPr>
      <w:bookmarkStart w:id="722" w:name="_Toc54862270"/>
      <w:bookmarkStart w:id="723" w:name="_Toc102745972"/>
      <w:bookmarkStart w:id="724" w:name="_Ref531955248"/>
      <w:bookmarkStart w:id="725" w:name="_Ref531955245"/>
      <w:bookmarkStart w:id="726" w:name="_Ref532362928"/>
      <w:bookmarkStart w:id="727" w:name="_Toc296503147"/>
      <w:bookmarkStart w:id="728" w:name="_Toc296346648"/>
      <w:bookmarkStart w:id="729" w:name="_Toc337558841"/>
      <w:r>
        <w:rPr>
          <w:rFonts w:hint="eastAsia"/>
          <w:color w:val="000000" w:themeColor="text1"/>
          <w:highlight w:val="none"/>
          <w14:textFill>
            <w14:solidFill>
              <w14:schemeClr w14:val="tx1"/>
            </w14:solidFill>
          </w14:textFill>
        </w:rPr>
        <w:t>11.1 工程保修的原则</w:t>
      </w:r>
      <w:bookmarkEnd w:id="722"/>
      <w:bookmarkEnd w:id="72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pPr>
        <w:pStyle w:val="177"/>
        <w:spacing w:before="156"/>
        <w:rPr>
          <w:color w:val="000000" w:themeColor="text1"/>
          <w:highlight w:val="none"/>
          <w14:textFill>
            <w14:solidFill>
              <w14:schemeClr w14:val="tx1"/>
            </w14:solidFill>
          </w14:textFill>
        </w:rPr>
      </w:pPr>
      <w:bookmarkStart w:id="730" w:name="_Toc54862271"/>
      <w:bookmarkStart w:id="731" w:name="_Toc102745973"/>
      <w:bookmarkStart w:id="732" w:name="_Ref4430062"/>
      <w:r>
        <w:rPr>
          <w:rFonts w:hint="eastAsia"/>
          <w:color w:val="000000" w:themeColor="text1"/>
          <w:highlight w:val="none"/>
          <w14:textFill>
            <w14:solidFill>
              <w14:schemeClr w14:val="tx1"/>
            </w14:solidFill>
          </w14:textFill>
        </w:rPr>
        <w:t>11.2 缺陷责任</w:t>
      </w:r>
      <w:bookmarkEnd w:id="724"/>
      <w:bookmarkEnd w:id="725"/>
      <w:r>
        <w:rPr>
          <w:rFonts w:hint="eastAsia"/>
          <w:color w:val="000000" w:themeColor="text1"/>
          <w:highlight w:val="none"/>
          <w14:textFill>
            <w14:solidFill>
              <w14:schemeClr w14:val="tx1"/>
            </w14:solidFill>
          </w14:textFill>
        </w:rPr>
        <w:t>期</w:t>
      </w:r>
      <w:bookmarkEnd w:id="726"/>
      <w:bookmarkEnd w:id="730"/>
      <w:bookmarkEnd w:id="731"/>
      <w:bookmarkEnd w:id="73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缺陷责任期原则上从工程竣工验收合格之日起计算，合同当事人应在专用合同条件约定缺陷责任期的具体期限，但该期限最长不超过24个月。</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单位/区段（子项）工程先于全部工程进行验收，经验收合格并交付使用的，该单位/区段（子项）工程缺陷责任期自单位/区段（子项）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177"/>
        <w:spacing w:before="156"/>
        <w:rPr>
          <w:color w:val="000000" w:themeColor="text1"/>
          <w:highlight w:val="none"/>
          <w14:textFill>
            <w14:solidFill>
              <w14:schemeClr w14:val="tx1"/>
            </w14:solidFill>
          </w14:textFill>
        </w:rPr>
      </w:pPr>
      <w:bookmarkStart w:id="733" w:name="_Toc54862272"/>
      <w:bookmarkStart w:id="734" w:name="_Ref532662491"/>
      <w:bookmarkStart w:id="735" w:name="_Ref532662486"/>
      <w:bookmarkStart w:id="736" w:name="_Toc102745974"/>
      <w:r>
        <w:rPr>
          <w:rFonts w:hint="eastAsia"/>
          <w:color w:val="000000" w:themeColor="text1"/>
          <w:highlight w:val="none"/>
          <w14:textFill>
            <w14:solidFill>
              <w14:schemeClr w14:val="tx1"/>
            </w14:solidFill>
          </w14:textFill>
        </w:rPr>
        <w:t>11.3 缺陷调查</w:t>
      </w:r>
      <w:bookmarkEnd w:id="733"/>
      <w:bookmarkEnd w:id="734"/>
      <w:bookmarkEnd w:id="735"/>
      <w:bookmarkEnd w:id="736"/>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11.3.1 承包人缺陷调查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11.3.2 缺陷责任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11.3.3 修复费用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发包人和承包人应共同查清缺陷或损坏的原因。经查明属承包人原因造成的，应由承包人承担修复的费用。经查验非承包人原因造成的，发包人应承担修复的费用，并支付承包人合理利润。</w:t>
      </w:r>
    </w:p>
    <w:p>
      <w:pPr>
        <w:pStyle w:val="169"/>
        <w:spacing w:before="156"/>
        <w:rPr>
          <w:color w:val="000000" w:themeColor="text1"/>
          <w:highlight w:val="none"/>
          <w14:textFill>
            <w14:solidFill>
              <w14:schemeClr w14:val="tx1"/>
            </w14:solidFill>
          </w14:textFill>
        </w:rPr>
      </w:pPr>
      <w:bookmarkStart w:id="737" w:name="_Ref531955041"/>
      <w:r>
        <w:rPr>
          <w:rFonts w:hint="eastAsia"/>
          <w:color w:val="000000" w:themeColor="text1"/>
          <w:highlight w:val="none"/>
          <w14:textFill>
            <w14:solidFill>
              <w14:schemeClr w14:val="tx1"/>
            </w14:solidFill>
          </w14:textFill>
        </w:rPr>
        <w:t>11.3.4 修复通知</w:t>
      </w:r>
      <w:bookmarkEnd w:id="73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11.3.5 在现场外修复</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184"/>
        <w:ind w:firstLine="480"/>
        <w:rPr>
          <w:color w:val="000000" w:themeColor="text1"/>
          <w:highlight w:val="none"/>
          <w14:textFill>
            <w14:solidFill>
              <w14:schemeClr w14:val="tx1"/>
            </w14:solidFill>
          </w14:textFill>
        </w:rPr>
      </w:pPr>
      <w:bookmarkStart w:id="738" w:name="_Ref4534291"/>
      <w:bookmarkStart w:id="739" w:name="_Hlk51506786"/>
      <w:r>
        <w:rPr>
          <w:rFonts w:hint="eastAsia"/>
          <w:color w:val="000000" w:themeColor="text1"/>
          <w:highlight w:val="none"/>
          <w14:textFill>
            <w14:solidFill>
              <w14:schemeClr w14:val="tx1"/>
            </w14:solidFill>
          </w14:textFill>
        </w:rPr>
        <w:t>11.3.6 未能修复</w:t>
      </w:r>
      <w:bookmarkEnd w:id="738"/>
    </w:p>
    <w:bookmarkEnd w:id="739"/>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如果工程或工程设备的缺陷或损害使发包人实质上失去了工程的整体功能，发包人有权向承包人追回已支付的工程款项，并要求其赔偿发包人相应损失。</w:t>
      </w:r>
    </w:p>
    <w:bookmarkEnd w:id="727"/>
    <w:bookmarkEnd w:id="728"/>
    <w:bookmarkEnd w:id="729"/>
    <w:p>
      <w:pPr>
        <w:pStyle w:val="177"/>
        <w:spacing w:before="156"/>
        <w:rPr>
          <w:color w:val="000000" w:themeColor="text1"/>
          <w:highlight w:val="none"/>
          <w14:textFill>
            <w14:solidFill>
              <w14:schemeClr w14:val="tx1"/>
            </w14:solidFill>
          </w14:textFill>
        </w:rPr>
      </w:pPr>
      <w:bookmarkStart w:id="740" w:name="_Ref532662554"/>
      <w:bookmarkStart w:id="741" w:name="_Toc102745975"/>
      <w:bookmarkStart w:id="742" w:name="_Ref532662552"/>
      <w:bookmarkStart w:id="743" w:name="_Toc54862273"/>
      <w:r>
        <w:rPr>
          <w:rFonts w:hint="eastAsia"/>
          <w:color w:val="000000" w:themeColor="text1"/>
          <w:highlight w:val="none"/>
          <w14:textFill>
            <w14:solidFill>
              <w14:schemeClr w14:val="tx1"/>
            </w14:solidFill>
          </w14:textFill>
        </w:rPr>
        <w:t>11.4 缺陷修复后的进一步试验</w:t>
      </w:r>
      <w:bookmarkEnd w:id="740"/>
      <w:bookmarkEnd w:id="741"/>
      <w:bookmarkEnd w:id="742"/>
      <w:bookmarkEnd w:id="74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所有的重复试验应按照适用于先前试验的条款进行，但应由责任方承担修补工作的成本和重新试验的风险和费用。</w:t>
      </w:r>
    </w:p>
    <w:p>
      <w:pPr>
        <w:pStyle w:val="177"/>
        <w:spacing w:before="156"/>
        <w:rPr>
          <w:color w:val="000000" w:themeColor="text1"/>
          <w:highlight w:val="none"/>
          <w14:textFill>
            <w14:solidFill>
              <w14:schemeClr w14:val="tx1"/>
            </w14:solidFill>
          </w14:textFill>
        </w:rPr>
      </w:pPr>
      <w:bookmarkStart w:id="744" w:name="_Toc102745976"/>
      <w:bookmarkStart w:id="745" w:name="_Toc54862274"/>
      <w:r>
        <w:rPr>
          <w:rFonts w:hint="eastAsia"/>
          <w:color w:val="000000" w:themeColor="text1"/>
          <w:highlight w:val="none"/>
          <w14:textFill>
            <w14:solidFill>
              <w14:schemeClr w14:val="tx1"/>
            </w14:solidFill>
          </w14:textFill>
        </w:rPr>
        <w:t>11.5 承包人出入权</w:t>
      </w:r>
      <w:bookmarkEnd w:id="744"/>
      <w:bookmarkEnd w:id="74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177"/>
        <w:spacing w:before="156"/>
        <w:rPr>
          <w:color w:val="000000" w:themeColor="text1"/>
          <w:highlight w:val="none"/>
          <w14:textFill>
            <w14:solidFill>
              <w14:schemeClr w14:val="tx1"/>
            </w14:solidFill>
          </w14:textFill>
        </w:rPr>
      </w:pPr>
      <w:bookmarkStart w:id="746" w:name="_Toc54862275"/>
      <w:bookmarkStart w:id="747" w:name="_Toc102745977"/>
      <w:bookmarkStart w:id="748" w:name="_Ref4430223"/>
      <w:bookmarkStart w:id="749" w:name="_Ref4430229"/>
      <w:r>
        <w:rPr>
          <w:rFonts w:hint="eastAsia"/>
          <w:color w:val="000000" w:themeColor="text1"/>
          <w:highlight w:val="none"/>
          <w14:textFill>
            <w14:solidFill>
              <w14:schemeClr w14:val="tx1"/>
            </w14:solidFill>
          </w14:textFill>
        </w:rPr>
        <w:t>11.6 缺陷责任期终止证书</w:t>
      </w:r>
      <w:bookmarkEnd w:id="746"/>
      <w:bookmarkEnd w:id="747"/>
      <w:bookmarkEnd w:id="748"/>
      <w:bookmarkEnd w:id="74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w:t>
      </w:r>
      <w:bookmarkStart w:id="750" w:name="_Hlk4686672"/>
      <w:r>
        <w:rPr>
          <w:rFonts w:hint="eastAsia" w:ascii="宋体"/>
          <w:color w:val="000000" w:themeColor="text1"/>
          <w:sz w:val="24"/>
          <w:szCs w:val="28"/>
          <w:highlight w:val="none"/>
          <w14:textFill>
            <w14:solidFill>
              <w14:schemeClr w14:val="tx1"/>
            </w14:solidFill>
          </w14:textFill>
        </w:rPr>
        <w:t>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bookmarkEnd w:id="75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如根据第10.5.3项[人员撤离]承包人在施工现场还留有人员、施工设备和临时工程的，承包人应当在收到缺陷责任期终止证书后28天内，将上述人员、施工设备和临时工程撤离施工现场。</w:t>
      </w:r>
    </w:p>
    <w:p>
      <w:pPr>
        <w:pStyle w:val="177"/>
        <w:spacing w:before="156"/>
        <w:rPr>
          <w:color w:val="000000" w:themeColor="text1"/>
          <w:highlight w:val="none"/>
          <w14:textFill>
            <w14:solidFill>
              <w14:schemeClr w14:val="tx1"/>
            </w14:solidFill>
          </w14:textFill>
        </w:rPr>
      </w:pPr>
      <w:bookmarkStart w:id="751" w:name="_Toc102745978"/>
      <w:bookmarkStart w:id="752" w:name="_Ref4430272"/>
      <w:bookmarkStart w:id="753" w:name="_Toc54862276"/>
      <w:r>
        <w:rPr>
          <w:rFonts w:hint="eastAsia"/>
          <w:color w:val="000000" w:themeColor="text1"/>
          <w:highlight w:val="none"/>
          <w14:textFill>
            <w14:solidFill>
              <w14:schemeClr w14:val="tx1"/>
            </w14:solidFill>
          </w14:textFill>
        </w:rPr>
        <w:t>11.7 保修责任</w:t>
      </w:r>
      <w:bookmarkEnd w:id="751"/>
      <w:bookmarkEnd w:id="752"/>
      <w:bookmarkEnd w:id="75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因承包人原因导致的质量缺陷责任，由合同当事人根据有关法律规定，在专用合同条件和工程质量保修书中约定工程质量保修范围、期限和责任。</w:t>
      </w:r>
      <w:bookmarkEnd w:id="536"/>
      <w:bookmarkStart w:id="754" w:name="_Ref531957860"/>
      <w:bookmarkStart w:id="755" w:name="_Ref531958289"/>
    </w:p>
    <w:bookmarkEnd w:id="754"/>
    <w:p>
      <w:pPr>
        <w:pStyle w:val="201"/>
        <w:rPr>
          <w:color w:val="000000" w:themeColor="text1"/>
          <w:highlight w:val="none"/>
          <w14:textFill>
            <w14:solidFill>
              <w14:schemeClr w14:val="tx1"/>
            </w14:solidFill>
          </w14:textFill>
        </w:rPr>
      </w:pPr>
      <w:bookmarkStart w:id="756" w:name="_Toc32254"/>
      <w:bookmarkStart w:id="757" w:name="_Toc10399"/>
      <w:bookmarkStart w:id="758" w:name="_Ref4621057"/>
      <w:bookmarkStart w:id="759" w:name="_Toc29636"/>
      <w:bookmarkStart w:id="760" w:name="_Ref4621065"/>
      <w:bookmarkStart w:id="761" w:name="_Toc11057"/>
      <w:bookmarkStart w:id="762" w:name="_Toc102745979"/>
      <w:bookmarkStart w:id="763" w:name="_Toc54862277"/>
      <w:bookmarkStart w:id="764" w:name="_Toc31912"/>
      <w:bookmarkStart w:id="765" w:name="_Toc14588"/>
      <w:bookmarkStart w:id="766" w:name="_Toc12084"/>
      <w:bookmarkStart w:id="767" w:name="_Toc3565"/>
      <w:bookmarkStart w:id="768" w:name="_Ref4796958"/>
      <w:bookmarkStart w:id="769" w:name="_Ref4796955"/>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12条 </w:t>
      </w:r>
      <w:r>
        <w:rPr>
          <w:rFonts w:hint="eastAsia"/>
          <w:color w:val="000000" w:themeColor="text1"/>
          <w:highlight w:val="none"/>
          <w14:textFill>
            <w14:solidFill>
              <w14:schemeClr w14:val="tx1"/>
            </w14:solidFill>
          </w14:textFill>
        </w:rPr>
        <w:t>竣工后试验</w:t>
      </w:r>
      <w:bookmarkEnd w:id="756"/>
      <w:bookmarkEnd w:id="757"/>
      <w:bookmarkEnd w:id="758"/>
      <w:bookmarkEnd w:id="759"/>
      <w:bookmarkEnd w:id="760"/>
      <w:bookmarkEnd w:id="761"/>
      <w:bookmarkEnd w:id="762"/>
      <w:bookmarkEnd w:id="763"/>
      <w:bookmarkEnd w:id="764"/>
      <w:bookmarkEnd w:id="765"/>
      <w:bookmarkEnd w:id="766"/>
      <w:bookmarkEnd w:id="76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本合同工程包含竣工后试验的，遵守本条约定。</w:t>
      </w:r>
    </w:p>
    <w:p>
      <w:pPr>
        <w:pStyle w:val="177"/>
        <w:spacing w:before="156"/>
        <w:rPr>
          <w:color w:val="000000" w:themeColor="text1"/>
          <w:highlight w:val="none"/>
          <w14:textFill>
            <w14:solidFill>
              <w14:schemeClr w14:val="tx1"/>
            </w14:solidFill>
          </w14:textFill>
        </w:rPr>
      </w:pPr>
      <w:bookmarkStart w:id="770" w:name="_Ref531954604"/>
      <w:bookmarkStart w:id="771" w:name="_Ref531954601"/>
      <w:bookmarkStart w:id="772" w:name="_Ref531954694"/>
      <w:bookmarkStart w:id="773" w:name="_Toc54862278"/>
      <w:bookmarkStart w:id="774" w:name="_Toc102745980"/>
      <w:bookmarkStart w:id="775" w:name="_Hlk522259976"/>
      <w:r>
        <w:rPr>
          <w:rFonts w:hint="eastAsia"/>
          <w:color w:val="000000" w:themeColor="text1"/>
          <w:highlight w:val="none"/>
          <w14:textFill>
            <w14:solidFill>
              <w14:schemeClr w14:val="tx1"/>
            </w14:solidFill>
          </w14:textFill>
        </w:rPr>
        <w:t>12.1 竣工后试验</w:t>
      </w:r>
      <w:bookmarkEnd w:id="770"/>
      <w:bookmarkEnd w:id="771"/>
      <w:r>
        <w:rPr>
          <w:rFonts w:hint="eastAsia"/>
          <w:color w:val="000000" w:themeColor="text1"/>
          <w:highlight w:val="none"/>
          <w14:textFill>
            <w14:solidFill>
              <w14:schemeClr w14:val="tx1"/>
            </w14:solidFill>
          </w14:textFill>
        </w:rPr>
        <w:t>的程序</w:t>
      </w:r>
      <w:bookmarkEnd w:id="772"/>
      <w:bookmarkEnd w:id="773"/>
      <w:bookmarkEnd w:id="774"/>
    </w:p>
    <w:p>
      <w:pPr>
        <w:pStyle w:val="169"/>
        <w:spacing w:before="156"/>
        <w:rPr>
          <w:color w:val="000000" w:themeColor="text1"/>
          <w:highlight w:val="none"/>
          <w14:textFill>
            <w14:solidFill>
              <w14:schemeClr w14:val="tx1"/>
            </w14:solidFill>
          </w14:textFill>
        </w:rPr>
      </w:pPr>
      <w:bookmarkStart w:id="776" w:name="_Ref11920184"/>
      <w:r>
        <w:rPr>
          <w:rFonts w:hint="eastAsia"/>
          <w:color w:val="000000" w:themeColor="text1"/>
          <w:highlight w:val="none"/>
          <w14:textFill>
            <w14:solidFill>
              <w14:schemeClr w14:val="tx1"/>
            </w14:solidFill>
          </w14:textFill>
        </w:rPr>
        <w:t>12.1.1 工程或区段（子项）工程被发包人接收后，在合理可行的情况下应根据合同约定尽早进行竣工后试验。</w:t>
      </w:r>
      <w:bookmarkEnd w:id="776"/>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169"/>
        <w:spacing w:before="156"/>
        <w:rPr>
          <w:color w:val="000000" w:themeColor="text1"/>
          <w:highlight w:val="none"/>
          <w14:textFill>
            <w14:solidFill>
              <w14:schemeClr w14:val="tx1"/>
            </w14:solidFill>
          </w14:textFill>
        </w:rPr>
      </w:pPr>
      <w:bookmarkStart w:id="777" w:name="_Ref11920162"/>
      <w:r>
        <w:rPr>
          <w:rFonts w:hint="eastAsia"/>
          <w:color w:val="000000" w:themeColor="text1"/>
          <w:highlight w:val="none"/>
          <w14:textFill>
            <w14:solidFill>
              <w14:schemeClr w14:val="tx1"/>
            </w14:solidFill>
          </w14:textFill>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777"/>
    </w:p>
    <w:p>
      <w:pPr>
        <w:pStyle w:val="169"/>
        <w:spacing w:before="156"/>
        <w:rPr>
          <w:color w:val="000000" w:themeColor="text1"/>
          <w:highlight w:val="none"/>
          <w14:textFill>
            <w14:solidFill>
              <w14:schemeClr w14:val="tx1"/>
            </w14:solidFill>
          </w14:textFill>
        </w:rPr>
      </w:pPr>
      <w:bookmarkStart w:id="778" w:name="_Ref11920146"/>
      <w:r>
        <w:rPr>
          <w:rFonts w:hint="eastAsia"/>
          <w:color w:val="000000" w:themeColor="text1"/>
          <w:highlight w:val="none"/>
          <w14:textFill>
            <w14:solidFill>
              <w14:schemeClr w14:val="tx1"/>
            </w14:solidFill>
          </w14:textFill>
        </w:rPr>
        <w:t>12.1.4 发包人应根据发包人要求、承包人按照第5.5款</w:t>
      </w:r>
      <w:bookmarkStart w:id="779" w:name="_Hlk18943978"/>
      <w:r>
        <w:rPr>
          <w:rFonts w:hint="eastAsia"/>
          <w:color w:val="000000" w:themeColor="text1"/>
          <w:highlight w:val="none"/>
          <w14:textFill>
            <w14:solidFill>
              <w14:schemeClr w14:val="tx1"/>
            </w14:solidFill>
          </w14:textFill>
        </w:rPr>
        <w:t>[操作和维修手册]</w:t>
      </w:r>
      <w:bookmarkEnd w:id="779"/>
      <w:r>
        <w:rPr>
          <w:rFonts w:hint="eastAsia"/>
          <w:color w:val="000000" w:themeColor="text1"/>
          <w:highlight w:val="none"/>
          <w14:textFill>
            <w14:solidFill>
              <w14:schemeClr w14:val="tx1"/>
            </w14:solidFill>
          </w14:textFill>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778"/>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12.1.5 竣工后试验的结果应由双方进行整理和评价，并应适当考虑发包人对工程或其任何部分的使用，对工程或区段（子项）工程的性能、特性和试验结果产生的影响。</w:t>
      </w:r>
    </w:p>
    <w:p>
      <w:pPr>
        <w:pStyle w:val="177"/>
        <w:spacing w:before="156"/>
        <w:rPr>
          <w:color w:val="000000" w:themeColor="text1"/>
          <w:highlight w:val="none"/>
          <w14:textFill>
            <w14:solidFill>
              <w14:schemeClr w14:val="tx1"/>
            </w14:solidFill>
          </w14:textFill>
        </w:rPr>
      </w:pPr>
      <w:bookmarkStart w:id="780" w:name="_Ref531954785"/>
      <w:bookmarkStart w:id="781" w:name="_Toc102745981"/>
      <w:bookmarkStart w:id="782" w:name="_Toc54862279"/>
      <w:bookmarkStart w:id="783" w:name="_Ref531954781"/>
      <w:r>
        <w:rPr>
          <w:rFonts w:hint="eastAsia"/>
          <w:color w:val="000000" w:themeColor="text1"/>
          <w:highlight w:val="none"/>
          <w14:textFill>
            <w14:solidFill>
              <w14:schemeClr w14:val="tx1"/>
            </w14:solidFill>
          </w14:textFill>
        </w:rPr>
        <w:t>12.2 延误的试验</w:t>
      </w:r>
      <w:bookmarkEnd w:id="780"/>
      <w:bookmarkEnd w:id="781"/>
      <w:bookmarkEnd w:id="782"/>
      <w:bookmarkEnd w:id="783"/>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12.2.1 如果竣工后试验因发包人原因被延误的，发包人应承担承包人由此增加的费用并支付承包人合理利润。</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12.2.2 如果因承包人以外的原因，导致竣工后试验未能在缺陷责任期或双方另行同意的其他期限内完成，则相关工程或区段（子项）工程应视为已通过该竣工后试验。</w:t>
      </w:r>
    </w:p>
    <w:p>
      <w:pPr>
        <w:pStyle w:val="177"/>
        <w:spacing w:before="156"/>
        <w:rPr>
          <w:color w:val="000000" w:themeColor="text1"/>
          <w:highlight w:val="none"/>
          <w14:textFill>
            <w14:solidFill>
              <w14:schemeClr w14:val="tx1"/>
            </w14:solidFill>
          </w14:textFill>
        </w:rPr>
      </w:pPr>
      <w:bookmarkStart w:id="784" w:name="_Toc102745982"/>
      <w:bookmarkStart w:id="785" w:name="_Toc54862280"/>
      <w:r>
        <w:rPr>
          <w:rFonts w:hint="eastAsia"/>
          <w:color w:val="000000" w:themeColor="text1"/>
          <w:highlight w:val="none"/>
          <w14:textFill>
            <w14:solidFill>
              <w14:schemeClr w14:val="tx1"/>
            </w14:solidFill>
          </w14:textFill>
        </w:rPr>
        <w:t>12.3 重新试验</w:t>
      </w:r>
      <w:bookmarkEnd w:id="784"/>
      <w:bookmarkEnd w:id="78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工程或区段（子项）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bookmarkEnd w:id="775"/>
    <w:p>
      <w:pPr>
        <w:pStyle w:val="177"/>
        <w:spacing w:before="156"/>
        <w:rPr>
          <w:color w:val="000000" w:themeColor="text1"/>
          <w:highlight w:val="none"/>
          <w14:textFill>
            <w14:solidFill>
              <w14:schemeClr w14:val="tx1"/>
            </w14:solidFill>
          </w14:textFill>
        </w:rPr>
      </w:pPr>
      <w:bookmarkStart w:id="786" w:name="_Toc54862281"/>
      <w:bookmarkStart w:id="787" w:name="_Ref531954811"/>
      <w:bookmarkStart w:id="788" w:name="_Toc102745983"/>
      <w:bookmarkStart w:id="789" w:name="_Ref531954819"/>
      <w:r>
        <w:rPr>
          <w:rFonts w:hint="eastAsia"/>
          <w:color w:val="000000" w:themeColor="text1"/>
          <w:highlight w:val="none"/>
          <w14:textFill>
            <w14:solidFill>
              <w14:schemeClr w14:val="tx1"/>
            </w14:solidFill>
          </w14:textFill>
        </w:rPr>
        <w:t>12.4 未能通过竣工后试验</w:t>
      </w:r>
      <w:bookmarkEnd w:id="786"/>
      <w:bookmarkEnd w:id="787"/>
      <w:bookmarkEnd w:id="788"/>
      <w:bookmarkEnd w:id="789"/>
    </w:p>
    <w:p>
      <w:pPr>
        <w:pStyle w:val="169"/>
        <w:spacing w:before="156"/>
        <w:rPr>
          <w:color w:val="000000" w:themeColor="text1"/>
          <w:highlight w:val="none"/>
          <w14:textFill>
            <w14:solidFill>
              <w14:schemeClr w14:val="tx1"/>
            </w14:solidFill>
          </w14:textFill>
        </w:rPr>
      </w:pPr>
      <w:bookmarkStart w:id="790" w:name="_Ref531954829"/>
      <w:r>
        <w:rPr>
          <w:rFonts w:hint="eastAsia"/>
          <w:color w:val="000000" w:themeColor="text1"/>
          <w:highlight w:val="none"/>
          <w14:textFill>
            <w14:solidFill>
              <w14:schemeClr w14:val="tx1"/>
            </w14:solidFill>
          </w14:textFill>
        </w:rPr>
        <w:t>12.4.1 工程或区段（子项）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790"/>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12.4.2 对未能通过竣工后试验的工程或区段（子项）工程，承包人可向发包人建议，由承包人对该工程或区段（子项）工程进行调整或修补。发包人收到建议后，可向承包人发出通知，指示其在发包人方便的合理时间进入工程或区段（子项）工程进行调查、调整或修补，并为承包人的进入提供方便。承包人提出建议，但未在缺陷责任期内收到上述发包人通知的，相关工程或区段（子项）工程应视为已通过该竣工后试验。</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12.4.3 发包人无故拖延给予承包人进行调查、调整或修补所需的进入工程或区段（子项）工程的许可，并造成承包人费用增加的，应承担由此增加的费用并支付承包人合理利润。</w:t>
      </w:r>
    </w:p>
    <w:p>
      <w:pPr>
        <w:pStyle w:val="201"/>
        <w:rPr>
          <w:color w:val="000000" w:themeColor="text1"/>
          <w:highlight w:val="none"/>
          <w14:textFill>
            <w14:solidFill>
              <w14:schemeClr w14:val="tx1"/>
            </w14:solidFill>
          </w14:textFill>
        </w:rPr>
      </w:pPr>
      <w:bookmarkStart w:id="791" w:name="_Toc9633"/>
      <w:bookmarkStart w:id="792" w:name="_Toc23358"/>
      <w:bookmarkStart w:id="793" w:name="_Toc24538"/>
      <w:bookmarkStart w:id="794" w:name="_Toc102745984"/>
      <w:bookmarkStart w:id="795" w:name="_Toc9320"/>
      <w:bookmarkStart w:id="796" w:name="_Toc31259"/>
      <w:bookmarkStart w:id="797" w:name="_Toc1625"/>
      <w:bookmarkStart w:id="798" w:name="_Toc11981"/>
      <w:bookmarkStart w:id="799" w:name="_Toc31559"/>
      <w:bookmarkStart w:id="800" w:name="_Ref4415801"/>
      <w:bookmarkStart w:id="801" w:name="_Toc54862282"/>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13条 </w:t>
      </w:r>
      <w:r>
        <w:rPr>
          <w:rFonts w:hint="eastAsia"/>
          <w:color w:val="000000" w:themeColor="text1"/>
          <w:highlight w:val="none"/>
          <w14:textFill>
            <w14:solidFill>
              <w14:schemeClr w14:val="tx1"/>
            </w14:solidFill>
          </w14:textFill>
        </w:rPr>
        <w:t>变更与调整</w:t>
      </w:r>
      <w:bookmarkEnd w:id="791"/>
      <w:bookmarkEnd w:id="792"/>
      <w:bookmarkEnd w:id="793"/>
      <w:bookmarkEnd w:id="794"/>
      <w:bookmarkEnd w:id="795"/>
      <w:bookmarkEnd w:id="796"/>
      <w:bookmarkEnd w:id="797"/>
      <w:bookmarkEnd w:id="798"/>
      <w:bookmarkEnd w:id="799"/>
      <w:bookmarkEnd w:id="800"/>
      <w:bookmarkEnd w:id="801"/>
    </w:p>
    <w:p>
      <w:pPr>
        <w:pStyle w:val="177"/>
        <w:spacing w:before="156"/>
        <w:rPr>
          <w:color w:val="000000" w:themeColor="text1"/>
          <w:highlight w:val="none"/>
          <w14:textFill>
            <w14:solidFill>
              <w14:schemeClr w14:val="tx1"/>
            </w14:solidFill>
          </w14:textFill>
        </w:rPr>
      </w:pPr>
      <w:bookmarkStart w:id="802" w:name="_Ref532670395"/>
      <w:bookmarkStart w:id="803" w:name="_Toc54862283"/>
      <w:bookmarkStart w:id="804" w:name="_Ref532670393"/>
      <w:bookmarkStart w:id="805" w:name="_Ref532668573"/>
      <w:bookmarkStart w:id="806" w:name="_Toc102745985"/>
      <w:bookmarkStart w:id="807" w:name="_Ref532677087"/>
      <w:bookmarkStart w:id="808" w:name="_Ref532677084"/>
      <w:bookmarkStart w:id="809" w:name="_Ref532668569"/>
      <w:r>
        <w:rPr>
          <w:rFonts w:hint="eastAsia"/>
          <w:color w:val="000000" w:themeColor="text1"/>
          <w:highlight w:val="none"/>
          <w14:textFill>
            <w14:solidFill>
              <w14:schemeClr w14:val="tx1"/>
            </w14:solidFill>
          </w14:textFill>
        </w:rPr>
        <w:t>13.1 发包人变更权</w:t>
      </w:r>
      <w:bookmarkEnd w:id="802"/>
      <w:bookmarkEnd w:id="803"/>
      <w:bookmarkEnd w:id="804"/>
      <w:bookmarkEnd w:id="805"/>
      <w:bookmarkEnd w:id="806"/>
      <w:bookmarkEnd w:id="807"/>
      <w:bookmarkEnd w:id="808"/>
      <w:bookmarkEnd w:id="809"/>
    </w:p>
    <w:p>
      <w:pPr>
        <w:pStyle w:val="169"/>
        <w:spacing w:before="156"/>
        <w:rPr>
          <w:color w:val="000000" w:themeColor="text1"/>
          <w:highlight w:val="none"/>
          <w14:textFill>
            <w14:solidFill>
              <w14:schemeClr w14:val="tx1"/>
            </w14:solidFill>
          </w14:textFill>
        </w:rPr>
      </w:pPr>
      <w:bookmarkStart w:id="810" w:name="_Ref4534979"/>
      <w:r>
        <w:rPr>
          <w:rFonts w:hint="eastAsia"/>
          <w:color w:val="000000" w:themeColor="text1"/>
          <w:highlight w:val="none"/>
          <w14:textFill>
            <w14:solidFill>
              <w14:schemeClr w14:val="tx1"/>
            </w14:solidFill>
          </w14:textFill>
        </w:rPr>
        <w:t>13.1.1 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w:t>
      </w:r>
      <w:bookmarkEnd w:id="810"/>
      <w:r>
        <w:rPr>
          <w:rFonts w:hint="eastAsia"/>
          <w:color w:val="000000" w:themeColor="text1"/>
          <w:highlight w:val="none"/>
          <w14:textFill>
            <w14:solidFill>
              <w14:schemeClr w14:val="tx1"/>
            </w14:solidFill>
          </w14:textFill>
        </w:rPr>
        <w:t>发包人与承包人对某项指示或批准是否构成变更产生争议的，按第20条[争议解决]处理。</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177"/>
        <w:spacing w:before="156"/>
        <w:rPr>
          <w:color w:val="000000" w:themeColor="text1"/>
          <w:highlight w:val="none"/>
          <w14:textFill>
            <w14:solidFill>
              <w14:schemeClr w14:val="tx1"/>
            </w14:solidFill>
          </w14:textFill>
        </w:rPr>
      </w:pPr>
      <w:bookmarkStart w:id="811" w:name="_Ref531955590"/>
      <w:bookmarkStart w:id="812" w:name="_Ref531955587"/>
      <w:bookmarkStart w:id="813" w:name="_Ref4623207"/>
      <w:bookmarkStart w:id="814" w:name="_Toc102745986"/>
      <w:bookmarkStart w:id="815" w:name="_Toc54862284"/>
      <w:r>
        <w:rPr>
          <w:rFonts w:hint="eastAsia"/>
          <w:color w:val="000000" w:themeColor="text1"/>
          <w:highlight w:val="none"/>
          <w14:textFill>
            <w14:solidFill>
              <w14:schemeClr w14:val="tx1"/>
            </w14:solidFill>
          </w14:textFill>
        </w:rPr>
        <w:t>13.2 承</w:t>
      </w:r>
      <w:bookmarkEnd w:id="811"/>
      <w:bookmarkEnd w:id="812"/>
      <w:r>
        <w:rPr>
          <w:rFonts w:hint="eastAsia"/>
          <w:color w:val="000000" w:themeColor="text1"/>
          <w:highlight w:val="none"/>
          <w14:textFill>
            <w14:solidFill>
              <w14:schemeClr w14:val="tx1"/>
            </w14:solidFill>
          </w14:textFill>
        </w:rPr>
        <w:t>包人的合理化建议</w:t>
      </w:r>
      <w:bookmarkEnd w:id="813"/>
      <w:bookmarkEnd w:id="814"/>
      <w:bookmarkEnd w:id="815"/>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13.2.1 承包人提出合理化建议的，应向工程师提交合理化建议说明，说明建议的内容、理由以及实施该建议对合同价格和工期的影响。</w:t>
      </w:r>
    </w:p>
    <w:p>
      <w:pPr>
        <w:pStyle w:val="169"/>
        <w:spacing w:before="156"/>
        <w:rPr>
          <w:color w:val="000000" w:themeColor="text1"/>
          <w:highlight w:val="none"/>
          <w14:textFill>
            <w14:solidFill>
              <w14:schemeClr w14:val="tx1"/>
            </w14:solidFill>
          </w14:textFill>
        </w:rPr>
      </w:pPr>
      <w:bookmarkStart w:id="816" w:name="_Ref4681686"/>
      <w:r>
        <w:rPr>
          <w:rFonts w:hint="eastAsia"/>
          <w:color w:val="000000" w:themeColor="text1"/>
          <w:highlight w:val="none"/>
          <w14:textFill>
            <w14:solidFill>
              <w14:schemeClr w14:val="tx1"/>
            </w14:solidFill>
          </w14:textFill>
        </w:rPr>
        <w:t>13.2.2 除专用合同条件另有约定外，</w:t>
      </w:r>
      <w:bookmarkStart w:id="817" w:name="_Hlk4682273"/>
      <w:r>
        <w:rPr>
          <w:rFonts w:hint="eastAsia"/>
          <w:color w:val="000000" w:themeColor="text1"/>
          <w:highlight w:val="none"/>
          <w14:textFill>
            <w14:solidFill>
              <w14:schemeClr w14:val="tx1"/>
            </w14:solidFill>
          </w14:textFill>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bookmarkEnd w:id="816"/>
      <w:r>
        <w:rPr>
          <w:rFonts w:hint="eastAsia"/>
          <w:color w:val="000000" w:themeColor="text1"/>
          <w:highlight w:val="none"/>
          <w14:textFill>
            <w14:solidFill>
              <w14:schemeClr w14:val="tx1"/>
            </w14:solidFill>
          </w14:textFill>
        </w:rPr>
        <w:t>。</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13.2.3 合理化建议降低了合同价格、缩短了工期或者提高了工程经济效益的，双方可以按照专用合同条件的约定进行利益分享。</w:t>
      </w:r>
    </w:p>
    <w:bookmarkEnd w:id="817"/>
    <w:p>
      <w:pPr>
        <w:pStyle w:val="177"/>
        <w:spacing w:before="156"/>
        <w:rPr>
          <w:color w:val="000000" w:themeColor="text1"/>
          <w:highlight w:val="none"/>
          <w14:textFill>
            <w14:solidFill>
              <w14:schemeClr w14:val="tx1"/>
            </w14:solidFill>
          </w14:textFill>
        </w:rPr>
      </w:pPr>
      <w:bookmarkStart w:id="818" w:name="_Ref532671480"/>
      <w:bookmarkStart w:id="819" w:name="_Ref532669305"/>
      <w:bookmarkStart w:id="820" w:name="_Ref532669302"/>
      <w:bookmarkStart w:id="821" w:name="_Toc102745987"/>
      <w:bookmarkStart w:id="822" w:name="_Ref532673541"/>
      <w:bookmarkStart w:id="823" w:name="_Ref532671484"/>
      <w:bookmarkStart w:id="824" w:name="_Ref532673538"/>
      <w:bookmarkStart w:id="825" w:name="_Toc54862285"/>
      <w:r>
        <w:rPr>
          <w:rFonts w:hint="eastAsia"/>
          <w:color w:val="000000" w:themeColor="text1"/>
          <w:highlight w:val="none"/>
          <w14:textFill>
            <w14:solidFill>
              <w14:schemeClr w14:val="tx1"/>
            </w14:solidFill>
          </w14:textFill>
        </w:rPr>
        <w:t>13.3 变更程序</w:t>
      </w:r>
      <w:bookmarkEnd w:id="818"/>
      <w:bookmarkEnd w:id="819"/>
      <w:bookmarkEnd w:id="820"/>
      <w:bookmarkEnd w:id="821"/>
      <w:bookmarkEnd w:id="822"/>
      <w:bookmarkEnd w:id="823"/>
      <w:bookmarkEnd w:id="824"/>
      <w:bookmarkEnd w:id="825"/>
    </w:p>
    <w:p>
      <w:pPr>
        <w:pStyle w:val="169"/>
        <w:spacing w:before="156"/>
        <w:rPr>
          <w:color w:val="000000" w:themeColor="text1"/>
          <w:highlight w:val="none"/>
          <w14:textFill>
            <w14:solidFill>
              <w14:schemeClr w14:val="tx1"/>
            </w14:solidFill>
          </w14:textFill>
        </w:rPr>
      </w:pPr>
      <w:bookmarkStart w:id="826" w:name="_Ref4534600"/>
      <w:r>
        <w:rPr>
          <w:rFonts w:hint="eastAsia"/>
          <w:color w:val="000000" w:themeColor="text1"/>
          <w:highlight w:val="none"/>
          <w14:textFill>
            <w14:solidFill>
              <w14:schemeClr w14:val="tx1"/>
            </w14:solidFill>
          </w14:textFill>
        </w:rPr>
        <w:t>13.3.1 发包人提出变更</w:t>
      </w:r>
      <w:bookmarkEnd w:id="82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发包人提出变更的，应通过工程师向承包人发出书面形式的变更指示，变更指示应说明计划变更的工程范围和变更的内容。</w:t>
      </w:r>
    </w:p>
    <w:p>
      <w:pPr>
        <w:pStyle w:val="169"/>
        <w:spacing w:before="156"/>
        <w:rPr>
          <w:color w:val="000000" w:themeColor="text1"/>
          <w:highlight w:val="none"/>
          <w14:textFill>
            <w14:solidFill>
              <w14:schemeClr w14:val="tx1"/>
            </w14:solidFill>
          </w14:textFill>
        </w:rPr>
      </w:pPr>
      <w:bookmarkStart w:id="827" w:name="_Ref4534617"/>
      <w:r>
        <w:rPr>
          <w:rFonts w:hint="eastAsia"/>
          <w:color w:val="000000" w:themeColor="text1"/>
          <w:highlight w:val="none"/>
          <w14:textFill>
            <w14:solidFill>
              <w14:schemeClr w14:val="tx1"/>
            </w14:solidFill>
          </w14:textFill>
        </w:rPr>
        <w:t>13.3.2 变更执行</w:t>
      </w:r>
      <w:bookmarkEnd w:id="82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pStyle w:val="169"/>
        <w:spacing w:before="156"/>
        <w:rPr>
          <w:color w:val="000000" w:themeColor="text1"/>
          <w:highlight w:val="none"/>
          <w14:textFill>
            <w14:solidFill>
              <w14:schemeClr w14:val="tx1"/>
            </w14:solidFill>
          </w14:textFill>
        </w:rPr>
      </w:pPr>
      <w:bookmarkStart w:id="828" w:name="_Ref3835481"/>
      <w:r>
        <w:rPr>
          <w:rFonts w:hint="eastAsia"/>
          <w:color w:val="000000" w:themeColor="text1"/>
          <w:highlight w:val="none"/>
          <w14:textFill>
            <w14:solidFill>
              <w14:schemeClr w14:val="tx1"/>
            </w14:solidFill>
          </w14:textFill>
        </w:rPr>
        <w:t>13.3.3 变更估价</w:t>
      </w:r>
      <w:bookmarkEnd w:id="828"/>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13.3.3.1 变更估价原则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除专用合同条件另有约定外，变更估价按照本款约定处理：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合同中未包含价格清单，合同价格应按照所执行的变更工程的成本加利润调整；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合同中包含价格清单，合同价格按照如下规则调整：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价格清单中有适用于变更工程项目的，应采用该项目的费率和价格；</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价格清单中没有适用但有类似于变更工程项目的，可在合理范围内参照类似项目的费率或价格；</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价格清单中没有适用也没有类似于变更工程项目的，该工程项目应按成本加利润原则调整适用新的费率或价格。</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13.3.3.2 变更估价程序</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829" w:name="_Ref531955607"/>
      <w:bookmarkStart w:id="830" w:name="_Ref531955605"/>
      <w:bookmarkStart w:id="831" w:name="_Toc296503150"/>
      <w:bookmarkStart w:id="832" w:name="_Toc296346651"/>
      <w:bookmarkStart w:id="833" w:name="_Toc337558844"/>
      <w:r>
        <w:rPr>
          <w:rFonts w:hint="eastAsia" w:ascii="宋体"/>
          <w:color w:val="000000" w:themeColor="text1"/>
          <w:sz w:val="24"/>
          <w:szCs w:val="28"/>
          <w:highlight w:val="none"/>
          <w14:textFill>
            <w14:solidFill>
              <w14:schemeClr w14:val="tx1"/>
            </w14:solidFill>
          </w14:textFill>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因变更引起的价格调整应计入最近一期的进度款中支付。</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13.3.4 变更引起的工期调整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因变更引起工期变化的，合同当事人均可要求调整合同工期，由合同当事人按照第3.6款[商定或确定]并参考工程所在地的工期定额标准确定增减工期天数。</w:t>
      </w:r>
    </w:p>
    <w:p>
      <w:pPr>
        <w:pStyle w:val="177"/>
        <w:spacing w:before="156"/>
        <w:rPr>
          <w:color w:val="000000" w:themeColor="text1"/>
          <w:highlight w:val="none"/>
          <w14:textFill>
            <w14:solidFill>
              <w14:schemeClr w14:val="tx1"/>
            </w14:solidFill>
          </w14:textFill>
        </w:rPr>
      </w:pPr>
      <w:bookmarkStart w:id="834" w:name="_Toc102745988"/>
      <w:bookmarkStart w:id="835" w:name="_Toc54862286"/>
      <w:bookmarkStart w:id="836" w:name="_Ref4431237"/>
      <w:r>
        <w:rPr>
          <w:rFonts w:hint="eastAsia"/>
          <w:color w:val="000000" w:themeColor="text1"/>
          <w:highlight w:val="none"/>
          <w14:textFill>
            <w14:solidFill>
              <w14:schemeClr w14:val="tx1"/>
            </w14:solidFill>
          </w14:textFill>
        </w:rPr>
        <w:t>13.4 暂估价</w:t>
      </w:r>
      <w:bookmarkEnd w:id="834"/>
      <w:bookmarkEnd w:id="835"/>
      <w:bookmarkEnd w:id="836"/>
    </w:p>
    <w:p>
      <w:pPr>
        <w:pStyle w:val="169"/>
        <w:spacing w:before="156"/>
        <w:rPr>
          <w:color w:val="000000" w:themeColor="text1"/>
          <w:highlight w:val="none"/>
          <w14:textFill>
            <w14:solidFill>
              <w14:schemeClr w14:val="tx1"/>
            </w14:solidFill>
          </w14:textFill>
        </w:rPr>
      </w:pPr>
      <w:bookmarkStart w:id="837" w:name="_Ref4616729"/>
      <w:r>
        <w:rPr>
          <w:rFonts w:hint="eastAsia"/>
          <w:color w:val="000000" w:themeColor="text1"/>
          <w:highlight w:val="none"/>
          <w14:textFill>
            <w14:solidFill>
              <w14:schemeClr w14:val="tx1"/>
            </w14:solidFill>
          </w14:textFill>
        </w:rPr>
        <w:t>13.4.1 依法必须招标的暂估价项目</w:t>
      </w:r>
      <w:bookmarkEnd w:id="83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214"/>
        <w:numPr>
          <w:ilvl w:val="0"/>
          <w:numId w:val="0"/>
        </w:numPr>
        <w:spacing w:after="0" w:afterLines="0"/>
        <w:ind w:firstLine="480" w:firstLineChars="200"/>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专用合同条件约定由发包人和承包人共同作为招标人的，与组织招标工作有关的费用在专用合同条件中约定。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具体的招标程序以及发包人和承包人权利义务关系可在专用合同条件中约定。暂估价项目的中标金额与价格清单中所列暂估价的金额差以及相应的税金等其他费用应列入合同价格。</w:t>
      </w:r>
    </w:p>
    <w:p>
      <w:pPr>
        <w:pStyle w:val="169"/>
        <w:spacing w:before="156"/>
        <w:rPr>
          <w:color w:val="000000" w:themeColor="text1"/>
          <w:highlight w:val="none"/>
          <w14:textFill>
            <w14:solidFill>
              <w14:schemeClr w14:val="tx1"/>
            </w14:solidFill>
          </w14:textFill>
        </w:rPr>
      </w:pPr>
      <w:bookmarkStart w:id="838" w:name="_Ref4682312"/>
      <w:r>
        <w:rPr>
          <w:rFonts w:hint="eastAsia"/>
          <w:color w:val="000000" w:themeColor="text1"/>
          <w:highlight w:val="none"/>
          <w14:textFill>
            <w14:solidFill>
              <w14:schemeClr w14:val="tx1"/>
            </w14:solidFill>
          </w14:textFill>
        </w:rPr>
        <w:t>13.4.2 不属于依法必须招标的暂估价项目</w:t>
      </w:r>
      <w:bookmarkEnd w:id="83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177"/>
        <w:spacing w:before="156"/>
        <w:rPr>
          <w:color w:val="000000" w:themeColor="text1"/>
          <w:highlight w:val="none"/>
          <w14:textFill>
            <w14:solidFill>
              <w14:schemeClr w14:val="tx1"/>
            </w14:solidFill>
          </w14:textFill>
        </w:rPr>
      </w:pPr>
      <w:bookmarkStart w:id="839" w:name="_Toc54862287"/>
      <w:bookmarkStart w:id="840" w:name="_Ref4431250"/>
      <w:bookmarkStart w:id="841" w:name="_Toc102745989"/>
      <w:r>
        <w:rPr>
          <w:rFonts w:hint="eastAsia"/>
          <w:color w:val="000000" w:themeColor="text1"/>
          <w:highlight w:val="none"/>
          <w14:textFill>
            <w14:solidFill>
              <w14:schemeClr w14:val="tx1"/>
            </w14:solidFill>
          </w14:textFill>
        </w:rPr>
        <w:t>13.5 暂列金额</w:t>
      </w:r>
      <w:bookmarkEnd w:id="829"/>
      <w:bookmarkEnd w:id="830"/>
      <w:bookmarkEnd w:id="839"/>
      <w:bookmarkEnd w:id="840"/>
      <w:bookmarkEnd w:id="841"/>
    </w:p>
    <w:bookmarkEnd w:id="831"/>
    <w:bookmarkEnd w:id="832"/>
    <w:bookmarkEnd w:id="833"/>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对于每笔暂列金额，发包人可以指示用于下列支付：</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发包人根据第13.1款[发包人变更权]指示变更，决定对合同价格和付款计划表（如有）进行调整的、由承包人实施的工作（包括要提供的工程设备、材料和服务）；</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承包人购买的工程设备、材料、工作或服务，应支付包括承包人已付（或应付）的实际金额以及相应的管理费等费用和利润（管理费和利润应以实际金额为基数根据合同约定的费率（如有）或百分比计算）。</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每份包含暂列金额的文件还应包括用以证明暂列金额的所有有效的发票、凭证和账户或收据。</w:t>
      </w:r>
    </w:p>
    <w:p>
      <w:pPr>
        <w:pStyle w:val="177"/>
        <w:spacing w:before="156"/>
        <w:rPr>
          <w:color w:val="000000" w:themeColor="text1"/>
          <w:highlight w:val="none"/>
          <w14:textFill>
            <w14:solidFill>
              <w14:schemeClr w14:val="tx1"/>
            </w14:solidFill>
          </w14:textFill>
        </w:rPr>
      </w:pPr>
      <w:bookmarkStart w:id="842" w:name="_Toc337558845"/>
      <w:bookmarkStart w:id="843" w:name="_Toc296503152"/>
      <w:bookmarkStart w:id="844" w:name="_Toc102745990"/>
      <w:bookmarkStart w:id="845" w:name="_Toc54862288"/>
      <w:bookmarkStart w:id="846" w:name="_Ref4431438"/>
      <w:bookmarkStart w:id="847" w:name="_Toc296346653"/>
      <w:r>
        <w:rPr>
          <w:rFonts w:hint="eastAsia"/>
          <w:color w:val="000000" w:themeColor="text1"/>
          <w:highlight w:val="none"/>
          <w14:textFill>
            <w14:solidFill>
              <w14:schemeClr w14:val="tx1"/>
            </w14:solidFill>
          </w14:textFill>
        </w:rPr>
        <w:t>13.6 计日工</w:t>
      </w:r>
      <w:bookmarkEnd w:id="842"/>
      <w:bookmarkEnd w:id="843"/>
      <w:bookmarkEnd w:id="844"/>
      <w:bookmarkEnd w:id="845"/>
      <w:bookmarkEnd w:id="846"/>
      <w:bookmarkEnd w:id="847"/>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13.6.2 采用计日工计价的任何一项工作，承包人应在该项工作实施过程中，每天提交以下报表和有关凭证报送工程师审查：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工作名称、内容和数量；</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投入该工作的所有人员的姓名、专业、工种、级别和耗用工时；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投入该工作的材料类别和数量；</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投入该工作的施工设备型号、台数和耗用台时；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其他有关资料和凭证。</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计日工由承包人汇总后，列入最近一期进度付款申请单，由工程师审查并经发包人批准后列入进度付款。</w:t>
      </w:r>
    </w:p>
    <w:p>
      <w:pPr>
        <w:pStyle w:val="177"/>
        <w:spacing w:before="156"/>
        <w:rPr>
          <w:color w:val="000000" w:themeColor="text1"/>
          <w:highlight w:val="none"/>
          <w14:textFill>
            <w14:solidFill>
              <w14:schemeClr w14:val="tx1"/>
            </w14:solidFill>
          </w14:textFill>
        </w:rPr>
      </w:pPr>
      <w:bookmarkStart w:id="848" w:name="_Toc102745991"/>
      <w:bookmarkStart w:id="849" w:name="_Toc54862289"/>
      <w:bookmarkStart w:id="850" w:name="_Ref4617331"/>
      <w:bookmarkStart w:id="851" w:name="_Ref4617318"/>
      <w:r>
        <w:rPr>
          <w:rFonts w:hint="eastAsia"/>
          <w:color w:val="000000" w:themeColor="text1"/>
          <w:highlight w:val="none"/>
          <w14:textFill>
            <w14:solidFill>
              <w14:schemeClr w14:val="tx1"/>
            </w14:solidFill>
          </w14:textFill>
        </w:rPr>
        <w:t>13.7 法律变化引起的调整</w:t>
      </w:r>
      <w:bookmarkEnd w:id="848"/>
      <w:bookmarkEnd w:id="849"/>
      <w:bookmarkEnd w:id="850"/>
      <w:bookmarkEnd w:id="851"/>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13.7.1 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13.7.2 因法律变化引起的合同价格和工期调整，合同当事人无法达成一致的，由工程师按第3.6款[商定或确定]的约定处理。</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13.7.3 因承包人原因造成工期延误，在工期延误期间出现法律变化的，由此增加的费用和（或）延误的工期由承包人承担。</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13.7.4 因法律变化而需要对工程的实施进行任何调整的，承包人应迅速通知发包人，或者发包人应迅速通知承包人，并附上详细的辅助资料。发包人接到通知后，应根据第13.3款[变更程序]发出变更指示。</w:t>
      </w:r>
    </w:p>
    <w:p>
      <w:pPr>
        <w:pStyle w:val="177"/>
        <w:spacing w:before="156"/>
        <w:rPr>
          <w:color w:val="000000" w:themeColor="text1"/>
          <w:highlight w:val="none"/>
          <w14:textFill>
            <w14:solidFill>
              <w14:schemeClr w14:val="tx1"/>
            </w14:solidFill>
          </w14:textFill>
        </w:rPr>
      </w:pPr>
      <w:bookmarkStart w:id="852" w:name="_Ref531955627"/>
      <w:bookmarkStart w:id="853" w:name="_Ref531955630"/>
      <w:bookmarkStart w:id="854" w:name="_Ref18977613"/>
      <w:bookmarkStart w:id="855" w:name="_Toc102745992"/>
      <w:bookmarkStart w:id="856" w:name="_Toc54862290"/>
      <w:r>
        <w:rPr>
          <w:rFonts w:hint="eastAsia"/>
          <w:color w:val="000000" w:themeColor="text1"/>
          <w:highlight w:val="none"/>
          <w14:textFill>
            <w14:solidFill>
              <w14:schemeClr w14:val="tx1"/>
            </w14:solidFill>
          </w14:textFill>
        </w:rPr>
        <w:t>13.8 市场价格波动引起的调整</w:t>
      </w:r>
      <w:bookmarkEnd w:id="852"/>
      <w:bookmarkEnd w:id="853"/>
      <w:bookmarkEnd w:id="854"/>
      <w:bookmarkEnd w:id="855"/>
      <w:bookmarkEnd w:id="856"/>
    </w:p>
    <w:p>
      <w:pPr>
        <w:pStyle w:val="169"/>
        <w:spacing w:before="156"/>
        <w:rPr>
          <w:color w:val="000000" w:themeColor="text1"/>
          <w:highlight w:val="none"/>
          <w14:textFill>
            <w14:solidFill>
              <w14:schemeClr w14:val="tx1"/>
            </w14:solidFill>
          </w14:textFill>
        </w:rPr>
      </w:pPr>
      <w:bookmarkStart w:id="857" w:name="_Ref4709841"/>
      <w:r>
        <w:rPr>
          <w:rFonts w:hint="eastAsia"/>
          <w:color w:val="000000" w:themeColor="text1"/>
          <w:highlight w:val="none"/>
          <w14:textFill>
            <w14:solidFill>
              <w14:schemeClr w14:val="tx1"/>
            </w14:solidFill>
          </w14:textFill>
        </w:rPr>
        <w:t>13.8.1 主要工程材料、设备、人工价格与招标时基期价相比，波动幅度超过合同约定幅度的，双方按照合同约定的价格调整方式调整。</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13.8.2 发包人与承包人在专用合同条件中约定采用《价格指数权重表》的，适用本项约定。</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13.8.2.1 双方当事人可以将部分主要工程材料、工程设备、人工价格及其他双方认为应当根据市场价格调整的费用列入</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价格指数权重表</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，并根据以下公式计算差额并调整合同价格：</w:t>
      </w:r>
    </w:p>
    <w:bookmarkEnd w:id="857"/>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858" w:name="_Ref4616996"/>
      <w:r>
        <w:rPr>
          <w:rFonts w:hint="eastAsia" w:ascii="宋体"/>
          <w:color w:val="000000" w:themeColor="text1"/>
          <w:sz w:val="24"/>
          <w:szCs w:val="28"/>
          <w:highlight w:val="none"/>
          <w14:textFill>
            <w14:solidFill>
              <w14:schemeClr w14:val="tx1"/>
            </w14:solidFill>
          </w14:textFill>
        </w:rPr>
        <w:t>（1） 价格调整公式</w:t>
      </w:r>
      <w:bookmarkEnd w:id="858"/>
    </w:p>
    <w:p>
      <w:pPr>
        <w:adjustRightInd w:val="0"/>
        <w:snapToGrid w:val="0"/>
        <w:spacing w:line="360" w:lineRule="auto"/>
        <w:rPr>
          <w:rFonts w:ascii="宋体"/>
          <w:color w:val="000000" w:themeColor="text1"/>
          <w:sz w:val="24"/>
          <w:szCs w:val="28"/>
          <w:highlight w:val="none"/>
          <w14:textFill>
            <w14:solidFill>
              <w14:schemeClr w14:val="tx1"/>
            </w14:solidFill>
          </w14:textFill>
        </w:rPr>
      </w:pPr>
      <w:r>
        <w:rPr>
          <w:rFonts w:ascii="宋体"/>
          <w:color w:val="000000" w:themeColor="text1"/>
          <w:sz w:val="24"/>
          <w:szCs w:val="28"/>
          <w:highlight w:val="none"/>
          <w14:textFill>
            <w14:solidFill>
              <w14:schemeClr w14:val="tx1"/>
            </w14:solidFill>
          </w14:textFill>
        </w:rPr>
        <w:drawing>
          <wp:inline distT="0" distB="0" distL="0" distR="0">
            <wp:extent cx="4771390" cy="6731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71390" cy="673100"/>
                    </a:xfrm>
                    <a:prstGeom prst="rect">
                      <a:avLst/>
                    </a:prstGeom>
                    <a:noFill/>
                    <a:ln>
                      <a:noFill/>
                    </a:ln>
                  </pic:spPr>
                </pic:pic>
              </a:graphicData>
            </a:graphic>
          </wp:inline>
        </w:drawing>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公式中：△P---需调整的价格差额；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P</w:t>
      </w:r>
      <w:r>
        <w:rPr>
          <w:rFonts w:hint="eastAsia" w:ascii="宋体"/>
          <w:color w:val="000000" w:themeColor="text1"/>
          <w:sz w:val="24"/>
          <w:szCs w:val="28"/>
          <w:highlight w:val="none"/>
          <w:vertAlign w:val="subscript"/>
          <w14:textFill>
            <w14:solidFill>
              <w14:schemeClr w14:val="tx1"/>
            </w14:solidFill>
          </w14:textFill>
        </w:rPr>
        <w:t>O</w:t>
      </w:r>
      <w:r>
        <w:rPr>
          <w:rFonts w:hint="eastAsia" w:ascii="宋体"/>
          <w:color w:val="000000" w:themeColor="text1"/>
          <w:sz w:val="24"/>
          <w:szCs w:val="28"/>
          <w:highlight w:val="none"/>
          <w14:textFill>
            <w14:solidFill>
              <w14:schemeClr w14:val="tx1"/>
            </w14:solidFill>
          </w14:textFill>
        </w:rPr>
        <w:t>---付款证书中承包人应得到的已完成工作量的金额。此项金额应不包括价格调整、不计质量保证金的预留和支付、预付款的支付和扣回。第13条[变更与调整]约定的变更及其他金额已按当期价格计价的，也不计在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 xml:space="preserve">A ---定值权重（即不调部分的权重）；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859" w:name="_Hlk24103184"/>
      <w:r>
        <w:rPr>
          <w:rFonts w:hint="eastAsia" w:ascii="宋体"/>
          <w:color w:val="000000" w:themeColor="text1"/>
          <w:sz w:val="24"/>
          <w:szCs w:val="28"/>
          <w:highlight w:val="none"/>
          <w14:textFill>
            <w14:solidFill>
              <w14:schemeClr w14:val="tx1"/>
            </w14:solidFill>
          </w14:textFill>
        </w:rPr>
        <w:t>B</w:t>
      </w:r>
      <w:r>
        <w:rPr>
          <w:rFonts w:hint="eastAsia" w:ascii="宋体"/>
          <w:color w:val="000000" w:themeColor="text1"/>
          <w:sz w:val="24"/>
          <w:szCs w:val="28"/>
          <w:highlight w:val="none"/>
          <w:vertAlign w:val="subscript"/>
          <w14:textFill>
            <w14:solidFill>
              <w14:schemeClr w14:val="tx1"/>
            </w14:solidFill>
          </w14:textFill>
        </w:rPr>
        <w:t>1</w:t>
      </w:r>
      <w:bookmarkEnd w:id="859"/>
      <w:r>
        <w:rPr>
          <w:rFonts w:hint="eastAsia" w:ascii="宋体"/>
          <w:color w:val="000000" w:themeColor="text1"/>
          <w:sz w:val="24"/>
          <w:szCs w:val="28"/>
          <w:highlight w:val="none"/>
          <w14:textFill>
            <w14:solidFill>
              <w14:schemeClr w14:val="tx1"/>
            </w14:solidFill>
          </w14:textFill>
        </w:rPr>
        <w:t>；</w:t>
      </w:r>
      <w:bookmarkStart w:id="860" w:name="_Hlk24103205"/>
      <w:r>
        <w:rPr>
          <w:rFonts w:hint="eastAsia" w:ascii="宋体"/>
          <w:color w:val="000000" w:themeColor="text1"/>
          <w:sz w:val="24"/>
          <w:szCs w:val="28"/>
          <w:highlight w:val="none"/>
          <w14:textFill>
            <w14:solidFill>
              <w14:schemeClr w14:val="tx1"/>
            </w14:solidFill>
          </w14:textFill>
        </w:rPr>
        <w:t>B</w:t>
      </w:r>
      <w:r>
        <w:rPr>
          <w:rFonts w:hint="eastAsia" w:ascii="宋体"/>
          <w:color w:val="000000" w:themeColor="text1"/>
          <w:sz w:val="24"/>
          <w:szCs w:val="28"/>
          <w:highlight w:val="none"/>
          <w:vertAlign w:val="subscript"/>
          <w14:textFill>
            <w14:solidFill>
              <w14:schemeClr w14:val="tx1"/>
            </w14:solidFill>
          </w14:textFill>
        </w:rPr>
        <w:t>2</w:t>
      </w:r>
      <w:bookmarkEnd w:id="860"/>
      <w:r>
        <w:rPr>
          <w:rFonts w:hint="eastAsia" w:ascii="宋体"/>
          <w:color w:val="000000" w:themeColor="text1"/>
          <w:sz w:val="24"/>
          <w:szCs w:val="28"/>
          <w:highlight w:val="none"/>
          <w14:textFill>
            <w14:solidFill>
              <w14:schemeClr w14:val="tx1"/>
            </w14:solidFill>
          </w14:textFill>
        </w:rPr>
        <w:t>；</w:t>
      </w:r>
      <w:bookmarkStart w:id="861" w:name="_Hlk24103220"/>
      <w:r>
        <w:rPr>
          <w:rFonts w:hint="eastAsia" w:ascii="宋体"/>
          <w:color w:val="000000" w:themeColor="text1"/>
          <w:sz w:val="24"/>
          <w:szCs w:val="28"/>
          <w:highlight w:val="none"/>
          <w14:textFill>
            <w14:solidFill>
              <w14:schemeClr w14:val="tx1"/>
            </w14:solidFill>
          </w14:textFill>
        </w:rPr>
        <w:t>B</w:t>
      </w:r>
      <w:r>
        <w:rPr>
          <w:rFonts w:hint="eastAsia" w:ascii="宋体"/>
          <w:color w:val="000000" w:themeColor="text1"/>
          <w:sz w:val="24"/>
          <w:szCs w:val="28"/>
          <w:highlight w:val="none"/>
          <w:vertAlign w:val="subscript"/>
          <w14:textFill>
            <w14:solidFill>
              <w14:schemeClr w14:val="tx1"/>
            </w14:solidFill>
          </w14:textFill>
        </w:rPr>
        <w:t>3</w:t>
      </w:r>
      <w:bookmarkEnd w:id="861"/>
      <w:r>
        <w:rPr>
          <w:rFonts w:hint="eastAsia" w:ascii="宋体"/>
          <w:color w:val="000000" w:themeColor="text1"/>
          <w:sz w:val="24"/>
          <w:szCs w:val="28"/>
          <w:highlight w:val="none"/>
          <w14:textFill>
            <w14:solidFill>
              <w14:schemeClr w14:val="tx1"/>
            </w14:solidFill>
          </w14:textFill>
        </w:rPr>
        <w:t>；……</w:t>
      </w:r>
      <w:bookmarkStart w:id="862" w:name="_Hlk24103245"/>
      <w:r>
        <w:rPr>
          <w:rFonts w:hint="eastAsia" w:ascii="宋体"/>
          <w:color w:val="000000" w:themeColor="text1"/>
          <w:sz w:val="24"/>
          <w:szCs w:val="28"/>
          <w:highlight w:val="none"/>
          <w14:textFill>
            <w14:solidFill>
              <w14:schemeClr w14:val="tx1"/>
            </w14:solidFill>
          </w14:textFill>
        </w:rPr>
        <w:t>B</w:t>
      </w:r>
      <w:r>
        <w:rPr>
          <w:rFonts w:hint="eastAsia" w:ascii="宋体"/>
          <w:color w:val="000000" w:themeColor="text1"/>
          <w:sz w:val="24"/>
          <w:szCs w:val="28"/>
          <w:highlight w:val="none"/>
          <w:vertAlign w:val="subscript"/>
          <w14:textFill>
            <w14:solidFill>
              <w14:schemeClr w14:val="tx1"/>
            </w14:solidFill>
          </w14:textFill>
        </w:rPr>
        <w:t>n</w:t>
      </w:r>
      <w:bookmarkEnd w:id="862"/>
      <w:r>
        <w:rPr>
          <w:rFonts w:hint="eastAsia" w:ascii="宋体"/>
          <w:color w:val="000000" w:themeColor="text1"/>
          <w:sz w:val="24"/>
          <w:szCs w:val="28"/>
          <w:highlight w:val="none"/>
          <w14:textFill>
            <w14:solidFill>
              <w14:schemeClr w14:val="tx1"/>
            </w14:solidFill>
          </w14:textFill>
        </w:rPr>
        <w:t>---各可调因子的变值权重（即可调部分的权重）为各可调因子在投标函投标总报价中所占的比例，且A+B</w:t>
      </w:r>
      <w:r>
        <w:rPr>
          <w:rFonts w:hint="eastAsia" w:ascii="宋体"/>
          <w:color w:val="000000" w:themeColor="text1"/>
          <w:sz w:val="24"/>
          <w:szCs w:val="28"/>
          <w:highlight w:val="none"/>
          <w:vertAlign w:val="subscript"/>
          <w14:textFill>
            <w14:solidFill>
              <w14:schemeClr w14:val="tx1"/>
            </w14:solidFill>
          </w14:textFill>
        </w:rPr>
        <w:t>1</w:t>
      </w:r>
      <w:r>
        <w:rPr>
          <w:rFonts w:hint="eastAsia" w:ascii="宋体"/>
          <w:color w:val="000000" w:themeColor="text1"/>
          <w:sz w:val="24"/>
          <w:szCs w:val="28"/>
          <w:highlight w:val="none"/>
          <w14:textFill>
            <w14:solidFill>
              <w14:schemeClr w14:val="tx1"/>
            </w14:solidFill>
          </w14:textFill>
        </w:rPr>
        <w:t>+B</w:t>
      </w:r>
      <w:r>
        <w:rPr>
          <w:rFonts w:hint="eastAsia" w:ascii="宋体"/>
          <w:color w:val="000000" w:themeColor="text1"/>
          <w:sz w:val="24"/>
          <w:szCs w:val="28"/>
          <w:highlight w:val="none"/>
          <w:vertAlign w:val="subscript"/>
          <w14:textFill>
            <w14:solidFill>
              <w14:schemeClr w14:val="tx1"/>
            </w14:solidFill>
          </w14:textFill>
        </w:rPr>
        <w:t>2</w:t>
      </w:r>
      <w:r>
        <w:rPr>
          <w:rFonts w:hint="eastAsia" w:ascii="宋体"/>
          <w:color w:val="000000" w:themeColor="text1"/>
          <w:sz w:val="24"/>
          <w:szCs w:val="28"/>
          <w:highlight w:val="none"/>
          <w14:textFill>
            <w14:solidFill>
              <w14:schemeClr w14:val="tx1"/>
            </w14:solidFill>
          </w14:textFill>
        </w:rPr>
        <w:t>+B</w:t>
      </w:r>
      <w:r>
        <w:rPr>
          <w:rFonts w:hint="eastAsia" w:ascii="宋体"/>
          <w:color w:val="000000" w:themeColor="text1"/>
          <w:sz w:val="24"/>
          <w:szCs w:val="28"/>
          <w:highlight w:val="none"/>
          <w:vertAlign w:val="subscript"/>
          <w14:textFill>
            <w14:solidFill>
              <w14:schemeClr w14:val="tx1"/>
            </w14:solidFill>
          </w14:textFill>
        </w:rPr>
        <w:t>3</w:t>
      </w:r>
      <w:r>
        <w:rPr>
          <w:rFonts w:hint="eastAsia" w:ascii="宋体"/>
          <w:color w:val="000000" w:themeColor="text1"/>
          <w:sz w:val="24"/>
          <w:szCs w:val="28"/>
          <w:highlight w:val="none"/>
          <w14:textFill>
            <w14:solidFill>
              <w14:schemeClr w14:val="tx1"/>
            </w14:solidFill>
          </w14:textFill>
        </w:rPr>
        <w:t>+……+B</w:t>
      </w:r>
      <w:r>
        <w:rPr>
          <w:rFonts w:hint="eastAsia" w:ascii="宋体"/>
          <w:color w:val="000000" w:themeColor="text1"/>
          <w:sz w:val="24"/>
          <w:szCs w:val="28"/>
          <w:highlight w:val="none"/>
          <w:vertAlign w:val="subscript"/>
          <w14:textFill>
            <w14:solidFill>
              <w14:schemeClr w14:val="tx1"/>
            </w14:solidFill>
          </w14:textFill>
        </w:rPr>
        <w:t>n</w:t>
      </w:r>
      <w:r>
        <w:rPr>
          <w:rFonts w:hint="eastAsia" w:ascii="宋体"/>
          <w:color w:val="000000" w:themeColor="text1"/>
          <w:sz w:val="24"/>
          <w:szCs w:val="28"/>
          <w:highlight w:val="none"/>
          <w14:textFill>
            <w14:solidFill>
              <w14:schemeClr w14:val="tx1"/>
            </w14:solidFill>
          </w14:textFill>
        </w:rPr>
        <w:t>=1；</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t1</w:t>
      </w: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t2</w:t>
      </w: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t3</w:t>
      </w: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tn</w:t>
      </w:r>
      <w:r>
        <w:rPr>
          <w:rFonts w:hint="eastAsia" w:ascii="宋体"/>
          <w:color w:val="000000" w:themeColor="text1"/>
          <w:sz w:val="24"/>
          <w:szCs w:val="28"/>
          <w:highlight w:val="none"/>
          <w14:textFill>
            <w14:solidFill>
              <w14:schemeClr w14:val="tx1"/>
            </w14:solidFill>
          </w14:textFill>
        </w:rPr>
        <w:t>---各可调因子的当期价格指数，指付款证书相关周期最后一天的前42天的各可调因子的价格指数；</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01</w:t>
      </w: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02</w:t>
      </w: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03</w:t>
      </w:r>
      <w:r>
        <w:rPr>
          <w:rFonts w:hint="eastAsia" w:ascii="宋体"/>
          <w:color w:val="000000" w:themeColor="text1"/>
          <w:sz w:val="24"/>
          <w:szCs w:val="28"/>
          <w:highlight w:val="none"/>
          <w14:textFill>
            <w14:solidFill>
              <w14:schemeClr w14:val="tx1"/>
            </w14:solidFill>
          </w14:textFill>
        </w:rPr>
        <w:t>；……F</w:t>
      </w:r>
      <w:r>
        <w:rPr>
          <w:rFonts w:hint="eastAsia" w:ascii="宋体"/>
          <w:color w:val="000000" w:themeColor="text1"/>
          <w:sz w:val="24"/>
          <w:szCs w:val="28"/>
          <w:highlight w:val="none"/>
          <w:vertAlign w:val="subscript"/>
          <w14:textFill>
            <w14:solidFill>
              <w14:schemeClr w14:val="tx1"/>
            </w14:solidFill>
          </w14:textFill>
        </w:rPr>
        <w:t>0n</w:t>
      </w:r>
      <w:r>
        <w:rPr>
          <w:rFonts w:hint="eastAsia" w:ascii="宋体"/>
          <w:color w:val="000000" w:themeColor="text1"/>
          <w:sz w:val="24"/>
          <w:szCs w:val="28"/>
          <w:highlight w:val="none"/>
          <w14:textFill>
            <w14:solidFill>
              <w14:schemeClr w14:val="tx1"/>
            </w14:solidFill>
          </w14:textFill>
        </w:rPr>
        <w:t>---各可调因子的基本价格指数，指基准日期的各可调因子的价格指数。</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暂时确定调整差额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在计算调整差额时得不到当期价格指数的，可暂用上一次价格指数计算，并在以后的付款中再按实际价格指数进行调整。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权重的调整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按第13.1款[发包人变更权]约定的变更导致原定合同中的权重不合理的，由工程师与承包人和发包人协商后进行调整。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承包人原因工期延误后的价格调整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发包人引起的工期延误后的价格调整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pStyle w:val="184"/>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13.8.2.2 未列入</w:t>
      </w:r>
      <w:bookmarkStart w:id="863" w:name="_Hlk24494865"/>
      <w:r>
        <w:rPr>
          <w:rFonts w:hint="eastAsia"/>
          <w:color w:val="000000" w:themeColor="text1"/>
          <w:highlight w:val="none"/>
          <w14:textFill>
            <w14:solidFill>
              <w14:schemeClr w14:val="tx1"/>
            </w14:solidFill>
          </w14:textFill>
        </w:rPr>
        <w:t>《价格指数权重表》</w:t>
      </w:r>
      <w:bookmarkEnd w:id="863"/>
      <w:r>
        <w:rPr>
          <w:rFonts w:hint="eastAsia"/>
          <w:color w:val="000000" w:themeColor="text1"/>
          <w:highlight w:val="none"/>
          <w14:textFill>
            <w14:solidFill>
              <w14:schemeClr w14:val="tx1"/>
            </w14:solidFill>
          </w14:textFill>
        </w:rPr>
        <w:t>的费用不因市场变化而调整。</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13.8.3 双方约定采用其他方式调整合同价款的，以专用合同条件约定为准。</w:t>
      </w:r>
    </w:p>
    <w:p>
      <w:pPr>
        <w:pStyle w:val="201"/>
        <w:rPr>
          <w:color w:val="000000" w:themeColor="text1"/>
          <w:highlight w:val="none"/>
          <w14:textFill>
            <w14:solidFill>
              <w14:schemeClr w14:val="tx1"/>
            </w14:solidFill>
          </w14:textFill>
        </w:rPr>
      </w:pPr>
      <w:bookmarkStart w:id="864" w:name="_Toc17312"/>
      <w:bookmarkStart w:id="865" w:name="_Toc102745993"/>
      <w:bookmarkStart w:id="866" w:name="_Toc1506"/>
      <w:bookmarkStart w:id="867" w:name="_Toc5163"/>
      <w:bookmarkStart w:id="868" w:name="_Toc30022"/>
      <w:bookmarkStart w:id="869" w:name="_Ref531955885"/>
      <w:bookmarkStart w:id="870" w:name="_Toc3913"/>
      <w:bookmarkStart w:id="871" w:name="_Ref531955880"/>
      <w:bookmarkStart w:id="872" w:name="_Toc54862291"/>
      <w:bookmarkStart w:id="873" w:name="_Toc7623"/>
      <w:bookmarkStart w:id="874" w:name="_Toc31474"/>
      <w:bookmarkStart w:id="875" w:name="_Toc21171"/>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14条 </w:t>
      </w:r>
      <w:r>
        <w:rPr>
          <w:rFonts w:hint="eastAsia"/>
          <w:color w:val="000000" w:themeColor="text1"/>
          <w:highlight w:val="none"/>
          <w14:textFill>
            <w14:solidFill>
              <w14:schemeClr w14:val="tx1"/>
            </w14:solidFill>
          </w14:textFill>
        </w:rPr>
        <w:t>合同价格与支付</w:t>
      </w:r>
      <w:bookmarkEnd w:id="864"/>
      <w:bookmarkEnd w:id="865"/>
      <w:bookmarkEnd w:id="866"/>
      <w:bookmarkEnd w:id="867"/>
      <w:bookmarkEnd w:id="868"/>
      <w:bookmarkEnd w:id="869"/>
      <w:bookmarkEnd w:id="870"/>
      <w:bookmarkEnd w:id="871"/>
      <w:bookmarkEnd w:id="872"/>
      <w:bookmarkEnd w:id="873"/>
      <w:bookmarkEnd w:id="874"/>
      <w:bookmarkEnd w:id="875"/>
    </w:p>
    <w:p>
      <w:pPr>
        <w:pStyle w:val="177"/>
        <w:spacing w:before="156"/>
        <w:rPr>
          <w:color w:val="000000" w:themeColor="text1"/>
          <w:highlight w:val="none"/>
          <w14:textFill>
            <w14:solidFill>
              <w14:schemeClr w14:val="tx1"/>
            </w14:solidFill>
          </w14:textFill>
        </w:rPr>
      </w:pPr>
      <w:bookmarkStart w:id="876" w:name="_Toc102745994"/>
      <w:bookmarkStart w:id="877" w:name="_Toc54862292"/>
      <w:bookmarkStart w:id="878" w:name="_Ref4431531"/>
      <w:bookmarkStart w:id="879" w:name="_Ref4431521"/>
      <w:r>
        <w:rPr>
          <w:rFonts w:hint="eastAsia"/>
          <w:color w:val="000000" w:themeColor="text1"/>
          <w:highlight w:val="none"/>
          <w14:textFill>
            <w14:solidFill>
              <w14:schemeClr w14:val="tx1"/>
            </w14:solidFill>
          </w14:textFill>
        </w:rPr>
        <w:t>14.1 合同价格形式</w:t>
      </w:r>
      <w:bookmarkEnd w:id="876"/>
      <w:bookmarkEnd w:id="877"/>
      <w:bookmarkEnd w:id="878"/>
      <w:bookmarkEnd w:id="879"/>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14.1.1 除专用合同条件中另有约定外，本合同为总价合同，除根据第13条[变更与调整]，以及合同中其它相关增减金额的约定进行调整外，合同价格不做调整。</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14.1.2 除专用合同条件另有约定外：</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工程款的支付应以合同协议书约定的签约合同价格为基础，按照合同约定进行调整；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承包人应支付根据法律规定或合同约定应由其支付的各项税费，除第13.7款[法律变化引起的调整]约定外，合同价格不应因任何这些税费进行调整；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14.1.3 合同约定工程的某部分按照实际完成的工程量进行支付的，应按照专用合同条件的约定进行计量和估价，并据此调整合同价格。</w:t>
      </w:r>
    </w:p>
    <w:p>
      <w:pPr>
        <w:pStyle w:val="177"/>
        <w:spacing w:before="156"/>
        <w:rPr>
          <w:color w:val="000000" w:themeColor="text1"/>
          <w:highlight w:val="none"/>
          <w14:textFill>
            <w14:solidFill>
              <w14:schemeClr w14:val="tx1"/>
            </w14:solidFill>
          </w14:textFill>
        </w:rPr>
      </w:pPr>
      <w:bookmarkStart w:id="880" w:name="_Toc102745995"/>
      <w:bookmarkStart w:id="881" w:name="_Ref531956881"/>
      <w:bookmarkStart w:id="882" w:name="_Toc54862293"/>
      <w:bookmarkStart w:id="883" w:name="_Ref531956884"/>
      <w:r>
        <w:rPr>
          <w:rFonts w:hint="eastAsia"/>
          <w:color w:val="000000" w:themeColor="text1"/>
          <w:highlight w:val="none"/>
          <w14:textFill>
            <w14:solidFill>
              <w14:schemeClr w14:val="tx1"/>
            </w14:solidFill>
          </w14:textFill>
        </w:rPr>
        <w:t>14.2 预付款</w:t>
      </w:r>
      <w:bookmarkEnd w:id="880"/>
      <w:bookmarkEnd w:id="881"/>
      <w:bookmarkEnd w:id="882"/>
      <w:bookmarkEnd w:id="883"/>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14.2.1 预付款支付</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预付款的额度和支付按照专用合同条件约定执行。预付款应当专用于承包人为合同工程的设计和工程实施购置材料、工程设备、施工设备、修建临时设施以及组织施工队伍进场等合同工作。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除专用合同条件另有约定外，预付款在进度付款中同比例扣回。在颁发工程接收证书前，提前解除合同的，尚未扣完的预付款应与合同价款一并结算。</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发包人逾期支付预付款超过7天的，承包人有权向发包人发出要求预付的催告通知，发包人收到通知后7天内仍未支付的，承包人有权暂停施工，并按第15.1.1项[发包人违约的情形]执行。</w:t>
      </w:r>
    </w:p>
    <w:p>
      <w:pPr>
        <w:pStyle w:val="169"/>
        <w:spacing w:before="156"/>
        <w:rPr>
          <w:color w:val="000000" w:themeColor="text1"/>
          <w:highlight w:val="none"/>
          <w14:textFill>
            <w14:solidFill>
              <w14:schemeClr w14:val="tx1"/>
            </w14:solidFill>
          </w14:textFill>
        </w:rPr>
      </w:pPr>
      <w:bookmarkStart w:id="884" w:name="_Ref531956907"/>
      <w:bookmarkStart w:id="885" w:name="_Ref4797624"/>
      <w:bookmarkStart w:id="886" w:name="_Hlk54429963"/>
      <w:r>
        <w:rPr>
          <w:rFonts w:hint="eastAsia"/>
          <w:color w:val="000000" w:themeColor="text1"/>
          <w:highlight w:val="none"/>
          <w14:textFill>
            <w14:solidFill>
              <w14:schemeClr w14:val="tx1"/>
            </w14:solidFill>
          </w14:textFill>
        </w:rPr>
        <w:t>14.2.2 预付款</w:t>
      </w:r>
      <w:bookmarkEnd w:id="884"/>
      <w:r>
        <w:rPr>
          <w:rFonts w:hint="eastAsia"/>
          <w:color w:val="000000" w:themeColor="text1"/>
          <w:highlight w:val="none"/>
          <w14:textFill>
            <w14:solidFill>
              <w14:schemeClr w14:val="tx1"/>
            </w14:solidFill>
          </w14:textFill>
        </w:rPr>
        <w:t>担保</w:t>
      </w:r>
      <w:bookmarkEnd w:id="885"/>
    </w:p>
    <w:bookmarkEnd w:id="886"/>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发包人在工程款中逐期扣回预付款后，预付款担保额度应相应减少，但剩余的预付款担保金额不得低于未被扣回的预付款金额。</w:t>
      </w:r>
    </w:p>
    <w:p>
      <w:pPr>
        <w:pStyle w:val="177"/>
        <w:spacing w:before="156"/>
        <w:rPr>
          <w:color w:val="000000" w:themeColor="text1"/>
          <w:highlight w:val="none"/>
          <w14:textFill>
            <w14:solidFill>
              <w14:schemeClr w14:val="tx1"/>
            </w14:solidFill>
          </w14:textFill>
        </w:rPr>
      </w:pPr>
      <w:bookmarkStart w:id="887" w:name="_Toc4784193"/>
      <w:bookmarkEnd w:id="887"/>
      <w:bookmarkStart w:id="888" w:name="_Toc4784195"/>
      <w:bookmarkEnd w:id="888"/>
      <w:bookmarkStart w:id="889" w:name="_Toc4784194"/>
      <w:bookmarkEnd w:id="889"/>
      <w:bookmarkStart w:id="890" w:name="_Ref4623398"/>
      <w:bookmarkStart w:id="891" w:name="_Toc54862294"/>
      <w:bookmarkStart w:id="892" w:name="_Ref531956963"/>
      <w:bookmarkStart w:id="893" w:name="_Ref531956967"/>
      <w:bookmarkStart w:id="894" w:name="_Toc102745996"/>
      <w:r>
        <w:rPr>
          <w:rFonts w:hint="eastAsia"/>
          <w:color w:val="000000" w:themeColor="text1"/>
          <w:highlight w:val="none"/>
          <w14:textFill>
            <w14:solidFill>
              <w14:schemeClr w14:val="tx1"/>
            </w14:solidFill>
          </w14:textFill>
        </w:rPr>
        <w:t>14.3 工程进度款</w:t>
      </w:r>
      <w:bookmarkEnd w:id="890"/>
      <w:bookmarkEnd w:id="891"/>
      <w:bookmarkEnd w:id="892"/>
      <w:bookmarkEnd w:id="893"/>
      <w:bookmarkEnd w:id="894"/>
    </w:p>
    <w:p>
      <w:pPr>
        <w:pStyle w:val="169"/>
        <w:spacing w:before="156"/>
        <w:rPr>
          <w:color w:val="000000" w:themeColor="text1"/>
          <w:highlight w:val="none"/>
          <w14:textFill>
            <w14:solidFill>
              <w14:schemeClr w14:val="tx1"/>
            </w14:solidFill>
          </w14:textFill>
        </w:rPr>
      </w:pPr>
      <w:bookmarkStart w:id="895" w:name="_Ref531956987"/>
      <w:bookmarkStart w:id="896" w:name="_Ref532679934"/>
      <w:r>
        <w:rPr>
          <w:rFonts w:hint="eastAsia"/>
          <w:color w:val="000000" w:themeColor="text1"/>
          <w:highlight w:val="none"/>
          <w14:textFill>
            <w14:solidFill>
              <w14:schemeClr w14:val="tx1"/>
            </w14:solidFill>
          </w14:textFill>
        </w:rPr>
        <w:t>14.3.1 工程进度付款申请</w:t>
      </w:r>
      <w:bookmarkEnd w:id="895"/>
      <w:bookmarkEnd w:id="89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（1）人工费的申请</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（2）除专用合同条件另有约定外，承包人应在每月月末向工程师提交进度付款申请单，该进度付款申请单应包括下列内容：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897" w:name="_Ref24496054"/>
      <w:r>
        <w:rPr>
          <w:rFonts w:hint="eastAsia" w:ascii="宋体"/>
          <w:color w:val="000000" w:themeColor="text1"/>
          <w:sz w:val="24"/>
          <w:szCs w:val="28"/>
          <w:highlight w:val="none"/>
          <w14:textFill>
            <w14:solidFill>
              <w14:schemeClr w14:val="tx1"/>
            </w14:solidFill>
          </w14:textFill>
        </w:rPr>
        <w:t>1） 截至本次付款周期内已完成工作对应的金额；</w:t>
      </w:r>
      <w:bookmarkEnd w:id="89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扣除依据本款第（1）目约定中已扣除的人工费金额；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根据第13条[变更与调整]应增加和扣减的变更金额；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根据第14.2款[预付款]约定应支付的预付款和扣减的返还预付款；</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根据第14.6.2项[质量保证金的预留]约定应预留的质量保证金金额；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根据第19条[索赔]应增加和扣减的索赔金额；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对已签发的进度款支付证书中出现错误的修正，应在本次进度付款中支付或扣除的金额；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 根据合同约定应增加和扣减的其他金额。</w:t>
      </w:r>
    </w:p>
    <w:p>
      <w:pPr>
        <w:pStyle w:val="169"/>
        <w:spacing w:before="156"/>
        <w:rPr>
          <w:color w:val="000000" w:themeColor="text1"/>
          <w:highlight w:val="none"/>
          <w14:textFill>
            <w14:solidFill>
              <w14:schemeClr w14:val="tx1"/>
            </w14:solidFill>
          </w14:textFill>
        </w:rPr>
      </w:pPr>
      <w:bookmarkStart w:id="898" w:name="_Ref531957608"/>
      <w:r>
        <w:rPr>
          <w:rFonts w:hint="eastAsia"/>
          <w:color w:val="000000" w:themeColor="text1"/>
          <w:highlight w:val="none"/>
          <w14:textFill>
            <w14:solidFill>
              <w14:schemeClr w14:val="tx1"/>
            </w14:solidFill>
          </w14:textFill>
        </w:rPr>
        <w:t>14.3.2 进度付款审核和支付</w:t>
      </w:r>
      <w:bookmarkEnd w:id="898"/>
    </w:p>
    <w:p>
      <w:pPr>
        <w:pStyle w:val="214"/>
        <w:numPr>
          <w:ilvl w:val="0"/>
          <w:numId w:val="0"/>
        </w:numPr>
        <w:spacing w:after="0" w:afterLines="0"/>
        <w:ind w:firstLine="480" w:firstLineChars="200"/>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pStyle w:val="214"/>
        <w:numPr>
          <w:ilvl w:val="0"/>
          <w:numId w:val="0"/>
        </w:numPr>
        <w:spacing w:after="0" w:afterLines="0"/>
        <w:ind w:firstLine="480" w:firstLineChars="200"/>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pPr>
        <w:pStyle w:val="214"/>
        <w:numPr>
          <w:ilvl w:val="0"/>
          <w:numId w:val="0"/>
        </w:numPr>
        <w:spacing w:after="0" w:afterLines="0"/>
        <w:ind w:firstLine="480" w:firstLineChars="200"/>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发包人签发进度款支付证书，不表明发包人已同意、批准或接受了承包人完成的相应部分的工作。</w:t>
      </w:r>
    </w:p>
    <w:p>
      <w:pPr>
        <w:pStyle w:val="169"/>
        <w:spacing w:before="156"/>
        <w:rPr>
          <w:color w:val="000000" w:themeColor="text1"/>
          <w:highlight w:val="none"/>
          <w14:textFill>
            <w14:solidFill>
              <w14:schemeClr w14:val="tx1"/>
            </w14:solidFill>
          </w14:textFill>
        </w:rPr>
      </w:pPr>
      <w:bookmarkStart w:id="899" w:name="_Ref531957023"/>
      <w:r>
        <w:rPr>
          <w:rFonts w:hint="eastAsia"/>
          <w:color w:val="000000" w:themeColor="text1"/>
          <w:highlight w:val="none"/>
          <w14:textFill>
            <w14:solidFill>
              <w14:schemeClr w14:val="tx1"/>
            </w14:solidFill>
          </w14:textFill>
        </w:rPr>
        <w:t>14.3.3 进度付款的修正</w:t>
      </w:r>
      <w:bookmarkEnd w:id="89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pPr>
        <w:pStyle w:val="177"/>
        <w:spacing w:before="156"/>
        <w:rPr>
          <w:color w:val="000000" w:themeColor="text1"/>
          <w:highlight w:val="none"/>
          <w14:textFill>
            <w14:solidFill>
              <w14:schemeClr w14:val="tx1"/>
            </w14:solidFill>
          </w14:textFill>
        </w:rPr>
      </w:pPr>
      <w:bookmarkStart w:id="900" w:name="_Toc102745997"/>
      <w:bookmarkStart w:id="901" w:name="_Toc54862295"/>
      <w:bookmarkStart w:id="902" w:name="_Ref4538578"/>
      <w:bookmarkStart w:id="903" w:name="_Ref536647822"/>
      <w:bookmarkStart w:id="904" w:name="_Ref536647814"/>
      <w:r>
        <w:rPr>
          <w:rFonts w:hint="eastAsia"/>
          <w:color w:val="000000" w:themeColor="text1"/>
          <w:highlight w:val="none"/>
          <w14:textFill>
            <w14:solidFill>
              <w14:schemeClr w14:val="tx1"/>
            </w14:solidFill>
          </w14:textFill>
        </w:rPr>
        <w:t>14.4 付款计划表</w:t>
      </w:r>
      <w:bookmarkEnd w:id="900"/>
      <w:bookmarkEnd w:id="901"/>
      <w:bookmarkEnd w:id="902"/>
    </w:p>
    <w:p>
      <w:pPr>
        <w:pStyle w:val="169"/>
        <w:spacing w:before="156"/>
        <w:rPr>
          <w:color w:val="000000" w:themeColor="text1"/>
          <w:highlight w:val="none"/>
          <w14:textFill>
            <w14:solidFill>
              <w14:schemeClr w14:val="tx1"/>
            </w14:solidFill>
          </w14:textFill>
        </w:rPr>
      </w:pPr>
      <w:bookmarkStart w:id="905" w:name="_Ref4570974"/>
      <w:r>
        <w:rPr>
          <w:rFonts w:hint="eastAsia"/>
          <w:color w:val="000000" w:themeColor="text1"/>
          <w:highlight w:val="none"/>
          <w14:textFill>
            <w14:solidFill>
              <w14:schemeClr w14:val="tx1"/>
            </w14:solidFill>
          </w14:textFill>
        </w:rPr>
        <w:t>14.4.1 付款计划表的编制要求</w:t>
      </w:r>
      <w:bookmarkEnd w:id="90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除专用合同条件另有约定外，付款计划表按如下要求编制：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付款计划表中所列的每期付款金额，应为第14.3.1项[工程进度付款申请]每期进度款的估算金额；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实际进度与项目进度计划不一致的，合同当事人可按照第3.6款[商定或确定]修改付款计划表；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不采用付款计划表的，承包人应向工程师提交按季度编制的支付估算付款计划表，用于支付参考。</w:t>
      </w:r>
    </w:p>
    <w:p>
      <w:pPr>
        <w:pStyle w:val="169"/>
        <w:spacing w:before="156"/>
        <w:rPr>
          <w:color w:val="000000" w:themeColor="text1"/>
          <w:highlight w:val="none"/>
          <w14:textFill>
            <w14:solidFill>
              <w14:schemeClr w14:val="tx1"/>
            </w14:solidFill>
          </w14:textFill>
        </w:rPr>
      </w:pPr>
      <w:bookmarkStart w:id="906" w:name="_Ref4571011"/>
      <w:r>
        <w:rPr>
          <w:rFonts w:hint="eastAsia"/>
          <w:color w:val="000000" w:themeColor="text1"/>
          <w:highlight w:val="none"/>
          <w14:textFill>
            <w14:solidFill>
              <w14:schemeClr w14:val="tx1"/>
            </w14:solidFill>
          </w14:textFill>
        </w:rPr>
        <w:t>14.4.2 付款计划表的编制与审批</w:t>
      </w:r>
      <w:bookmarkEnd w:id="90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工程师应在收到付款计划表后7天内完成审核并报送发包人。发包人应在收到经工程师审核的付款计划表后7天内完成审批，经发包人批准的付款计划表为有约束力的付款计划表。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发包人逾期未完成付款计划表审批的，也未及时要求承包人进行修正和提供补充资料的，则承包人提交的付款计划表视为已经获得发包人批准。</w:t>
      </w:r>
    </w:p>
    <w:p>
      <w:pPr>
        <w:pStyle w:val="177"/>
        <w:spacing w:before="156"/>
        <w:rPr>
          <w:color w:val="000000" w:themeColor="text1"/>
          <w:highlight w:val="none"/>
          <w14:textFill>
            <w14:solidFill>
              <w14:schemeClr w14:val="tx1"/>
            </w14:solidFill>
          </w14:textFill>
        </w:rPr>
      </w:pPr>
      <w:bookmarkStart w:id="907" w:name="_Ref4538634"/>
      <w:bookmarkStart w:id="908" w:name="_Toc54862296"/>
      <w:bookmarkStart w:id="909" w:name="_Toc102745998"/>
      <w:r>
        <w:rPr>
          <w:rFonts w:hint="eastAsia"/>
          <w:color w:val="000000" w:themeColor="text1"/>
          <w:highlight w:val="none"/>
          <w14:textFill>
            <w14:solidFill>
              <w14:schemeClr w14:val="tx1"/>
            </w14:solidFill>
          </w14:textFill>
        </w:rPr>
        <w:t>14.5 竣工结算</w:t>
      </w:r>
      <w:bookmarkEnd w:id="907"/>
      <w:bookmarkEnd w:id="908"/>
      <w:bookmarkEnd w:id="909"/>
    </w:p>
    <w:p>
      <w:pPr>
        <w:pStyle w:val="169"/>
        <w:spacing w:before="156"/>
        <w:rPr>
          <w:color w:val="000000" w:themeColor="text1"/>
          <w:highlight w:val="none"/>
          <w14:textFill>
            <w14:solidFill>
              <w14:schemeClr w14:val="tx1"/>
            </w14:solidFill>
          </w14:textFill>
        </w:rPr>
      </w:pPr>
      <w:bookmarkStart w:id="910" w:name="_Ref4571361"/>
      <w:r>
        <w:rPr>
          <w:rFonts w:hint="eastAsia"/>
          <w:color w:val="000000" w:themeColor="text1"/>
          <w:highlight w:val="none"/>
          <w14:textFill>
            <w14:solidFill>
              <w14:schemeClr w14:val="tx1"/>
            </w14:solidFill>
          </w14:textFill>
        </w:rPr>
        <w:t>14.5.1 竣工结算申请</w:t>
      </w:r>
      <w:bookmarkEnd w:id="91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除专用合同条件另有约定外，竣工结算申请单应包括以下内容：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竣工结算合同价格；</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发包人已支付承包人的款项；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发包人应支付承包人的合同价款。</w:t>
      </w:r>
    </w:p>
    <w:p>
      <w:pPr>
        <w:pStyle w:val="169"/>
        <w:spacing w:before="156"/>
        <w:rPr>
          <w:color w:val="000000" w:themeColor="text1"/>
          <w:highlight w:val="none"/>
          <w14:textFill>
            <w14:solidFill>
              <w14:schemeClr w14:val="tx1"/>
            </w14:solidFill>
          </w14:textFill>
        </w:rPr>
      </w:pPr>
      <w:bookmarkStart w:id="911" w:name="_Ref4571384"/>
      <w:r>
        <w:rPr>
          <w:rFonts w:hint="eastAsia"/>
          <w:color w:val="000000" w:themeColor="text1"/>
          <w:highlight w:val="none"/>
          <w14:textFill>
            <w14:solidFill>
              <w14:schemeClr w14:val="tx1"/>
            </w14:solidFill>
          </w14:textFill>
        </w:rPr>
        <w:t>14.5.2 竣工结算审核</w:t>
      </w:r>
      <w:bookmarkEnd w:id="91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12" w:name="_Ref4618006"/>
      <w:r>
        <w:rPr>
          <w:rFonts w:hint="eastAsia" w:ascii="宋体"/>
          <w:color w:val="000000" w:themeColor="text1"/>
          <w:sz w:val="24"/>
          <w:szCs w:val="28"/>
          <w:highlight w:val="none"/>
          <w14:textFill>
            <w14:solidFill>
              <w14:schemeClr w14:val="tx1"/>
            </w14:solidFill>
          </w14:textFill>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91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pStyle w:val="169"/>
        <w:spacing w:before="156"/>
        <w:rPr>
          <w:color w:val="000000" w:themeColor="text1"/>
          <w:highlight w:val="none"/>
          <w14:textFill>
            <w14:solidFill>
              <w14:schemeClr w14:val="tx1"/>
            </w14:solidFill>
          </w14:textFill>
        </w:rPr>
      </w:pPr>
      <w:bookmarkStart w:id="913" w:name="_Ref15484305"/>
      <w:r>
        <w:rPr>
          <w:rFonts w:hint="eastAsia"/>
          <w:color w:val="000000" w:themeColor="text1"/>
          <w:highlight w:val="none"/>
          <w14:textFill>
            <w14:solidFill>
              <w14:schemeClr w14:val="tx1"/>
            </w14:solidFill>
          </w14:textFill>
        </w:rPr>
        <w:t>14.5.3 扫尾工作清单</w:t>
      </w:r>
      <w:bookmarkEnd w:id="91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经双方协商，部分工作在工程竣工验收后进行的，承包人应当编制扫尾工作清单，扫尾工作清单中应当列明承包人应当完成的扫尾工作的内容及完成时间。</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承包人完成扫尾工作清单中的内容应取得的费用包含在第14.5.1项[竣工结算申请]及第14.5.2项[竣工结算审核]中一并结算。</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扫尾工作的缺陷责任期按第11条[缺陷责任与保修]处理。承包人未能按照扫尾工作清单约定的完成时间完成扫尾工作的，视为承包人原因导致的工程质量缺陷按照第11.3款[缺陷调查]处理。</w:t>
      </w:r>
    </w:p>
    <w:p>
      <w:pPr>
        <w:pStyle w:val="177"/>
        <w:spacing w:before="156"/>
        <w:rPr>
          <w:color w:val="000000" w:themeColor="text1"/>
          <w:highlight w:val="none"/>
          <w14:textFill>
            <w14:solidFill>
              <w14:schemeClr w14:val="tx1"/>
            </w14:solidFill>
          </w14:textFill>
        </w:rPr>
      </w:pPr>
      <w:bookmarkStart w:id="914" w:name="_Ref15395020"/>
      <w:bookmarkStart w:id="915" w:name="_Ref4617582"/>
      <w:bookmarkStart w:id="916" w:name="_Ref4571100"/>
      <w:bookmarkStart w:id="917" w:name="_Ref4582115"/>
      <w:bookmarkStart w:id="918" w:name="_Ref4571127"/>
      <w:bookmarkStart w:id="919" w:name="_Toc54862297"/>
      <w:bookmarkStart w:id="920" w:name="_Ref4617592"/>
      <w:bookmarkStart w:id="921" w:name="_Toc102745999"/>
      <w:bookmarkStart w:id="922" w:name="_Hlk15394931"/>
      <w:r>
        <w:rPr>
          <w:rFonts w:hint="eastAsia"/>
          <w:color w:val="000000" w:themeColor="text1"/>
          <w:highlight w:val="none"/>
          <w14:textFill>
            <w14:solidFill>
              <w14:schemeClr w14:val="tx1"/>
            </w14:solidFill>
          </w14:textFill>
        </w:rPr>
        <w:t>14.6 质量保证金</w:t>
      </w:r>
      <w:bookmarkEnd w:id="903"/>
      <w:bookmarkEnd w:id="904"/>
      <w:bookmarkEnd w:id="914"/>
      <w:bookmarkEnd w:id="915"/>
      <w:bookmarkEnd w:id="916"/>
      <w:bookmarkEnd w:id="917"/>
      <w:bookmarkEnd w:id="918"/>
      <w:bookmarkEnd w:id="919"/>
      <w:bookmarkEnd w:id="920"/>
      <w:bookmarkEnd w:id="921"/>
      <w:r>
        <w:rPr>
          <w:rFonts w:hint="eastAsia"/>
          <w:color w:val="000000" w:themeColor="text1"/>
          <w:highlight w:val="none"/>
          <w14:textFill>
            <w14:solidFill>
              <w14:schemeClr w14:val="tx1"/>
            </w14:solidFill>
          </w14:textFill>
        </w:rPr>
        <w:t xml:space="preserve">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经合同当事人协商一致提供质量保证金的，应在专用合同条件中予以明确。在工程项目竣工前，承包人已经提供履约担保的，发包人不得同时要求承包人提供质量保证金。</w:t>
      </w:r>
    </w:p>
    <w:bookmarkEnd w:id="922"/>
    <w:p>
      <w:pPr>
        <w:pStyle w:val="169"/>
        <w:spacing w:before="156"/>
        <w:rPr>
          <w:color w:val="000000" w:themeColor="text1"/>
          <w:highlight w:val="none"/>
          <w14:textFill>
            <w14:solidFill>
              <w14:schemeClr w14:val="tx1"/>
            </w14:solidFill>
          </w14:textFill>
        </w:rPr>
      </w:pPr>
      <w:bookmarkStart w:id="923" w:name="_Ref531955069"/>
      <w:bookmarkStart w:id="924" w:name="_Ref531957153"/>
      <w:r>
        <w:rPr>
          <w:rFonts w:hint="eastAsia"/>
          <w:color w:val="000000" w:themeColor="text1"/>
          <w:highlight w:val="none"/>
          <w14:textFill>
            <w14:solidFill>
              <w14:schemeClr w14:val="tx1"/>
            </w14:solidFill>
          </w14:textFill>
        </w:rPr>
        <w:t>14.6.1 承包人提供质量保证金的方式</w:t>
      </w:r>
      <w:bookmarkEnd w:id="92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承包人提供质量保证金有以下三种方式：</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25" w:name="_Ref531955096"/>
      <w:r>
        <w:rPr>
          <w:rFonts w:hint="eastAsia" w:ascii="宋体"/>
          <w:color w:val="000000" w:themeColor="text1"/>
          <w:sz w:val="24"/>
          <w:szCs w:val="28"/>
          <w:highlight w:val="none"/>
          <w14:textFill>
            <w14:solidFill>
              <w14:schemeClr w14:val="tx1"/>
            </w14:solidFill>
          </w14:textFill>
        </w:rPr>
        <w:t>（1） 提交工程质量保证担保；</w:t>
      </w:r>
      <w:bookmarkEnd w:id="92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26" w:name="_Ref531955107"/>
      <w:r>
        <w:rPr>
          <w:rFonts w:hint="eastAsia" w:ascii="宋体"/>
          <w:color w:val="000000" w:themeColor="text1"/>
          <w:sz w:val="24"/>
          <w:szCs w:val="28"/>
          <w:highlight w:val="none"/>
          <w14:textFill>
            <w14:solidFill>
              <w14:schemeClr w14:val="tx1"/>
            </w14:solidFill>
          </w14:textFill>
        </w:rPr>
        <w:t>（2） 预留相应比例的工程款；</w:t>
      </w:r>
      <w:bookmarkEnd w:id="92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27" w:name="_Ref531955117"/>
      <w:r>
        <w:rPr>
          <w:rFonts w:hint="eastAsia" w:ascii="宋体"/>
          <w:color w:val="000000" w:themeColor="text1"/>
          <w:sz w:val="24"/>
          <w:szCs w:val="28"/>
          <w:highlight w:val="none"/>
          <w14:textFill>
            <w14:solidFill>
              <w14:schemeClr w14:val="tx1"/>
            </w14:solidFill>
          </w14:textFill>
        </w:rPr>
        <w:t>（3） 双方约定的其他方式。</w:t>
      </w:r>
      <w:bookmarkEnd w:id="92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pStyle w:val="169"/>
        <w:spacing w:before="156"/>
        <w:rPr>
          <w:color w:val="000000" w:themeColor="text1"/>
          <w:highlight w:val="none"/>
          <w14:textFill>
            <w14:solidFill>
              <w14:schemeClr w14:val="tx1"/>
            </w14:solidFill>
          </w14:textFill>
        </w:rPr>
      </w:pPr>
      <w:bookmarkStart w:id="928" w:name="_Ref15419738"/>
      <w:bookmarkStart w:id="929" w:name="_Ref18931667"/>
      <w:r>
        <w:rPr>
          <w:rFonts w:hint="eastAsia"/>
          <w:color w:val="000000" w:themeColor="text1"/>
          <w:highlight w:val="none"/>
          <w14:textFill>
            <w14:solidFill>
              <w14:schemeClr w14:val="tx1"/>
            </w14:solidFill>
          </w14:textFill>
        </w:rPr>
        <w:t>14.6.2 质量保证金的预留</w:t>
      </w:r>
      <w:bookmarkEnd w:id="928"/>
      <w:bookmarkEnd w:id="92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双方约定采用预留相应比例的工程款方式提供质量保证金的，质量保证金的预留有以下三种方式：</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30" w:name="_Hlk18840714"/>
      <w:bookmarkStart w:id="931" w:name="_Ref531955143"/>
      <w:r>
        <w:rPr>
          <w:rFonts w:hint="eastAsia" w:ascii="宋体"/>
          <w:color w:val="000000" w:themeColor="text1"/>
          <w:sz w:val="24"/>
          <w:szCs w:val="28"/>
          <w:highlight w:val="none"/>
          <w14:textFill>
            <w14:solidFill>
              <w14:schemeClr w14:val="tx1"/>
            </w14:solidFill>
          </w14:textFill>
        </w:rPr>
        <w:t>（1） 按专用合同条件的约定在支付工程进度款时逐次预留，直至预留的质量保证金总额达到专用合同条件约定的金额或比例为止</w:t>
      </w:r>
      <w:bookmarkEnd w:id="930"/>
      <w:r>
        <w:rPr>
          <w:rFonts w:hint="eastAsia" w:ascii="宋体"/>
          <w:color w:val="000000" w:themeColor="text1"/>
          <w:sz w:val="24"/>
          <w:szCs w:val="28"/>
          <w:highlight w:val="none"/>
          <w14:textFill>
            <w14:solidFill>
              <w14:schemeClr w14:val="tx1"/>
            </w14:solidFill>
          </w14:textFill>
        </w:rPr>
        <w:t>。在此情形下，质量保证金的计算基数不包括预付款的支付、扣回以及价格调整的金额；</w:t>
      </w:r>
      <w:bookmarkEnd w:id="93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32" w:name="_Ref531955151"/>
      <w:r>
        <w:rPr>
          <w:rFonts w:hint="eastAsia" w:ascii="宋体"/>
          <w:color w:val="000000" w:themeColor="text1"/>
          <w:sz w:val="24"/>
          <w:szCs w:val="28"/>
          <w:highlight w:val="none"/>
          <w14:textFill>
            <w14:solidFill>
              <w14:schemeClr w14:val="tx1"/>
            </w14:solidFill>
          </w14:textFill>
        </w:rPr>
        <w:t>（2） 工程竣工结算时一次性预留质量保证金；</w:t>
      </w:r>
      <w:bookmarkEnd w:id="93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33" w:name="_Ref531955161"/>
      <w:r>
        <w:rPr>
          <w:rFonts w:hint="eastAsia" w:ascii="宋体"/>
          <w:color w:val="000000" w:themeColor="text1"/>
          <w:sz w:val="24"/>
          <w:szCs w:val="28"/>
          <w:highlight w:val="none"/>
          <w14:textFill>
            <w14:solidFill>
              <w14:schemeClr w14:val="tx1"/>
            </w14:solidFill>
          </w14:textFill>
        </w:rPr>
        <w:t>（3） 双方约定的其他预留方式。</w:t>
      </w:r>
      <w:bookmarkEnd w:id="93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pStyle w:val="169"/>
        <w:spacing w:before="156"/>
        <w:rPr>
          <w:color w:val="000000" w:themeColor="text1"/>
          <w:highlight w:val="none"/>
          <w14:textFill>
            <w14:solidFill>
              <w14:schemeClr w14:val="tx1"/>
            </w14:solidFill>
          </w14:textFill>
        </w:rPr>
      </w:pPr>
      <w:bookmarkStart w:id="934" w:name="_Ref532690096"/>
      <w:bookmarkStart w:id="935" w:name="_Ref4571243"/>
      <w:r>
        <w:rPr>
          <w:rFonts w:hint="eastAsia"/>
          <w:color w:val="000000" w:themeColor="text1"/>
          <w:highlight w:val="none"/>
          <w14:textFill>
            <w14:solidFill>
              <w14:schemeClr w14:val="tx1"/>
            </w14:solidFill>
          </w14:textFill>
        </w:rPr>
        <w:t>14.6.3 质量保证金的</w:t>
      </w:r>
      <w:bookmarkEnd w:id="934"/>
      <w:r>
        <w:rPr>
          <w:rFonts w:hint="eastAsia"/>
          <w:color w:val="000000" w:themeColor="text1"/>
          <w:highlight w:val="none"/>
          <w14:textFill>
            <w14:solidFill>
              <w14:schemeClr w14:val="tx1"/>
            </w14:solidFill>
          </w14:textFill>
        </w:rPr>
        <w:t>返还</w:t>
      </w:r>
      <w:bookmarkEnd w:id="93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缺陷责任期内，承包人认真履行合同约定的责任，缺陷责任期满，发包人根据第11.6款[缺陷责任期终止证书]向承包人颁发缺陷责任期终止证书后，承包人可向发包人申请返还质量保证金。</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发包人和承包人对质量保证金预留、返还以及工程维修质量、费用有争议的，按本合同第20条[争议解决]约定的争议和纠纷解决程序处理。</w:t>
      </w:r>
    </w:p>
    <w:bookmarkEnd w:id="924"/>
    <w:p>
      <w:pPr>
        <w:pStyle w:val="177"/>
        <w:spacing w:before="156"/>
        <w:rPr>
          <w:color w:val="000000" w:themeColor="text1"/>
          <w:highlight w:val="none"/>
          <w14:textFill>
            <w14:solidFill>
              <w14:schemeClr w14:val="tx1"/>
            </w14:solidFill>
          </w14:textFill>
        </w:rPr>
      </w:pPr>
      <w:bookmarkStart w:id="936" w:name="_Ref531957339"/>
      <w:bookmarkStart w:id="937" w:name="_Ref531957341"/>
      <w:bookmarkStart w:id="938" w:name="_Toc102746000"/>
      <w:bookmarkStart w:id="939" w:name="_Toc54862298"/>
      <w:r>
        <w:rPr>
          <w:rFonts w:hint="eastAsia"/>
          <w:color w:val="000000" w:themeColor="text1"/>
          <w:highlight w:val="none"/>
          <w14:textFill>
            <w14:solidFill>
              <w14:schemeClr w14:val="tx1"/>
            </w14:solidFill>
          </w14:textFill>
        </w:rPr>
        <w:t>14.7 最终结清</w:t>
      </w:r>
      <w:bookmarkEnd w:id="936"/>
      <w:bookmarkEnd w:id="937"/>
      <w:bookmarkEnd w:id="938"/>
      <w:bookmarkEnd w:id="939"/>
    </w:p>
    <w:p>
      <w:pPr>
        <w:pStyle w:val="169"/>
        <w:spacing w:before="156"/>
        <w:rPr>
          <w:color w:val="000000" w:themeColor="text1"/>
          <w:highlight w:val="none"/>
          <w14:textFill>
            <w14:solidFill>
              <w14:schemeClr w14:val="tx1"/>
            </w14:solidFill>
          </w14:textFill>
        </w:rPr>
      </w:pPr>
      <w:bookmarkStart w:id="940" w:name="_Ref531957350"/>
      <w:r>
        <w:rPr>
          <w:rFonts w:hint="eastAsia"/>
          <w:color w:val="000000" w:themeColor="text1"/>
          <w:highlight w:val="none"/>
          <w14:textFill>
            <w14:solidFill>
              <w14:schemeClr w14:val="tx1"/>
            </w14:solidFill>
          </w14:textFill>
        </w:rPr>
        <w:t>14.7.1 最终结清申请</w:t>
      </w:r>
      <w:bookmarkEnd w:id="940"/>
      <w:r>
        <w:rPr>
          <w:rFonts w:hint="eastAsia"/>
          <w:color w:val="000000" w:themeColor="text1"/>
          <w:highlight w:val="none"/>
          <w14:textFill>
            <w14:solidFill>
              <w14:schemeClr w14:val="tx1"/>
            </w14:solidFill>
          </w14:textFill>
        </w:rPr>
        <w:t>单</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除专用合同条件另有约定外，承包人应在缺陷责任期终止证书颁发后7天内，按专用合同条件约定的份数向发包人提交最终结清申请单，并提供相关证明材料。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除专用合同条件另有约定外，最终结清申请单应列明质量保证金、应扣除的质量保证金、缺陷责任期内发生的增减费用。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发包人对最终结清申请单内容有异议的，有权要求承包人进行修正和提供补充资料，承包人应向发包人提交修正后的最终结清申请单。</w:t>
      </w:r>
    </w:p>
    <w:p>
      <w:pPr>
        <w:pStyle w:val="169"/>
        <w:spacing w:before="156"/>
        <w:rPr>
          <w:color w:val="000000" w:themeColor="text1"/>
          <w:highlight w:val="none"/>
          <w14:textFill>
            <w14:solidFill>
              <w14:schemeClr w14:val="tx1"/>
            </w14:solidFill>
          </w14:textFill>
        </w:rPr>
      </w:pPr>
      <w:bookmarkStart w:id="941" w:name="_Ref531957369"/>
      <w:bookmarkStart w:id="942" w:name="_Ref4624099"/>
      <w:r>
        <w:rPr>
          <w:rFonts w:hint="eastAsia"/>
          <w:color w:val="000000" w:themeColor="text1"/>
          <w:highlight w:val="none"/>
          <w14:textFill>
            <w14:solidFill>
              <w14:schemeClr w14:val="tx1"/>
            </w14:solidFill>
          </w14:textFill>
        </w:rPr>
        <w:t>14.7.2 最终结清证书</w:t>
      </w:r>
      <w:bookmarkEnd w:id="941"/>
      <w:r>
        <w:rPr>
          <w:rFonts w:hint="eastAsia"/>
          <w:color w:val="000000" w:themeColor="text1"/>
          <w:highlight w:val="none"/>
          <w14:textFill>
            <w14:solidFill>
              <w14:schemeClr w14:val="tx1"/>
            </w14:solidFill>
          </w14:textFill>
        </w:rPr>
        <w:t>和支付</w:t>
      </w:r>
      <w:bookmarkEnd w:id="94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除专用合同条件另有约定外，发包人应在颁发最终结清证书后7天内完成支付。发包人逾期支付的，按照贷款市场报价利率（LPR）支付利息；逾期支付超过56天的，按照贷款市场报价利率（LPR）的两倍支付利息。</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承包人对发包人颁发的最终结清证书有异议的，按第20条[争议解决]的约定办理。</w:t>
      </w:r>
    </w:p>
    <w:p>
      <w:pPr>
        <w:pStyle w:val="201"/>
        <w:rPr>
          <w:color w:val="000000" w:themeColor="text1"/>
          <w:highlight w:val="none"/>
          <w14:textFill>
            <w14:solidFill>
              <w14:schemeClr w14:val="tx1"/>
            </w14:solidFill>
          </w14:textFill>
        </w:rPr>
      </w:pPr>
      <w:bookmarkStart w:id="943" w:name="_Toc54862299"/>
      <w:bookmarkStart w:id="944" w:name="_Toc27131"/>
      <w:bookmarkStart w:id="945" w:name="_Toc23747"/>
      <w:bookmarkStart w:id="946" w:name="_Toc5372"/>
      <w:bookmarkStart w:id="947" w:name="_Ref11920407"/>
      <w:bookmarkStart w:id="948" w:name="_Ref11874957"/>
      <w:bookmarkStart w:id="949" w:name="_Toc17240"/>
      <w:bookmarkStart w:id="950" w:name="_Ref11920396"/>
      <w:bookmarkStart w:id="951" w:name="_Toc102746001"/>
      <w:bookmarkStart w:id="952" w:name="_Toc22203"/>
      <w:bookmarkStart w:id="953" w:name="_Toc4141"/>
      <w:bookmarkStart w:id="954" w:name="_Toc20991"/>
      <w:bookmarkStart w:id="955" w:name="_Toc26519"/>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15条 </w:t>
      </w:r>
      <w:r>
        <w:rPr>
          <w:rFonts w:hint="eastAsia"/>
          <w:color w:val="000000" w:themeColor="text1"/>
          <w:highlight w:val="none"/>
          <w14:textFill>
            <w14:solidFill>
              <w14:schemeClr w14:val="tx1"/>
            </w14:solidFill>
          </w14:textFill>
        </w:rPr>
        <w:t>违约</w:t>
      </w:r>
      <w:bookmarkEnd w:id="755"/>
      <w:bookmarkEnd w:id="768"/>
      <w:bookmarkEnd w:id="769"/>
      <w:bookmarkEnd w:id="943"/>
      <w:bookmarkEnd w:id="944"/>
      <w:bookmarkEnd w:id="945"/>
      <w:bookmarkEnd w:id="946"/>
      <w:bookmarkEnd w:id="947"/>
      <w:bookmarkEnd w:id="948"/>
      <w:bookmarkEnd w:id="949"/>
      <w:bookmarkEnd w:id="950"/>
      <w:bookmarkEnd w:id="951"/>
      <w:bookmarkEnd w:id="952"/>
      <w:bookmarkEnd w:id="953"/>
      <w:bookmarkEnd w:id="954"/>
      <w:bookmarkEnd w:id="955"/>
    </w:p>
    <w:p>
      <w:pPr>
        <w:pStyle w:val="177"/>
        <w:spacing w:before="156"/>
        <w:rPr>
          <w:color w:val="000000" w:themeColor="text1"/>
          <w:highlight w:val="none"/>
          <w14:textFill>
            <w14:solidFill>
              <w14:schemeClr w14:val="tx1"/>
            </w14:solidFill>
          </w14:textFill>
        </w:rPr>
      </w:pPr>
      <w:bookmarkStart w:id="956" w:name="_Ref4534399"/>
      <w:bookmarkStart w:id="957" w:name="_Ref4534384"/>
      <w:bookmarkStart w:id="958" w:name="_Ref4534411"/>
      <w:bookmarkStart w:id="959" w:name="_Ref4534376"/>
      <w:bookmarkStart w:id="960" w:name="_Toc54862300"/>
      <w:bookmarkStart w:id="961" w:name="_Toc102746002"/>
      <w:r>
        <w:rPr>
          <w:rFonts w:hint="eastAsia"/>
          <w:color w:val="000000" w:themeColor="text1"/>
          <w:highlight w:val="none"/>
          <w14:textFill>
            <w14:solidFill>
              <w14:schemeClr w14:val="tx1"/>
            </w14:solidFill>
          </w14:textFill>
        </w:rPr>
        <w:t>15.1 发包人违约</w:t>
      </w:r>
      <w:bookmarkEnd w:id="956"/>
      <w:bookmarkEnd w:id="957"/>
      <w:bookmarkEnd w:id="958"/>
      <w:bookmarkEnd w:id="959"/>
      <w:bookmarkEnd w:id="960"/>
      <w:bookmarkEnd w:id="961"/>
    </w:p>
    <w:p>
      <w:pPr>
        <w:pStyle w:val="169"/>
        <w:spacing w:before="156"/>
        <w:rPr>
          <w:color w:val="000000" w:themeColor="text1"/>
          <w:highlight w:val="none"/>
          <w14:textFill>
            <w14:solidFill>
              <w14:schemeClr w14:val="tx1"/>
            </w14:solidFill>
          </w14:textFill>
        </w:rPr>
      </w:pPr>
      <w:bookmarkStart w:id="962" w:name="_Ref3841087"/>
      <w:r>
        <w:rPr>
          <w:rFonts w:hint="eastAsia"/>
          <w:color w:val="000000" w:themeColor="text1"/>
          <w:highlight w:val="none"/>
          <w14:textFill>
            <w14:solidFill>
              <w14:schemeClr w14:val="tx1"/>
            </w14:solidFill>
          </w14:textFill>
        </w:rPr>
        <w:t>15.1.1 发包人违约的情形</w:t>
      </w:r>
      <w:bookmarkEnd w:id="96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除专用合同条件另有约定外，在合同履行过程中发生的下列情形，属于发包人违约：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 xml:space="preserve">（1） 因发包人原因导致开始工作日期延误的；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因发包人原因未能按合同约定支付合同价款的；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发包人违反第13.1.1项约定，自行实施被取消的工作或转由他人实施的；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因发包人违反合同约定造成工程暂停施工的；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工程师无正当理由没有在约定期限内发出复工指示，导致承包人无法复工的；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发包人明确表示或者以其行为表明不履行合同主要义务的；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发包人未能按照合同约定履行其他义务的。</w:t>
      </w:r>
    </w:p>
    <w:p>
      <w:pPr>
        <w:pStyle w:val="169"/>
        <w:spacing w:before="156"/>
        <w:rPr>
          <w:color w:val="000000" w:themeColor="text1"/>
          <w:highlight w:val="none"/>
          <w14:textFill>
            <w14:solidFill>
              <w14:schemeClr w14:val="tx1"/>
            </w14:solidFill>
          </w14:textFill>
        </w:rPr>
      </w:pPr>
      <w:bookmarkStart w:id="963" w:name="_Ref4535692"/>
      <w:r>
        <w:rPr>
          <w:rFonts w:hint="eastAsia"/>
          <w:color w:val="000000" w:themeColor="text1"/>
          <w:highlight w:val="none"/>
          <w14:textFill>
            <w14:solidFill>
              <w14:schemeClr w14:val="tx1"/>
            </w14:solidFill>
          </w14:textFill>
        </w:rPr>
        <w:t>15.1.2 通知改正</w:t>
      </w:r>
      <w:bookmarkEnd w:id="96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64" w:name="_Hlk16248297"/>
      <w:r>
        <w:rPr>
          <w:rFonts w:hint="eastAsia" w:ascii="宋体"/>
          <w:color w:val="000000" w:themeColor="text1"/>
          <w:sz w:val="24"/>
          <w:szCs w:val="28"/>
          <w:highlight w:val="none"/>
          <w14:textFill>
            <w14:solidFill>
              <w14:schemeClr w14:val="tx1"/>
            </w14:solidFill>
          </w14:textFill>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bookmarkEnd w:id="964"/>
    </w:p>
    <w:p>
      <w:pPr>
        <w:pStyle w:val="169"/>
        <w:spacing w:before="156"/>
        <w:rPr>
          <w:color w:val="000000" w:themeColor="text1"/>
          <w:highlight w:val="none"/>
          <w14:textFill>
            <w14:solidFill>
              <w14:schemeClr w14:val="tx1"/>
            </w14:solidFill>
          </w14:textFill>
        </w:rPr>
      </w:pPr>
      <w:bookmarkStart w:id="965" w:name="_Ref3841132"/>
      <w:r>
        <w:rPr>
          <w:rFonts w:hint="eastAsia"/>
          <w:color w:val="000000" w:themeColor="text1"/>
          <w:highlight w:val="none"/>
          <w14:textFill>
            <w14:solidFill>
              <w14:schemeClr w14:val="tx1"/>
            </w14:solidFill>
          </w14:textFill>
        </w:rPr>
        <w:t>15.1.3 发包人违约的责任</w:t>
      </w:r>
      <w:bookmarkEnd w:id="96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66" w:name="_Hlk16247984"/>
      <w:r>
        <w:rPr>
          <w:rFonts w:hint="eastAsia" w:ascii="宋体"/>
          <w:color w:val="000000" w:themeColor="text1"/>
          <w:sz w:val="24"/>
          <w:szCs w:val="28"/>
          <w:highlight w:val="none"/>
          <w14:textFill>
            <w14:solidFill>
              <w14:schemeClr w14:val="tx1"/>
            </w14:solidFill>
          </w14:textFill>
        </w:rPr>
        <w:t>发包人应承担因其违约给承包人增加的费用和（或）延误的工期，并支付承包人合理的利润。此外，合同当事人可在专用合同条件中另行约定发包人违约责任的承担方式和计算方法。</w:t>
      </w:r>
      <w:bookmarkEnd w:id="966"/>
    </w:p>
    <w:p>
      <w:pPr>
        <w:pStyle w:val="177"/>
        <w:spacing w:before="156"/>
        <w:rPr>
          <w:color w:val="000000" w:themeColor="text1"/>
          <w:highlight w:val="none"/>
          <w14:textFill>
            <w14:solidFill>
              <w14:schemeClr w14:val="tx1"/>
            </w14:solidFill>
          </w14:textFill>
        </w:rPr>
      </w:pPr>
      <w:bookmarkStart w:id="967" w:name="_Toc102746003"/>
      <w:bookmarkStart w:id="968" w:name="_Ref11958663"/>
      <w:bookmarkStart w:id="969" w:name="_Ref11958660"/>
      <w:bookmarkStart w:id="970" w:name="_Toc54862301"/>
      <w:r>
        <w:rPr>
          <w:rFonts w:hint="eastAsia"/>
          <w:color w:val="000000" w:themeColor="text1"/>
          <w:highlight w:val="none"/>
          <w14:textFill>
            <w14:solidFill>
              <w14:schemeClr w14:val="tx1"/>
            </w14:solidFill>
          </w14:textFill>
        </w:rPr>
        <w:t>15.2 承包人违约</w:t>
      </w:r>
      <w:bookmarkEnd w:id="967"/>
      <w:bookmarkEnd w:id="968"/>
      <w:bookmarkEnd w:id="969"/>
      <w:bookmarkEnd w:id="970"/>
    </w:p>
    <w:p>
      <w:pPr>
        <w:pStyle w:val="169"/>
        <w:spacing w:before="156"/>
        <w:rPr>
          <w:color w:val="000000" w:themeColor="text1"/>
          <w:highlight w:val="none"/>
          <w14:textFill>
            <w14:solidFill>
              <w14:schemeClr w14:val="tx1"/>
            </w14:solidFill>
          </w14:textFill>
        </w:rPr>
      </w:pPr>
      <w:bookmarkStart w:id="971" w:name="_Ref3841153"/>
      <w:r>
        <w:rPr>
          <w:rFonts w:hint="eastAsia"/>
          <w:color w:val="000000" w:themeColor="text1"/>
          <w:highlight w:val="none"/>
          <w14:textFill>
            <w14:solidFill>
              <w14:schemeClr w14:val="tx1"/>
            </w14:solidFill>
          </w14:textFill>
        </w:rPr>
        <w:t>15.2.1 承包人违约的情形</w:t>
      </w:r>
      <w:bookmarkEnd w:id="97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除专用合同条件另有约定外，在履行合同过程中发生的下列情况之一的，属于承包人违约：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承包人的原因导致的承包人文件、实施和竣工的工程不符合法律法规、工程质量验收标准以及合同约定；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承包人违反合同约定进行转包或违法分包的；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承包人违反约定采购和使用不合格材料或工程设备；</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因承包人原因导致工程质量不符合合同要求的；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承包人未经工程师批准，擅自将已按合同约定进入施工现场的施工设备、临时设施或材料撤离施工现场；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承包人未能按项目进度计划及时完成合同约定的工作，造成工期延误；</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由于承包人原因未能通过竣工试验或竣工后试验的；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 承包人在缺陷责任期及保修期内，未能在合理期限对工程缺陷进行修复，或拒绝按发包人指示进行修复的；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（9） 承包人明确表示或者以其行为表明不履行合同主要义务的；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（10） 承包人未能按照合同约定履行其他义务的。</w:t>
      </w:r>
    </w:p>
    <w:p>
      <w:pPr>
        <w:pStyle w:val="169"/>
        <w:spacing w:before="156"/>
        <w:rPr>
          <w:color w:val="000000" w:themeColor="text1"/>
          <w:highlight w:val="none"/>
          <w14:textFill>
            <w14:solidFill>
              <w14:schemeClr w14:val="tx1"/>
            </w14:solidFill>
          </w14:textFill>
        </w:rPr>
      </w:pPr>
      <w:bookmarkStart w:id="972" w:name="_Ref531958512"/>
      <w:r>
        <w:rPr>
          <w:rFonts w:hint="eastAsia"/>
          <w:color w:val="000000" w:themeColor="text1"/>
          <w:highlight w:val="none"/>
          <w14:textFill>
            <w14:solidFill>
              <w14:schemeClr w14:val="tx1"/>
            </w14:solidFill>
          </w14:textFill>
        </w:rPr>
        <w:t>15.2.2 通知改正</w:t>
      </w:r>
      <w:bookmarkEnd w:id="97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承包人发生除第15.2.1项第(7)目、第(9)目约定以外的其他违约情况时，工程师可在专用合同条件约定的合理期限内向承包人发出整改通知，要求其在指定的期限内改正。</w:t>
      </w:r>
    </w:p>
    <w:p>
      <w:pPr>
        <w:pStyle w:val="169"/>
        <w:spacing w:before="156"/>
        <w:rPr>
          <w:color w:val="000000" w:themeColor="text1"/>
          <w:highlight w:val="none"/>
          <w14:textFill>
            <w14:solidFill>
              <w14:schemeClr w14:val="tx1"/>
            </w14:solidFill>
          </w14:textFill>
        </w:rPr>
      </w:pPr>
      <w:bookmarkStart w:id="973" w:name="_Ref3841166"/>
      <w:r>
        <w:rPr>
          <w:rFonts w:hint="eastAsia"/>
          <w:color w:val="000000" w:themeColor="text1"/>
          <w:highlight w:val="none"/>
          <w14:textFill>
            <w14:solidFill>
              <w14:schemeClr w14:val="tx1"/>
            </w14:solidFill>
          </w14:textFill>
        </w:rPr>
        <w:t>15.2.3 承包人违约的责任</w:t>
      </w:r>
      <w:bookmarkEnd w:id="97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承包人应承担因其违约行为而增加的费用和（或）延误的工期。此外，合同当事人可在专用合同条件中另行约定承包人违约责任的承担方式和计算方法。</w:t>
      </w:r>
    </w:p>
    <w:p>
      <w:pPr>
        <w:pStyle w:val="177"/>
        <w:spacing w:before="156"/>
        <w:rPr>
          <w:color w:val="000000" w:themeColor="text1"/>
          <w:highlight w:val="none"/>
          <w14:textFill>
            <w14:solidFill>
              <w14:schemeClr w14:val="tx1"/>
            </w14:solidFill>
          </w14:textFill>
        </w:rPr>
      </w:pPr>
      <w:bookmarkStart w:id="974" w:name="_Toc102746004"/>
      <w:bookmarkStart w:id="975" w:name="_Toc54862302"/>
      <w:r>
        <w:rPr>
          <w:rFonts w:hint="eastAsia"/>
          <w:color w:val="000000" w:themeColor="text1"/>
          <w:highlight w:val="none"/>
          <w14:textFill>
            <w14:solidFill>
              <w14:schemeClr w14:val="tx1"/>
            </w14:solidFill>
          </w14:textFill>
        </w:rPr>
        <w:t>15.3 第三人造成的违约</w:t>
      </w:r>
      <w:bookmarkEnd w:id="974"/>
      <w:bookmarkEnd w:id="97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201"/>
        <w:rPr>
          <w:color w:val="000000" w:themeColor="text1"/>
          <w:highlight w:val="none"/>
          <w14:textFill>
            <w14:solidFill>
              <w14:schemeClr w14:val="tx1"/>
            </w14:solidFill>
          </w14:textFill>
        </w:rPr>
      </w:pPr>
      <w:bookmarkStart w:id="976" w:name="_Toc22299"/>
      <w:bookmarkStart w:id="977" w:name="_Toc9694"/>
      <w:bookmarkStart w:id="978" w:name="_Toc24819"/>
      <w:bookmarkStart w:id="979" w:name="_Toc102746005"/>
      <w:bookmarkStart w:id="980" w:name="_Toc21707"/>
      <w:bookmarkStart w:id="981" w:name="_Toc6041"/>
      <w:bookmarkStart w:id="982" w:name="_Ref4510572"/>
      <w:bookmarkStart w:id="983" w:name="_Toc15863"/>
      <w:bookmarkStart w:id="984" w:name="_Toc5510"/>
      <w:bookmarkStart w:id="985" w:name="_Toc54862303"/>
      <w:bookmarkStart w:id="986" w:name="_Toc24855"/>
      <w:bookmarkStart w:id="987" w:name="_Ref3840457"/>
      <w:bookmarkStart w:id="988" w:name="_Ref532142069"/>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16条 </w:t>
      </w:r>
      <w:r>
        <w:rPr>
          <w:rFonts w:hint="eastAsia"/>
          <w:color w:val="000000" w:themeColor="text1"/>
          <w:highlight w:val="none"/>
          <w14:textFill>
            <w14:solidFill>
              <w14:schemeClr w14:val="tx1"/>
            </w14:solidFill>
          </w14:textFill>
        </w:rPr>
        <w:t>合同解除</w:t>
      </w:r>
      <w:bookmarkEnd w:id="976"/>
      <w:bookmarkEnd w:id="977"/>
      <w:bookmarkEnd w:id="978"/>
      <w:bookmarkEnd w:id="979"/>
      <w:bookmarkEnd w:id="980"/>
      <w:bookmarkEnd w:id="981"/>
      <w:bookmarkEnd w:id="982"/>
      <w:bookmarkEnd w:id="983"/>
      <w:bookmarkEnd w:id="984"/>
      <w:bookmarkEnd w:id="985"/>
      <w:bookmarkEnd w:id="986"/>
    </w:p>
    <w:p>
      <w:pPr>
        <w:pStyle w:val="177"/>
        <w:spacing w:before="156"/>
        <w:rPr>
          <w:color w:val="000000" w:themeColor="text1"/>
          <w:highlight w:val="none"/>
          <w14:textFill>
            <w14:solidFill>
              <w14:schemeClr w14:val="tx1"/>
            </w14:solidFill>
          </w14:textFill>
        </w:rPr>
      </w:pPr>
      <w:bookmarkStart w:id="989" w:name="_Toc102746006"/>
      <w:bookmarkStart w:id="990" w:name="_Toc54862304"/>
      <w:bookmarkStart w:id="991" w:name="_Ref531958499"/>
      <w:bookmarkStart w:id="992" w:name="_Ref531958502"/>
      <w:r>
        <w:rPr>
          <w:rFonts w:hint="eastAsia"/>
          <w:color w:val="000000" w:themeColor="text1"/>
          <w:highlight w:val="none"/>
          <w14:textFill>
            <w14:solidFill>
              <w14:schemeClr w14:val="tx1"/>
            </w14:solidFill>
          </w14:textFill>
        </w:rPr>
        <w:t>16.1 由发包人解除合同</w:t>
      </w:r>
      <w:bookmarkEnd w:id="989"/>
      <w:bookmarkEnd w:id="990"/>
      <w:bookmarkEnd w:id="991"/>
      <w:bookmarkEnd w:id="992"/>
    </w:p>
    <w:p>
      <w:pPr>
        <w:pStyle w:val="169"/>
        <w:spacing w:before="156"/>
        <w:rPr>
          <w:color w:val="000000" w:themeColor="text1"/>
          <w:highlight w:val="none"/>
          <w14:textFill>
            <w14:solidFill>
              <w14:schemeClr w14:val="tx1"/>
            </w14:solidFill>
          </w14:textFill>
        </w:rPr>
      </w:pPr>
      <w:bookmarkStart w:id="993" w:name="_Ref4535422"/>
      <w:r>
        <w:rPr>
          <w:rFonts w:hint="eastAsia"/>
          <w:color w:val="000000" w:themeColor="text1"/>
          <w:highlight w:val="none"/>
          <w14:textFill>
            <w14:solidFill>
              <w14:schemeClr w14:val="tx1"/>
            </w14:solidFill>
          </w14:textFill>
        </w:rPr>
        <w:t>16.1.1 因承包人违约解除合同</w:t>
      </w:r>
      <w:bookmarkEnd w:id="99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994" w:name="_Ref531958536"/>
      <w:r>
        <w:rPr>
          <w:rFonts w:hint="eastAsia" w:ascii="宋体"/>
          <w:color w:val="000000" w:themeColor="text1"/>
          <w:sz w:val="24"/>
          <w:szCs w:val="28"/>
          <w:highlight w:val="none"/>
          <w14:textFill>
            <w14:solidFill>
              <w14:schemeClr w14:val="tx1"/>
            </w14:solidFill>
          </w14:textFill>
        </w:rPr>
        <w:t>（1） 承包人未能遵守第4.2款</w:t>
      </w:r>
      <w:bookmarkStart w:id="995" w:name="_Hlk18839947"/>
      <w:r>
        <w:rPr>
          <w:rFonts w:hint="eastAsia" w:ascii="宋体"/>
          <w:color w:val="000000" w:themeColor="text1"/>
          <w:sz w:val="24"/>
          <w:szCs w:val="28"/>
          <w:highlight w:val="none"/>
          <w14:textFill>
            <w14:solidFill>
              <w14:schemeClr w14:val="tx1"/>
            </w14:solidFill>
          </w14:textFill>
        </w:rPr>
        <w:t>[履约担保]</w:t>
      </w:r>
      <w:bookmarkEnd w:id="995"/>
      <w:r>
        <w:rPr>
          <w:rFonts w:hint="eastAsia" w:ascii="宋体"/>
          <w:color w:val="000000" w:themeColor="text1"/>
          <w:sz w:val="24"/>
          <w:szCs w:val="28"/>
          <w:highlight w:val="none"/>
          <w14:textFill>
            <w14:solidFill>
              <w14:schemeClr w14:val="tx1"/>
            </w14:solidFill>
          </w14:textFill>
        </w:rPr>
        <w:t>的约定；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承包人未能遵守第4.5款[分包]有关分包和转包的约定；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承包人实际进度明显落后于进度计划，并且未按发包人的指令采取措施并修正进度计划；</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工程质量有严重缺陷，承包人无正当理由使修复开始日期拖延达28天以上；</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承包人明确表示或以自己的行为表明不履行合同、或经发包人以书面形式通知其履约后仍未能依约履行合同、或以不适当的方式履行合同；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未能通过的竣工试验、未能通过的竣工后试验，使工程的任何部分和（或）整个工程丧失了主要使用功能、生产功能；</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 因承包人的原因暂停工作超过56天且暂停影响到整个工程，或因承包人的原因暂停工作超过182天；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（9） 承包人未能遵守第8.2款[竣工日期]规定，延误超过182天；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（10） 工程师根据第15.2.2项[通知改正]发出整改通知后，承包人在指定的合理期限内仍不纠正违约行为并致使合同目的不能实现的。</w:t>
      </w:r>
    </w:p>
    <w:bookmarkEnd w:id="994"/>
    <w:p>
      <w:pPr>
        <w:pStyle w:val="169"/>
        <w:spacing w:before="156"/>
        <w:rPr>
          <w:color w:val="000000" w:themeColor="text1"/>
          <w:highlight w:val="none"/>
          <w14:textFill>
            <w14:solidFill>
              <w14:schemeClr w14:val="tx1"/>
            </w14:solidFill>
          </w14:textFill>
        </w:rPr>
      </w:pPr>
      <w:bookmarkStart w:id="996" w:name="_Ref3841839"/>
      <w:bookmarkStart w:id="997" w:name="_Ref4624315"/>
      <w:r>
        <w:rPr>
          <w:rFonts w:hint="eastAsia"/>
          <w:color w:val="000000" w:themeColor="text1"/>
          <w:highlight w:val="none"/>
          <w14:textFill>
            <w14:solidFill>
              <w14:schemeClr w14:val="tx1"/>
            </w14:solidFill>
          </w14:textFill>
        </w:rPr>
        <w:t>16.1.2 因承包人违约解除合同后</w:t>
      </w:r>
      <w:bookmarkEnd w:id="996"/>
      <w:r>
        <w:rPr>
          <w:rFonts w:hint="eastAsia"/>
          <w:color w:val="000000" w:themeColor="text1"/>
          <w:highlight w:val="none"/>
          <w14:textFill>
            <w14:solidFill>
              <w14:schemeClr w14:val="tx1"/>
            </w14:solidFill>
          </w14:textFill>
        </w:rPr>
        <w:t>承包人的义务</w:t>
      </w:r>
      <w:bookmarkEnd w:id="99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合同解除后，承包人应按以下约定执行：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除了为保护生命、财产或工程安全、清理和必须执行的工作外，停止执行所有被通知解除的工作，并将相关人员撤离现场；</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经发包人批准，承包人应将与被解除合同相关的和正在执行的分包合同及相关的责任和义务转让至发包人和（或）发包人指定方的名下，包括永久性工程及工程物资，以及相关工作；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移交已完成的永久性工程及负责已运抵现场的工程物资。在移交前，妥善做好已完工程和已运抵现场的工程物资的保管、维护和保养；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将发包人提供的所有信息及承包人为本工程编制的设计文件、技术资料及其它文件移交给发包人。在承包人留有的资料文件中，销毁与发包人提供的所有信息相关的数据及资料的备份；</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移交相应实施阶段已经付款的并已完成的和尚待完成的设计文件、图纸、资料、操作维修手册、施工组织设计、质检资料、竣工资料等；</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16.1.3 因承包人违约解除合同后的估价、付款和结算</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因承包人原因导致合同解除的，则合同当事人应在合同解除后28天内完成估价、付款和清算，并按以下约定执行：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合同解除后，按第3.6款[商定或确定]商定或确定承包人实际完成工作对应的合同价款，以及承包人已提供的材料、工程设备、施工设备和临时工程等的价值；</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合同解除后，承包人应支付的违约金；</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合同解除后，因解除合同给发包人造成的损失；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合同解除后，承包人应按照发包人的指示完成现场的清理和撤离；</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发包人和承包人应在合同解除后进行清算，出具最终结清付款证书，结清全部款项。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16.1.4 因承包人违约解除合同的合同权益转让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177"/>
        <w:spacing w:before="156"/>
        <w:rPr>
          <w:color w:val="000000" w:themeColor="text1"/>
          <w:highlight w:val="none"/>
          <w14:textFill>
            <w14:solidFill>
              <w14:schemeClr w14:val="tx1"/>
            </w14:solidFill>
          </w14:textFill>
        </w:rPr>
      </w:pPr>
      <w:bookmarkStart w:id="998" w:name="_Toc54862305"/>
      <w:bookmarkStart w:id="999" w:name="_Ref531958549"/>
      <w:bookmarkStart w:id="1000" w:name="_Toc102746007"/>
      <w:bookmarkStart w:id="1001" w:name="_Ref531958554"/>
      <w:r>
        <w:rPr>
          <w:rFonts w:hint="eastAsia"/>
          <w:color w:val="000000" w:themeColor="text1"/>
          <w:highlight w:val="none"/>
          <w14:textFill>
            <w14:solidFill>
              <w14:schemeClr w14:val="tx1"/>
            </w14:solidFill>
          </w14:textFill>
        </w:rPr>
        <w:t>16.2 由承包人解除合同</w:t>
      </w:r>
      <w:bookmarkEnd w:id="998"/>
      <w:bookmarkEnd w:id="999"/>
      <w:bookmarkEnd w:id="1000"/>
      <w:bookmarkEnd w:id="1001"/>
    </w:p>
    <w:p>
      <w:pPr>
        <w:pStyle w:val="169"/>
        <w:spacing w:before="156"/>
        <w:rPr>
          <w:color w:val="000000" w:themeColor="text1"/>
          <w:highlight w:val="none"/>
          <w14:textFill>
            <w14:solidFill>
              <w14:schemeClr w14:val="tx1"/>
            </w14:solidFill>
          </w14:textFill>
        </w:rPr>
      </w:pPr>
      <w:bookmarkStart w:id="1002" w:name="_Ref3841758"/>
      <w:r>
        <w:rPr>
          <w:rFonts w:hint="eastAsia"/>
          <w:color w:val="000000" w:themeColor="text1"/>
          <w:highlight w:val="none"/>
          <w14:textFill>
            <w14:solidFill>
              <w14:schemeClr w14:val="tx1"/>
            </w14:solidFill>
          </w14:textFill>
        </w:rPr>
        <w:t>16.2.1 因发包人违约解除合同</w:t>
      </w:r>
      <w:bookmarkEnd w:id="100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承包人就发包人未能遵守第2.5.2项关于发包人的资金安排发出通知后42天内，仍未收到合理的证明；</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 xml:space="preserve">（2） 在第14条规定的付款时间到期后42天内，承包人仍未收到应付款项；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发包人实质上未能根据合同约定履行其义务，构成根本性违约；</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发承包双方订立本合同协议书后的84天内，承包人未收到根据第8.1款[开始工作]的开始工作通知；</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发包人未能遵守第2.5.3项的约定提交支付担保；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发包人未能执行第15.1.2项[通知改正]的约定，致使合同目的不能实现的；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 因发包人的原因暂停工作超过56天且暂停影响到整个工程，或因发包人的原因暂停工作超过182天的；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（9） 因发包人原因造成开始工作日期迟于承包人收到中标通知书（或在无中标通知书的情况下，订立本合同之日）后第84天的。</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pStyle w:val="169"/>
        <w:spacing w:before="156"/>
        <w:rPr>
          <w:color w:val="000000" w:themeColor="text1"/>
          <w:highlight w:val="none"/>
          <w14:textFill>
            <w14:solidFill>
              <w14:schemeClr w14:val="tx1"/>
            </w14:solidFill>
          </w14:textFill>
        </w:rPr>
      </w:pPr>
      <w:bookmarkStart w:id="1003" w:name="_Ref3842018"/>
      <w:bookmarkStart w:id="1004" w:name="_Ref4624336"/>
      <w:r>
        <w:rPr>
          <w:rFonts w:hint="eastAsia"/>
          <w:color w:val="000000" w:themeColor="text1"/>
          <w:highlight w:val="none"/>
          <w14:textFill>
            <w14:solidFill>
              <w14:schemeClr w14:val="tx1"/>
            </w14:solidFill>
          </w14:textFill>
        </w:rPr>
        <w:t>16.2.2 因发包人违约解除合同后</w:t>
      </w:r>
      <w:bookmarkEnd w:id="1003"/>
      <w:r>
        <w:rPr>
          <w:rFonts w:hint="eastAsia"/>
          <w:color w:val="000000" w:themeColor="text1"/>
          <w:highlight w:val="none"/>
          <w14:textFill>
            <w14:solidFill>
              <w14:schemeClr w14:val="tx1"/>
            </w14:solidFill>
          </w14:textFill>
        </w:rPr>
        <w:t>承包人的义务</w:t>
      </w:r>
      <w:bookmarkEnd w:id="1004"/>
    </w:p>
    <w:p>
      <w:pPr>
        <w:pStyle w:val="214"/>
        <w:numPr>
          <w:ilvl w:val="0"/>
          <w:numId w:val="0"/>
        </w:numPr>
        <w:spacing w:after="0" w:afterLines="0"/>
        <w:ind w:left="400" w:firstLine="425"/>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合同解除后，承包人应按以下约定执行：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除为保护生命、财产、工程安全的工作外，停止所有进一步的工作；承包人因执行该保护工作而产生费用的，由发包人承担；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向发包人移交承包人已获得支付的承包人文件、生产设备、材料和其他工作；</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从现场运走除为了安全需要以外的所有属于承包人的其他货物，并撤离现场。</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16.2.3 因发包人违约解除合同后的付款</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承包人按照本款约定解除合同的，发包人应在解除合同后28天内支付下列款项，并退还履约担保：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合同解除前所完成工作的价款；</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承包人为工程施工订购并已付款的材料、工程设备和其他物品的价款；发包人付款后，该材料、工程设备和其他物品归发包人所有；</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承包人为完成工程所发生的，而发包人未支付的金额；</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承包人撤离施工现场以及遣散承包人人员的款项；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按照合同约定在合同解除前应支付的违约金；</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按照合同约定应当支付给承包人的其他款项；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按照合同约定应返还的质量保证金；</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 因解除合同给承包人造成的损失。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pPr>
        <w:pStyle w:val="177"/>
        <w:spacing w:before="156"/>
        <w:rPr>
          <w:color w:val="000000" w:themeColor="text1"/>
          <w:highlight w:val="none"/>
          <w14:textFill>
            <w14:solidFill>
              <w14:schemeClr w14:val="tx1"/>
            </w14:solidFill>
          </w14:textFill>
        </w:rPr>
      </w:pPr>
      <w:bookmarkStart w:id="1005" w:name="_Ref3841966"/>
      <w:bookmarkStart w:id="1006" w:name="_Toc54862306"/>
      <w:bookmarkStart w:id="1007" w:name="_Toc102746008"/>
      <w:r>
        <w:rPr>
          <w:rFonts w:hint="eastAsia"/>
          <w:color w:val="000000" w:themeColor="text1"/>
          <w:highlight w:val="none"/>
          <w14:textFill>
            <w14:solidFill>
              <w14:schemeClr w14:val="tx1"/>
            </w14:solidFill>
          </w14:textFill>
        </w:rPr>
        <w:t>16.3 合同解除后的事项</w:t>
      </w:r>
      <w:bookmarkEnd w:id="1005"/>
      <w:bookmarkEnd w:id="1006"/>
      <w:bookmarkEnd w:id="1007"/>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16.3.1 结算约定依然有效</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合同解除后，由发包人或由承包人解除合同的结算及结算后的付款约定仍然有效，直至解除合同的结算工作结清。</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16.3.2 解除合同的争议</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1008" w:name="_Hlk18988355"/>
      <w:r>
        <w:rPr>
          <w:rFonts w:hint="eastAsia" w:ascii="宋体"/>
          <w:color w:val="000000" w:themeColor="text1"/>
          <w:sz w:val="24"/>
          <w:szCs w:val="28"/>
          <w:highlight w:val="none"/>
          <w14:textFill>
            <w14:solidFill>
              <w14:schemeClr w14:val="tx1"/>
            </w14:solidFill>
          </w14:textFill>
        </w:rPr>
        <w:t>双方对解除合同或解除合同后的结算有争议的，按照第20条[争议解决]的约定处理。</w:t>
      </w:r>
      <w:bookmarkEnd w:id="1008"/>
    </w:p>
    <w:p>
      <w:pPr>
        <w:pStyle w:val="201"/>
        <w:rPr>
          <w:color w:val="000000" w:themeColor="text1"/>
          <w:highlight w:val="none"/>
          <w14:textFill>
            <w14:solidFill>
              <w14:schemeClr w14:val="tx1"/>
            </w14:solidFill>
          </w14:textFill>
        </w:rPr>
      </w:pPr>
      <w:bookmarkStart w:id="1009" w:name="_Toc21352"/>
      <w:bookmarkStart w:id="1010" w:name="_Toc54862307"/>
      <w:bookmarkStart w:id="1011" w:name="_Toc102746009"/>
      <w:bookmarkStart w:id="1012" w:name="_Toc32190"/>
      <w:bookmarkStart w:id="1013" w:name="_Toc20184"/>
      <w:bookmarkStart w:id="1014" w:name="_Ref3840974"/>
      <w:bookmarkStart w:id="1015" w:name="_Toc14056"/>
      <w:bookmarkStart w:id="1016" w:name="_Toc28720"/>
      <w:bookmarkStart w:id="1017" w:name="_Toc16266"/>
      <w:bookmarkStart w:id="1018" w:name="_Toc11154"/>
      <w:bookmarkStart w:id="1019" w:name="_Toc27396"/>
      <w:bookmarkStart w:id="1020" w:name="_Ref3840605"/>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17条 </w:t>
      </w:r>
      <w:r>
        <w:rPr>
          <w:rFonts w:hint="eastAsia"/>
          <w:color w:val="000000" w:themeColor="text1"/>
          <w:highlight w:val="none"/>
          <w14:textFill>
            <w14:solidFill>
              <w14:schemeClr w14:val="tx1"/>
            </w14:solidFill>
          </w14:textFill>
        </w:rPr>
        <w:t>不可抗力</w:t>
      </w:r>
      <w:bookmarkEnd w:id="1009"/>
      <w:bookmarkEnd w:id="1010"/>
      <w:bookmarkEnd w:id="1011"/>
      <w:bookmarkEnd w:id="1012"/>
      <w:bookmarkEnd w:id="1013"/>
      <w:bookmarkEnd w:id="1014"/>
      <w:bookmarkEnd w:id="1015"/>
      <w:bookmarkEnd w:id="1016"/>
      <w:bookmarkEnd w:id="1017"/>
      <w:bookmarkEnd w:id="1018"/>
      <w:bookmarkEnd w:id="1019"/>
    </w:p>
    <w:p>
      <w:pPr>
        <w:pStyle w:val="177"/>
        <w:spacing w:before="156"/>
        <w:rPr>
          <w:color w:val="000000" w:themeColor="text1"/>
          <w:highlight w:val="none"/>
          <w14:textFill>
            <w14:solidFill>
              <w14:schemeClr w14:val="tx1"/>
            </w14:solidFill>
          </w14:textFill>
        </w:rPr>
      </w:pPr>
      <w:bookmarkStart w:id="1021" w:name="_Ref531958158"/>
      <w:bookmarkStart w:id="1022" w:name="_Ref531958161"/>
      <w:bookmarkStart w:id="1023" w:name="_Toc102746010"/>
      <w:bookmarkStart w:id="1024" w:name="_Toc54862308"/>
      <w:r>
        <w:rPr>
          <w:rFonts w:hint="eastAsia"/>
          <w:color w:val="000000" w:themeColor="text1"/>
          <w:highlight w:val="none"/>
          <w14:textFill>
            <w14:solidFill>
              <w14:schemeClr w14:val="tx1"/>
            </w14:solidFill>
          </w14:textFill>
        </w:rPr>
        <w:t>17.1 不可抗力的</w:t>
      </w:r>
      <w:bookmarkEnd w:id="1021"/>
      <w:bookmarkEnd w:id="1022"/>
      <w:r>
        <w:rPr>
          <w:rFonts w:hint="eastAsia"/>
          <w:color w:val="000000" w:themeColor="text1"/>
          <w:highlight w:val="none"/>
          <w14:textFill>
            <w14:solidFill>
              <w14:schemeClr w14:val="tx1"/>
            </w14:solidFill>
          </w14:textFill>
        </w:rPr>
        <w:t>定义</w:t>
      </w:r>
      <w:bookmarkEnd w:id="1023"/>
      <w:bookmarkEnd w:id="1024"/>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177"/>
        <w:spacing w:before="156"/>
        <w:rPr>
          <w:color w:val="000000" w:themeColor="text1"/>
          <w:highlight w:val="none"/>
          <w14:textFill>
            <w14:solidFill>
              <w14:schemeClr w14:val="tx1"/>
            </w14:solidFill>
          </w14:textFill>
        </w:rPr>
      </w:pPr>
      <w:bookmarkStart w:id="1025" w:name="_Toc54862309"/>
      <w:bookmarkStart w:id="1026" w:name="_Toc102746011"/>
      <w:r>
        <w:rPr>
          <w:rFonts w:hint="eastAsia"/>
          <w:color w:val="000000" w:themeColor="text1"/>
          <w:highlight w:val="none"/>
          <w14:textFill>
            <w14:solidFill>
              <w14:schemeClr w14:val="tx1"/>
            </w14:solidFill>
          </w14:textFill>
        </w:rPr>
        <w:t>17.2 不可抗力的通知</w:t>
      </w:r>
      <w:bookmarkEnd w:id="1025"/>
      <w:bookmarkEnd w:id="102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合同一方当事人觉察或发现不可抗力事件发生，使其履行合同义务受到阻碍时，有义务立即通知合同另一方当事人和工程师，书面说明不可抗力和受阻碍的详细情况，并提供必要的证明。</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不可抗力持续发生的，合同一方当事人应每隔28天向合同另一方当事人和工程师提交中间报告，说明不可抗力和履行合同受阻的情况，并于不可抗力事件结束后28天内提交最终报告及有关资料。</w:t>
      </w:r>
    </w:p>
    <w:p>
      <w:pPr>
        <w:pStyle w:val="177"/>
        <w:spacing w:before="156"/>
        <w:rPr>
          <w:color w:val="000000" w:themeColor="text1"/>
          <w:highlight w:val="none"/>
          <w14:textFill>
            <w14:solidFill>
              <w14:schemeClr w14:val="tx1"/>
            </w14:solidFill>
          </w14:textFill>
        </w:rPr>
      </w:pPr>
      <w:bookmarkStart w:id="1027" w:name="_Toc102746012"/>
      <w:bookmarkStart w:id="1028" w:name="_Toc54862310"/>
      <w:r>
        <w:rPr>
          <w:rFonts w:hint="eastAsia"/>
          <w:color w:val="000000" w:themeColor="text1"/>
          <w:highlight w:val="none"/>
          <w14:textFill>
            <w14:solidFill>
              <w14:schemeClr w14:val="tx1"/>
            </w14:solidFill>
          </w14:textFill>
        </w:rPr>
        <w:t>17.3 将损失减至最小的义务</w:t>
      </w:r>
      <w:bookmarkEnd w:id="1027"/>
      <w:bookmarkEnd w:id="102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177"/>
        <w:spacing w:before="156"/>
        <w:rPr>
          <w:color w:val="000000" w:themeColor="text1"/>
          <w:highlight w:val="none"/>
          <w14:textFill>
            <w14:solidFill>
              <w14:schemeClr w14:val="tx1"/>
            </w14:solidFill>
          </w14:textFill>
        </w:rPr>
      </w:pPr>
      <w:bookmarkStart w:id="1029" w:name="_Ref531958172"/>
      <w:bookmarkStart w:id="1030" w:name="_Ref531958170"/>
      <w:bookmarkStart w:id="1031" w:name="_Toc54862311"/>
      <w:bookmarkStart w:id="1032" w:name="_Toc102746013"/>
      <w:bookmarkStart w:id="1033" w:name="_Ref3840916"/>
      <w:r>
        <w:rPr>
          <w:rFonts w:hint="eastAsia"/>
          <w:color w:val="000000" w:themeColor="text1"/>
          <w:highlight w:val="none"/>
          <w14:textFill>
            <w14:solidFill>
              <w14:schemeClr w14:val="tx1"/>
            </w14:solidFill>
          </w14:textFill>
        </w:rPr>
        <w:t>17.4 不可抗力后果</w:t>
      </w:r>
      <w:bookmarkEnd w:id="1029"/>
      <w:bookmarkEnd w:id="1030"/>
      <w:r>
        <w:rPr>
          <w:rFonts w:hint="eastAsia"/>
          <w:color w:val="000000" w:themeColor="text1"/>
          <w:highlight w:val="none"/>
          <w14:textFill>
            <w14:solidFill>
              <w14:schemeClr w14:val="tx1"/>
            </w14:solidFill>
          </w14:textFill>
        </w:rPr>
        <w:t>的承担</w:t>
      </w:r>
      <w:bookmarkEnd w:id="1031"/>
      <w:bookmarkEnd w:id="1032"/>
      <w:bookmarkEnd w:id="103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不可抗力导致的人员伤亡、财产损失、费用增加和（或）工期延误等后果，由合同当事人按以下原则承担：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永久工程，包括已运至施工现场的材料和工程设备的损害，以及因工程损害造成的第三人人员伤亡和财产损失由发包人承担；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承包人提供的施工设备的损坏由承包人承担；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发包人和承包人各自承担其人员伤亡及其他财产损失；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因不可抗力影响承包人履行合同约定的义务，已经引起或将引起工期延误的，应当顺延工期，由此导致承包人停工的费用损失由发包人和承包人合理分担，</w:t>
      </w:r>
      <w:bookmarkStart w:id="1034" w:name="_Hlk51507024"/>
      <w:r>
        <w:rPr>
          <w:rFonts w:hint="eastAsia" w:ascii="宋体"/>
          <w:color w:val="000000" w:themeColor="text1"/>
          <w:sz w:val="24"/>
          <w:szCs w:val="28"/>
          <w:highlight w:val="none"/>
          <w14:textFill>
            <w14:solidFill>
              <w14:schemeClr w14:val="tx1"/>
            </w14:solidFill>
          </w14:textFill>
        </w:rPr>
        <w:t>停工期间必须支付的现场必要的工人工资</w:t>
      </w:r>
      <w:bookmarkEnd w:id="1034"/>
      <w:r>
        <w:rPr>
          <w:rFonts w:hint="eastAsia" w:ascii="宋体"/>
          <w:color w:val="000000" w:themeColor="text1"/>
          <w:sz w:val="24"/>
          <w:szCs w:val="28"/>
          <w:highlight w:val="none"/>
          <w14:textFill>
            <w14:solidFill>
              <w14:schemeClr w14:val="tx1"/>
            </w14:solidFill>
          </w14:textFill>
        </w:rPr>
        <w:t>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因不可抗力引起或将引起工期延误，发包人指示赶工的，由此增加的赶工费用由发包人承担；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承包人在停工期间按照工程师或发包人要求照管、清理和修复工程的费用由发包人承担。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不可抗力引起的后果及造成的损失由合同当事人按照法律规定及合同约定各自承担。不可抗力发生前已完成的工程应当按照合同约定进行支付。</w:t>
      </w:r>
    </w:p>
    <w:p>
      <w:pPr>
        <w:pStyle w:val="177"/>
        <w:spacing w:before="156"/>
        <w:rPr>
          <w:color w:val="000000" w:themeColor="text1"/>
          <w:highlight w:val="none"/>
          <w14:textFill>
            <w14:solidFill>
              <w14:schemeClr w14:val="tx1"/>
            </w14:solidFill>
          </w14:textFill>
        </w:rPr>
      </w:pPr>
      <w:bookmarkStart w:id="1035" w:name="_Toc102746014"/>
      <w:bookmarkStart w:id="1036" w:name="_Toc54862312"/>
      <w:r>
        <w:rPr>
          <w:rFonts w:hint="eastAsia"/>
          <w:color w:val="000000" w:themeColor="text1"/>
          <w:highlight w:val="none"/>
          <w14:textFill>
            <w14:solidFill>
              <w14:schemeClr w14:val="tx1"/>
            </w14:solidFill>
          </w14:textFill>
        </w:rPr>
        <w:t>17.5 不可抗力影响分包人</w:t>
      </w:r>
      <w:bookmarkEnd w:id="1035"/>
      <w:bookmarkEnd w:id="1036"/>
      <w:r>
        <w:rPr>
          <w:rFonts w:hint="eastAsia"/>
          <w:color w:val="000000" w:themeColor="text1"/>
          <w:highlight w:val="none"/>
          <w14:textFill>
            <w14:solidFill>
              <w14:schemeClr w14:val="tx1"/>
            </w14:solidFill>
          </w14:textFill>
        </w:rPr>
        <w:t xml:space="preserve">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分包人根据分包合同的约定，有权获得更多或者更广的不可抗力而免除某些义务时，承包人不得以分包合同中不可抗力约定向发包人抗辩免除其义务。</w:t>
      </w:r>
    </w:p>
    <w:p>
      <w:pPr>
        <w:pStyle w:val="177"/>
        <w:spacing w:before="156"/>
        <w:rPr>
          <w:color w:val="000000" w:themeColor="text1"/>
          <w:highlight w:val="none"/>
          <w14:textFill>
            <w14:solidFill>
              <w14:schemeClr w14:val="tx1"/>
            </w14:solidFill>
          </w14:textFill>
        </w:rPr>
      </w:pPr>
      <w:bookmarkStart w:id="1037" w:name="_Ref531958181"/>
      <w:bookmarkStart w:id="1038" w:name="_Ref531958184"/>
      <w:bookmarkStart w:id="1039" w:name="_Toc54862313"/>
      <w:bookmarkStart w:id="1040" w:name="_Toc102746015"/>
      <w:bookmarkStart w:id="1041" w:name="_Ref3840892"/>
      <w:bookmarkStart w:id="1042" w:name="_Ref4538024"/>
      <w:r>
        <w:rPr>
          <w:rFonts w:hint="eastAsia"/>
          <w:color w:val="000000" w:themeColor="text1"/>
          <w:highlight w:val="none"/>
          <w14:textFill>
            <w14:solidFill>
              <w14:schemeClr w14:val="tx1"/>
            </w14:solidFill>
          </w14:textFill>
        </w:rPr>
        <w:t>17.6 因不可抗力解除</w:t>
      </w:r>
      <w:bookmarkEnd w:id="1037"/>
      <w:bookmarkEnd w:id="1038"/>
      <w:r>
        <w:rPr>
          <w:rFonts w:hint="eastAsia"/>
          <w:color w:val="000000" w:themeColor="text1"/>
          <w:highlight w:val="none"/>
          <w14:textFill>
            <w14:solidFill>
              <w14:schemeClr w14:val="tx1"/>
            </w14:solidFill>
          </w14:textFill>
        </w:rPr>
        <w:t>合同</w:t>
      </w:r>
      <w:bookmarkEnd w:id="1039"/>
      <w:bookmarkEnd w:id="1040"/>
      <w:bookmarkEnd w:id="1041"/>
      <w:bookmarkEnd w:id="1042"/>
      <w:r>
        <w:rPr>
          <w:rFonts w:hint="eastAsia"/>
          <w:color w:val="000000" w:themeColor="text1"/>
          <w:highlight w:val="none"/>
          <w14:textFill>
            <w14:solidFill>
              <w14:schemeClr w14:val="tx1"/>
            </w14:solidFill>
          </w14:textFill>
        </w:rPr>
        <w:t xml:space="preserve">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合同解除前承包人已完成工作的价款；</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发包人指示承包人退货或解除订货合同而产生的费用，或因不能退货或解除合同而产生的损失；</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承包人撤离施工现场以及遣散承包人人员的费用；</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按照合同约定在合同解除前应支付给承包人的其他款项；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 扣减承包人按照合同约定应向发包人支付的款项；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 双方商定或确定的其他款项。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除专用合同条件另有约定外，合同解除后，发包人应当在商定或确定上述款项后28天内完成上述款项的支付。</w:t>
      </w:r>
    </w:p>
    <w:p>
      <w:pPr>
        <w:pStyle w:val="201"/>
        <w:rPr>
          <w:color w:val="000000" w:themeColor="text1"/>
          <w:highlight w:val="none"/>
          <w14:textFill>
            <w14:solidFill>
              <w14:schemeClr w14:val="tx1"/>
            </w14:solidFill>
          </w14:textFill>
        </w:rPr>
      </w:pPr>
      <w:bookmarkStart w:id="1043" w:name="_Toc12526"/>
      <w:bookmarkStart w:id="1044" w:name="_Ref11848264"/>
      <w:bookmarkStart w:id="1045" w:name="_Toc21409"/>
      <w:bookmarkStart w:id="1046" w:name="_Ref11848274"/>
      <w:bookmarkStart w:id="1047" w:name="_Toc54862314"/>
      <w:bookmarkStart w:id="1048" w:name="_Toc29594"/>
      <w:bookmarkStart w:id="1049" w:name="_Toc19255"/>
      <w:bookmarkStart w:id="1050" w:name="_Toc1838"/>
      <w:bookmarkStart w:id="1051" w:name="_Toc11523"/>
      <w:bookmarkStart w:id="1052" w:name="_Toc811"/>
      <w:bookmarkStart w:id="1053" w:name="_Toc3576"/>
      <w:bookmarkStart w:id="1054" w:name="_Toc102746016"/>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18条 </w:t>
      </w:r>
      <w:r>
        <w:rPr>
          <w:rFonts w:hint="eastAsia"/>
          <w:color w:val="000000" w:themeColor="text1"/>
          <w:highlight w:val="none"/>
          <w14:textFill>
            <w14:solidFill>
              <w14:schemeClr w14:val="tx1"/>
            </w14:solidFill>
          </w14:textFill>
        </w:rPr>
        <w:t>保险</w:t>
      </w:r>
      <w:bookmarkEnd w:id="1020"/>
      <w:bookmarkEnd w:id="1043"/>
      <w:bookmarkEnd w:id="1044"/>
      <w:bookmarkEnd w:id="1045"/>
      <w:bookmarkEnd w:id="1046"/>
      <w:bookmarkEnd w:id="1047"/>
      <w:bookmarkEnd w:id="1048"/>
      <w:bookmarkEnd w:id="1049"/>
      <w:bookmarkEnd w:id="1050"/>
      <w:bookmarkEnd w:id="1051"/>
      <w:bookmarkEnd w:id="1052"/>
      <w:bookmarkEnd w:id="1053"/>
      <w:bookmarkEnd w:id="1054"/>
      <w:r>
        <w:rPr>
          <w:color w:val="000000" w:themeColor="text1"/>
          <w:highlight w:val="none"/>
          <w14:textFill>
            <w14:solidFill>
              <w14:schemeClr w14:val="tx1"/>
            </w14:solidFill>
          </w14:textFill>
        </w:rPr>
        <w:t xml:space="preserve"> </w:t>
      </w:r>
    </w:p>
    <w:p>
      <w:pPr>
        <w:pStyle w:val="177"/>
        <w:spacing w:before="156"/>
        <w:rPr>
          <w:color w:val="000000" w:themeColor="text1"/>
          <w:highlight w:val="none"/>
          <w14:textFill>
            <w14:solidFill>
              <w14:schemeClr w14:val="tx1"/>
            </w14:solidFill>
          </w14:textFill>
        </w:rPr>
      </w:pPr>
      <w:bookmarkStart w:id="1055" w:name="_Toc54862315"/>
      <w:bookmarkStart w:id="1056" w:name="_Ref3840734"/>
      <w:bookmarkStart w:id="1057" w:name="_Ref3840730"/>
      <w:bookmarkStart w:id="1058" w:name="_Toc102746017"/>
      <w:bookmarkStart w:id="1059" w:name="_Ref531957911"/>
      <w:bookmarkStart w:id="1060" w:name="_Ref531957914"/>
      <w:bookmarkStart w:id="1061" w:name="_Toc351203616"/>
      <w:r>
        <w:rPr>
          <w:rFonts w:hint="eastAsia"/>
          <w:color w:val="000000" w:themeColor="text1"/>
          <w:highlight w:val="none"/>
          <w14:textFill>
            <w14:solidFill>
              <w14:schemeClr w14:val="tx1"/>
            </w14:solidFill>
          </w14:textFill>
        </w:rPr>
        <w:t>18.1 设计和工程保险</w:t>
      </w:r>
      <w:bookmarkEnd w:id="1055"/>
      <w:bookmarkEnd w:id="1056"/>
      <w:bookmarkEnd w:id="1057"/>
      <w:bookmarkEnd w:id="1058"/>
    </w:p>
    <w:bookmarkEnd w:id="1059"/>
    <w:bookmarkEnd w:id="1060"/>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18.1.2 双方应按照专用合同条件的约定投保第三者责任险，并在缺陷责任期终止证书颁发前维持其持续有效。第三者责任险最低投保额应在专用合同条件内约定。</w:t>
      </w:r>
    </w:p>
    <w:p>
      <w:pPr>
        <w:pStyle w:val="177"/>
        <w:spacing w:before="156"/>
        <w:rPr>
          <w:color w:val="000000" w:themeColor="text1"/>
          <w:highlight w:val="none"/>
          <w14:textFill>
            <w14:solidFill>
              <w14:schemeClr w14:val="tx1"/>
            </w14:solidFill>
          </w14:textFill>
        </w:rPr>
      </w:pPr>
      <w:bookmarkStart w:id="1062" w:name="_Ref3840683"/>
      <w:bookmarkStart w:id="1063" w:name="_Toc102746018"/>
      <w:bookmarkStart w:id="1064" w:name="_Toc54862316"/>
      <w:r>
        <w:rPr>
          <w:rFonts w:hint="eastAsia"/>
          <w:color w:val="000000" w:themeColor="text1"/>
          <w:highlight w:val="none"/>
          <w14:textFill>
            <w14:solidFill>
              <w14:schemeClr w14:val="tx1"/>
            </w14:solidFill>
          </w14:textFill>
        </w:rPr>
        <w:t>18.2 工伤和意外伤害保险</w:t>
      </w:r>
      <w:bookmarkEnd w:id="1062"/>
      <w:bookmarkEnd w:id="1063"/>
      <w:bookmarkEnd w:id="1064"/>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18.2.1 发包人应依照法律规定为其在施工现场的雇用人员办理工伤保险，缴纳工伤保险费；并要求工程师及由发包人为履行合同聘请的第三方在施工现场的雇用人员依法办理工伤保险。</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18.2.2 承包人应依照法律规定为其履行合同雇用的全部人员办理工伤保险，缴纳工伤保险费，并要求分包人及由承包人为履行合同聘请的第三方雇用的全部人员依法办理工伤保险。</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18.2.3 发包人和承包人可以为其施工现场的全部人员办理意外伤害保险并支付保险费，包括其员工及为履行合同聘请的第三方的人员，具体事项由合同当事人在专用合同条件约定。</w:t>
      </w:r>
    </w:p>
    <w:p>
      <w:pPr>
        <w:pStyle w:val="177"/>
        <w:spacing w:before="156"/>
        <w:rPr>
          <w:color w:val="000000" w:themeColor="text1"/>
          <w:highlight w:val="none"/>
          <w14:textFill>
            <w14:solidFill>
              <w14:schemeClr w14:val="tx1"/>
            </w14:solidFill>
          </w14:textFill>
        </w:rPr>
      </w:pPr>
      <w:bookmarkStart w:id="1065" w:name="_Ref3840782"/>
      <w:bookmarkStart w:id="1066" w:name="_Toc54862317"/>
      <w:bookmarkStart w:id="1067" w:name="_Toc102746019"/>
      <w:r>
        <w:rPr>
          <w:rFonts w:hint="eastAsia"/>
          <w:color w:val="000000" w:themeColor="text1"/>
          <w:highlight w:val="none"/>
          <w14:textFill>
            <w14:solidFill>
              <w14:schemeClr w14:val="tx1"/>
            </w14:solidFill>
          </w14:textFill>
        </w:rPr>
        <w:t>18.3 货物保险</w:t>
      </w:r>
      <w:bookmarkEnd w:id="1065"/>
      <w:bookmarkEnd w:id="1066"/>
      <w:bookmarkEnd w:id="106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w:t>
      </w:r>
      <w:r>
        <w:rPr>
          <w:rFonts w:hint="eastAsia" w:ascii="宋体"/>
          <w:iCs/>
          <w:color w:val="000000" w:themeColor="text1"/>
          <w:sz w:val="24"/>
          <w:szCs w:val="28"/>
          <w:highlight w:val="none"/>
          <w14:textFill>
            <w14:solidFill>
              <w14:schemeClr w14:val="tx1"/>
            </w14:solidFill>
          </w14:textFill>
        </w:rPr>
        <w:t>按照</w:t>
      </w:r>
      <w:r>
        <w:rPr>
          <w:rFonts w:hint="eastAsia" w:ascii="宋体"/>
          <w:color w:val="000000" w:themeColor="text1"/>
          <w:sz w:val="24"/>
          <w:szCs w:val="28"/>
          <w:highlight w:val="none"/>
          <w14:textFill>
            <w14:solidFill>
              <w14:schemeClr w14:val="tx1"/>
            </w14:solidFill>
          </w14:textFill>
        </w:rPr>
        <w:t>专用合同条件的约定为</w:t>
      </w:r>
      <w:r>
        <w:rPr>
          <w:rFonts w:hint="eastAsia" w:ascii="宋体"/>
          <w:iCs/>
          <w:color w:val="000000" w:themeColor="text1"/>
          <w:sz w:val="24"/>
          <w:szCs w:val="28"/>
          <w:highlight w:val="none"/>
          <w14:textFill>
            <w14:solidFill>
              <w14:schemeClr w14:val="tx1"/>
            </w14:solidFill>
          </w14:textFill>
        </w:rPr>
        <w:t>运抵现场的</w:t>
      </w:r>
      <w:r>
        <w:rPr>
          <w:rFonts w:hint="eastAsia" w:ascii="宋体"/>
          <w:color w:val="000000" w:themeColor="text1"/>
          <w:sz w:val="24"/>
          <w:szCs w:val="28"/>
          <w:highlight w:val="none"/>
          <w14:textFill>
            <w14:solidFill>
              <w14:schemeClr w14:val="tx1"/>
            </w14:solidFill>
          </w14:textFill>
        </w:rPr>
        <w:t>施工设备、材料、工程设备和临时工程等办理财产保险，保险期限自上述货物运抵现场至其不再为工程所需要为止。</w:t>
      </w:r>
    </w:p>
    <w:p>
      <w:pPr>
        <w:pStyle w:val="177"/>
        <w:spacing w:before="156"/>
        <w:rPr>
          <w:color w:val="000000" w:themeColor="text1"/>
          <w:highlight w:val="none"/>
          <w14:textFill>
            <w14:solidFill>
              <w14:schemeClr w14:val="tx1"/>
            </w14:solidFill>
          </w14:textFill>
        </w:rPr>
      </w:pPr>
      <w:bookmarkStart w:id="1068" w:name="_Toc102746020"/>
      <w:bookmarkStart w:id="1069" w:name="_Ref4692238"/>
      <w:bookmarkStart w:id="1070" w:name="_Toc54862318"/>
      <w:bookmarkStart w:id="1071" w:name="_Ref4692231"/>
      <w:r>
        <w:rPr>
          <w:rFonts w:hint="eastAsia"/>
          <w:color w:val="000000" w:themeColor="text1"/>
          <w:highlight w:val="none"/>
          <w14:textFill>
            <w14:solidFill>
              <w14:schemeClr w14:val="tx1"/>
            </w14:solidFill>
          </w14:textFill>
        </w:rPr>
        <w:t>18.4 其他保险</w:t>
      </w:r>
      <w:bookmarkEnd w:id="1068"/>
      <w:bookmarkEnd w:id="1069"/>
      <w:bookmarkEnd w:id="1070"/>
      <w:bookmarkEnd w:id="107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1061"/>
      <w:r>
        <w:rPr>
          <w:rFonts w:hint="eastAsia" w:ascii="宋体"/>
          <w:color w:val="000000" w:themeColor="text1"/>
          <w:sz w:val="24"/>
          <w:szCs w:val="28"/>
          <w:highlight w:val="none"/>
          <w14:textFill>
            <w14:solidFill>
              <w14:schemeClr w14:val="tx1"/>
            </w14:solidFill>
          </w14:textFill>
        </w:rPr>
        <w:t>保费用包含在合同价格中，但在合同执行过程中，新颁布适用的法律法规规定由承包人投保的强制保险，应根据本合同</w:t>
      </w:r>
      <w:bookmarkStart w:id="1072" w:name="_Toc351203617"/>
      <w:bookmarkStart w:id="1073" w:name="_Toc337558832"/>
      <w:bookmarkStart w:id="1074" w:name="_Toc296346627"/>
      <w:bookmarkStart w:id="1075" w:name="_Toc296503126"/>
      <w:r>
        <w:rPr>
          <w:rFonts w:hint="eastAsia" w:ascii="宋体"/>
          <w:color w:val="000000" w:themeColor="text1"/>
          <w:sz w:val="24"/>
          <w:szCs w:val="28"/>
          <w:highlight w:val="none"/>
          <w14:textFill>
            <w14:solidFill>
              <w14:schemeClr w14:val="tx1"/>
            </w14:solidFill>
          </w14:textFill>
        </w:rPr>
        <w:t>第13条[变更与调整]的约定增加合同价款。</w:t>
      </w:r>
    </w:p>
    <w:p>
      <w:pPr>
        <w:pStyle w:val="177"/>
        <w:spacing w:before="156"/>
        <w:rPr>
          <w:color w:val="000000" w:themeColor="text1"/>
          <w:highlight w:val="none"/>
          <w14:textFill>
            <w14:solidFill>
              <w14:schemeClr w14:val="tx1"/>
            </w14:solidFill>
          </w14:textFill>
        </w:rPr>
      </w:pPr>
      <w:bookmarkStart w:id="1076" w:name="_Toc54862319"/>
      <w:bookmarkStart w:id="1077" w:name="_Toc102746021"/>
      <w:bookmarkStart w:id="1078" w:name="_Ref3840659"/>
      <w:r>
        <w:rPr>
          <w:rFonts w:hint="eastAsia"/>
          <w:color w:val="000000" w:themeColor="text1"/>
          <w:highlight w:val="none"/>
          <w14:textFill>
            <w14:solidFill>
              <w14:schemeClr w14:val="tx1"/>
            </w14:solidFill>
          </w14:textFill>
        </w:rPr>
        <w:t>18.5 对各项保险的一般要求</w:t>
      </w:r>
      <w:bookmarkEnd w:id="1076"/>
      <w:bookmarkEnd w:id="1077"/>
      <w:bookmarkEnd w:id="1078"/>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18.5.1 持续保险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合同当事人应与保险人保持联系，使保险人能够随时了</w:t>
      </w:r>
      <w:bookmarkEnd w:id="1072"/>
      <w:r>
        <w:rPr>
          <w:rFonts w:hint="eastAsia" w:ascii="宋体"/>
          <w:color w:val="000000" w:themeColor="text1"/>
          <w:sz w:val="24"/>
          <w:szCs w:val="28"/>
          <w:highlight w:val="none"/>
          <w14:textFill>
            <w14:solidFill>
              <w14:schemeClr w14:val="tx1"/>
            </w14:solidFill>
          </w14:textFill>
        </w:rPr>
        <w:t>解</w:t>
      </w:r>
      <w:bookmarkEnd w:id="1073"/>
      <w:bookmarkEnd w:id="1074"/>
      <w:bookmarkEnd w:id="1075"/>
      <w:r>
        <w:rPr>
          <w:rFonts w:hint="eastAsia" w:ascii="宋体"/>
          <w:color w:val="000000" w:themeColor="text1"/>
          <w:sz w:val="24"/>
          <w:szCs w:val="28"/>
          <w:highlight w:val="none"/>
          <w14:textFill>
            <w14:solidFill>
              <w14:schemeClr w14:val="tx1"/>
            </w14:solidFill>
          </w14:textFill>
        </w:rPr>
        <w:t>工程实施中的变动，并确保按保险合同条款要求持续保险。</w:t>
      </w:r>
    </w:p>
    <w:p>
      <w:pPr>
        <w:pStyle w:val="169"/>
        <w:spacing w:before="156"/>
        <w:rPr>
          <w:color w:val="000000" w:themeColor="text1"/>
          <w:highlight w:val="none"/>
          <w14:textFill>
            <w14:solidFill>
              <w14:schemeClr w14:val="tx1"/>
            </w14:solidFill>
          </w14:textFill>
        </w:rPr>
      </w:pPr>
      <w:bookmarkStart w:id="1079" w:name="_Ref4777650"/>
      <w:r>
        <w:rPr>
          <w:rFonts w:hint="eastAsia"/>
          <w:color w:val="000000" w:themeColor="text1"/>
          <w:highlight w:val="none"/>
          <w14:textFill>
            <w14:solidFill>
              <w14:schemeClr w14:val="tx1"/>
            </w14:solidFill>
          </w14:textFill>
        </w:rPr>
        <w:t>18.5.2 保险凭证</w:t>
      </w:r>
      <w:bookmarkEnd w:id="107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合同当事人应及时向另一方当事人提交其已投保的各项保险的凭证和保险单复印件，保险单必须与专用合同条件约定的条件保持一致。</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18.5.3 未按约定投保的补救</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负有投保义务的一方当事人未按合同约定办理保险，或未能使保险持续有效的，则另一方当事人可代为办理，所需费用由负有投保义务的一方当事人承担。</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负有投保</w:t>
      </w:r>
      <w:bookmarkStart w:id="1080" w:name="_Toc351203619"/>
      <w:bookmarkStart w:id="1081" w:name="_Toc337558834"/>
      <w:r>
        <w:rPr>
          <w:rFonts w:hint="eastAsia" w:ascii="宋体"/>
          <w:color w:val="000000" w:themeColor="text1"/>
          <w:sz w:val="24"/>
          <w:szCs w:val="28"/>
          <w:highlight w:val="none"/>
          <w14:textFill>
            <w14:solidFill>
              <w14:schemeClr w14:val="tx1"/>
            </w14:solidFill>
          </w14:textFill>
        </w:rPr>
        <w:t>义务的一方当事人未</w:t>
      </w:r>
      <w:bookmarkEnd w:id="1080"/>
      <w:r>
        <w:rPr>
          <w:rFonts w:hint="eastAsia" w:ascii="宋体"/>
          <w:color w:val="000000" w:themeColor="text1"/>
          <w:sz w:val="24"/>
          <w:szCs w:val="28"/>
          <w:highlight w:val="none"/>
          <w14:textFill>
            <w14:solidFill>
              <w14:schemeClr w14:val="tx1"/>
            </w14:solidFill>
          </w14:textFill>
        </w:rPr>
        <w:t>按</w:t>
      </w:r>
      <w:bookmarkEnd w:id="1081"/>
      <w:r>
        <w:rPr>
          <w:rFonts w:hint="eastAsia" w:ascii="宋体"/>
          <w:color w:val="000000" w:themeColor="text1"/>
          <w:sz w:val="24"/>
          <w:szCs w:val="28"/>
          <w:highlight w:val="none"/>
          <w14:textFill>
            <w14:solidFill>
              <w14:schemeClr w14:val="tx1"/>
            </w14:solidFill>
          </w14:textFill>
        </w:rPr>
        <w:t>合同约定办理某项保险，导致受益人未能得到足额赔偿的，由负有投保义务的一方当事人负责按照原应从该项保险得到的保险金数额进行补足。</w:t>
      </w:r>
    </w:p>
    <w:p>
      <w:pPr>
        <w:pStyle w:val="169"/>
        <w:spacing w:before="156"/>
        <w:rPr>
          <w:color w:val="000000" w:themeColor="text1"/>
          <w:highlight w:val="none"/>
          <w14:textFill>
            <w14:solidFill>
              <w14:schemeClr w14:val="tx1"/>
            </w14:solidFill>
          </w14:textFill>
        </w:rPr>
      </w:pPr>
      <w:bookmarkStart w:id="1082" w:name="_Ref4692685"/>
      <w:r>
        <w:rPr>
          <w:rFonts w:hint="eastAsia"/>
          <w:color w:val="000000" w:themeColor="text1"/>
          <w:highlight w:val="none"/>
          <w14:textFill>
            <w14:solidFill>
              <w14:schemeClr w14:val="tx1"/>
            </w14:solidFill>
          </w14:textFill>
        </w:rPr>
        <w:t>18.5.4 通知义务</w:t>
      </w:r>
      <w:bookmarkEnd w:id="108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除专用合同条件另有约定外，任何一方当事人变更除工伤保险之外的保险合同时，应事先征得另一方当事人同意，并通知工程师。</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保险事故发生时，投保人应按照保险合同规定的条件和期限及时向保险人报告。发包人和承包人应当在知道保险事故发生后及时通知对方。</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双方按本条规定投保不减少双方在合同下的其他义务。</w:t>
      </w:r>
    </w:p>
    <w:p>
      <w:pPr>
        <w:pStyle w:val="201"/>
        <w:rPr>
          <w:color w:val="000000" w:themeColor="text1"/>
          <w:highlight w:val="none"/>
          <w14:textFill>
            <w14:solidFill>
              <w14:schemeClr w14:val="tx1"/>
            </w14:solidFill>
          </w14:textFill>
        </w:rPr>
      </w:pPr>
      <w:bookmarkStart w:id="1083" w:name="_Toc10519"/>
      <w:bookmarkStart w:id="1084" w:name="_Toc22997"/>
      <w:bookmarkStart w:id="1085" w:name="_Toc14102"/>
      <w:bookmarkStart w:id="1086" w:name="_Toc18717"/>
      <w:bookmarkStart w:id="1087" w:name="_Toc16471"/>
      <w:bookmarkStart w:id="1088" w:name="_Ref11874997"/>
      <w:bookmarkStart w:id="1089" w:name="_Toc54862320"/>
      <w:bookmarkStart w:id="1090" w:name="_Toc26385"/>
      <w:bookmarkStart w:id="1091" w:name="_Toc199"/>
      <w:bookmarkStart w:id="1092" w:name="_Toc102746022"/>
      <w:bookmarkStart w:id="1093" w:name="_Toc239"/>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19条 </w:t>
      </w:r>
      <w:r>
        <w:rPr>
          <w:rFonts w:hint="eastAsia"/>
          <w:color w:val="000000" w:themeColor="text1"/>
          <w:highlight w:val="none"/>
          <w14:textFill>
            <w14:solidFill>
              <w14:schemeClr w14:val="tx1"/>
            </w14:solidFill>
          </w14:textFill>
        </w:rPr>
        <w:t>索赔</w:t>
      </w:r>
      <w:bookmarkEnd w:id="987"/>
      <w:bookmarkEnd w:id="988"/>
      <w:bookmarkEnd w:id="1083"/>
      <w:bookmarkEnd w:id="1084"/>
      <w:bookmarkEnd w:id="1085"/>
      <w:bookmarkEnd w:id="1086"/>
      <w:bookmarkEnd w:id="1087"/>
      <w:bookmarkEnd w:id="1088"/>
      <w:bookmarkEnd w:id="1089"/>
      <w:bookmarkEnd w:id="1090"/>
      <w:bookmarkEnd w:id="1091"/>
      <w:bookmarkEnd w:id="1092"/>
      <w:bookmarkEnd w:id="1093"/>
      <w:r>
        <w:rPr>
          <w:color w:val="000000" w:themeColor="text1"/>
          <w:highlight w:val="none"/>
          <w14:textFill>
            <w14:solidFill>
              <w14:schemeClr w14:val="tx1"/>
            </w14:solidFill>
          </w14:textFill>
        </w:rPr>
        <w:t xml:space="preserve"> </w:t>
      </w:r>
    </w:p>
    <w:p>
      <w:pPr>
        <w:pStyle w:val="177"/>
        <w:spacing w:before="156"/>
        <w:rPr>
          <w:color w:val="000000" w:themeColor="text1"/>
          <w:highlight w:val="none"/>
          <w14:textFill>
            <w14:solidFill>
              <w14:schemeClr w14:val="tx1"/>
            </w14:solidFill>
          </w14:textFill>
        </w:rPr>
      </w:pPr>
      <w:bookmarkStart w:id="1094" w:name="_Ref4798164"/>
      <w:bookmarkStart w:id="1095" w:name="_Ref4798173"/>
      <w:bookmarkStart w:id="1096" w:name="_Toc54862321"/>
      <w:bookmarkStart w:id="1097" w:name="_Toc102746023"/>
      <w:r>
        <w:rPr>
          <w:rFonts w:hint="eastAsia"/>
          <w:color w:val="000000" w:themeColor="text1"/>
          <w:highlight w:val="none"/>
          <w14:textFill>
            <w14:solidFill>
              <w14:schemeClr w14:val="tx1"/>
            </w14:solidFill>
          </w14:textFill>
        </w:rPr>
        <w:t>19.1 索赔</w:t>
      </w:r>
      <w:bookmarkEnd w:id="1094"/>
      <w:bookmarkEnd w:id="1095"/>
      <w:r>
        <w:rPr>
          <w:rFonts w:hint="eastAsia"/>
          <w:color w:val="000000" w:themeColor="text1"/>
          <w:highlight w:val="none"/>
          <w14:textFill>
            <w14:solidFill>
              <w14:schemeClr w14:val="tx1"/>
            </w14:solidFill>
          </w14:textFill>
        </w:rPr>
        <w:t>的提出</w:t>
      </w:r>
      <w:bookmarkEnd w:id="1096"/>
      <w:bookmarkEnd w:id="109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根据合同约定，任意一方认为有权得到追加/减少付款、延长缺陷责任期和（或）延长工期的，应按以下程序向对方提出索赔：</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索赔方应在发出索赔意向通知书后28天内，向对方正式递交索赔报告；索赔报告应详细说明索赔理由以及要求追加的付款金额、延长缺陷责任期和（或）延长的工期，并附必要的记录和证明材料；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索赔事件具有持续影响的，索赔方应每月递交延续索赔通知，说明持续影响的实际情况和记录，列出累计的追加付款金额、延长缺陷责任期和（或）工期延长天数；</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bookmarkStart w:id="1098" w:name="_Ref4796178"/>
      <w:r>
        <w:rPr>
          <w:rFonts w:hint="eastAsia" w:ascii="宋体"/>
          <w:color w:val="000000" w:themeColor="text1"/>
          <w:sz w:val="24"/>
          <w:szCs w:val="28"/>
          <w:highlight w:val="none"/>
          <w14:textFill>
            <w14:solidFill>
              <w14:schemeClr w14:val="tx1"/>
            </w14:solidFill>
          </w14:textFill>
        </w:rPr>
        <w:t>（4） 在索赔事件影响结束后28天内，索赔方应向对方递交最终索赔报告，说明最终要求索赔的追加付款金额、延长缺陷责任期和（或）延长的工期，并附必要的记录和证明材料。</w:t>
      </w:r>
      <w:bookmarkEnd w:id="1098"/>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177"/>
        <w:spacing w:before="156"/>
        <w:rPr>
          <w:color w:val="000000" w:themeColor="text1"/>
          <w:highlight w:val="none"/>
          <w14:textFill>
            <w14:solidFill>
              <w14:schemeClr w14:val="tx1"/>
            </w14:solidFill>
          </w14:textFill>
        </w:rPr>
      </w:pPr>
      <w:bookmarkStart w:id="1099" w:name="_Ref4796254"/>
      <w:bookmarkStart w:id="1100" w:name="_Toc102746024"/>
      <w:bookmarkStart w:id="1101" w:name="_Toc54862322"/>
      <w:bookmarkStart w:id="1102" w:name="_Ref4796262"/>
      <w:r>
        <w:rPr>
          <w:rFonts w:hint="eastAsia"/>
          <w:color w:val="000000" w:themeColor="text1"/>
          <w:highlight w:val="none"/>
          <w14:textFill>
            <w14:solidFill>
              <w14:schemeClr w14:val="tx1"/>
            </w14:solidFill>
          </w14:textFill>
        </w:rPr>
        <w:t>19.2 承包人索赔的处理程序</w:t>
      </w:r>
      <w:bookmarkEnd w:id="1099"/>
      <w:bookmarkEnd w:id="1100"/>
      <w:bookmarkEnd w:id="1101"/>
      <w:bookmarkEnd w:id="1102"/>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工程师收到承包人提交的索赔报告后，应及时审查索赔报告的内容、查验承包人的记录和证明材料，必要时工程师可要求承包人提交全部原始记录副本。</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承包人接受索赔处理结果的，发包人应在作出索赔处理结果答复后28天内完成支付。承包人不接受索赔处理结果的，按照第20条[争议解决]约定处理。</w:t>
      </w:r>
    </w:p>
    <w:p>
      <w:pPr>
        <w:pStyle w:val="177"/>
        <w:spacing w:before="156"/>
        <w:rPr>
          <w:color w:val="000000" w:themeColor="text1"/>
          <w:highlight w:val="none"/>
          <w14:textFill>
            <w14:solidFill>
              <w14:schemeClr w14:val="tx1"/>
            </w14:solidFill>
          </w14:textFill>
        </w:rPr>
      </w:pPr>
      <w:bookmarkStart w:id="1103" w:name="_Toc102746025"/>
      <w:bookmarkStart w:id="1104" w:name="_Toc54862323"/>
      <w:r>
        <w:rPr>
          <w:rFonts w:hint="eastAsia"/>
          <w:color w:val="000000" w:themeColor="text1"/>
          <w:highlight w:val="none"/>
          <w14:textFill>
            <w14:solidFill>
              <w14:schemeClr w14:val="tx1"/>
            </w14:solidFill>
          </w14:textFill>
        </w:rPr>
        <w:t>19.3 发包人索赔的处理程序</w:t>
      </w:r>
      <w:bookmarkEnd w:id="1103"/>
      <w:bookmarkEnd w:id="1104"/>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承包人收到发包人提交的索赔报告后，应及时审查索赔报告的内容、查验发包人证明材料；</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承包人应在收到上述索赔报告或有关索赔的进一步证明材料后42天内，将索赔处理结果答复发包人。承包人在收到索赔通知书或有关索赔的进一步证明材料后的42天内不予答复的，视为认可索赔。</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发包人接受索赔处理结果的，发包人可从应支付给承包人的合同价款中扣除赔付的金额或延长缺陷责任期；发包人不接受索赔处理结果的，按第20条[争议解决]约定处理。</w:t>
      </w:r>
    </w:p>
    <w:p>
      <w:pPr>
        <w:pStyle w:val="177"/>
        <w:spacing w:before="156"/>
        <w:rPr>
          <w:color w:val="000000" w:themeColor="text1"/>
          <w:highlight w:val="none"/>
          <w14:textFill>
            <w14:solidFill>
              <w14:schemeClr w14:val="tx1"/>
            </w14:solidFill>
          </w14:textFill>
        </w:rPr>
      </w:pPr>
      <w:bookmarkStart w:id="1105" w:name="_Toc102746026"/>
      <w:bookmarkStart w:id="1106" w:name="_Toc54862324"/>
      <w:r>
        <w:rPr>
          <w:rFonts w:hint="eastAsia"/>
          <w:color w:val="000000" w:themeColor="text1"/>
          <w:highlight w:val="none"/>
          <w14:textFill>
            <w14:solidFill>
              <w14:schemeClr w14:val="tx1"/>
            </w14:solidFill>
          </w14:textFill>
        </w:rPr>
        <w:t>19.4 提出索赔的期限</w:t>
      </w:r>
      <w:bookmarkEnd w:id="1105"/>
      <w:bookmarkEnd w:id="1106"/>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承包人按第14.5款[竣工结算</w:t>
      </w:r>
      <w:bookmarkStart w:id="1107" w:name="_Ref3826629"/>
      <w:bookmarkStart w:id="1108" w:name="_Ref3826634"/>
      <w:r>
        <w:rPr>
          <w:rFonts w:hint="eastAsia" w:ascii="宋体"/>
          <w:color w:val="000000" w:themeColor="text1"/>
          <w:sz w:val="24"/>
          <w:szCs w:val="28"/>
          <w:highlight w:val="none"/>
          <w14:textFill>
            <w14:solidFill>
              <w14:schemeClr w14:val="tx1"/>
            </w14:solidFill>
          </w14:textFill>
        </w:rPr>
        <w:t>]约定接收竣工付款证书后，应被认为已无权再提出在合同工程接收证书颁发前所发生的任何索赔。</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承包人按第14.7款[最终结清]提交的最终结清申请单中，只限于提出工程接收证书颁发后发生的索赔。提出索赔的期限均自接受最终结清证书时终止。</w:t>
      </w:r>
      <w:bookmarkEnd w:id="1107"/>
      <w:bookmarkEnd w:id="1108"/>
    </w:p>
    <w:p>
      <w:pPr>
        <w:pStyle w:val="201"/>
        <w:rPr>
          <w:color w:val="000000" w:themeColor="text1"/>
          <w:highlight w:val="none"/>
          <w14:textFill>
            <w14:solidFill>
              <w14:schemeClr w14:val="tx1"/>
            </w14:solidFill>
          </w14:textFill>
        </w:rPr>
      </w:pPr>
      <w:bookmarkStart w:id="1109" w:name="_Toc6551"/>
      <w:bookmarkStart w:id="1110" w:name="_Toc32230"/>
      <w:bookmarkStart w:id="1111" w:name="_Toc4607"/>
      <w:bookmarkStart w:id="1112" w:name="_Toc102746027"/>
      <w:bookmarkStart w:id="1113" w:name="_Ref532197861"/>
      <w:bookmarkStart w:id="1114" w:name="_Toc21558"/>
      <w:bookmarkStart w:id="1115" w:name="_Ref532142075"/>
      <w:bookmarkStart w:id="1116" w:name="_Toc12176"/>
      <w:bookmarkStart w:id="1117" w:name="_Toc32529"/>
      <w:bookmarkStart w:id="1118" w:name="_Toc8129"/>
      <w:bookmarkStart w:id="1119" w:name="_Toc22662"/>
      <w:bookmarkStart w:id="1120" w:name="_Toc54862325"/>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 xml:space="preserve">20条 </w:t>
      </w:r>
      <w:r>
        <w:rPr>
          <w:rFonts w:hint="eastAsia"/>
          <w:color w:val="000000" w:themeColor="text1"/>
          <w:highlight w:val="none"/>
          <w14:textFill>
            <w14:solidFill>
              <w14:schemeClr w14:val="tx1"/>
            </w14:solidFill>
          </w14:textFill>
        </w:rPr>
        <w:t>争议解决</w:t>
      </w:r>
      <w:bookmarkEnd w:id="1109"/>
      <w:bookmarkEnd w:id="1110"/>
      <w:bookmarkEnd w:id="1111"/>
      <w:bookmarkEnd w:id="1112"/>
      <w:bookmarkEnd w:id="1113"/>
      <w:bookmarkEnd w:id="1114"/>
      <w:bookmarkEnd w:id="1115"/>
      <w:bookmarkEnd w:id="1116"/>
      <w:bookmarkEnd w:id="1117"/>
      <w:bookmarkEnd w:id="1118"/>
      <w:bookmarkEnd w:id="1119"/>
      <w:bookmarkEnd w:id="1120"/>
      <w:r>
        <w:rPr>
          <w:color w:val="000000" w:themeColor="text1"/>
          <w:highlight w:val="none"/>
          <w14:textFill>
            <w14:solidFill>
              <w14:schemeClr w14:val="tx1"/>
            </w14:solidFill>
          </w14:textFill>
        </w:rPr>
        <w:t xml:space="preserve"> </w:t>
      </w:r>
    </w:p>
    <w:p>
      <w:pPr>
        <w:pStyle w:val="177"/>
        <w:spacing w:before="156"/>
        <w:rPr>
          <w:color w:val="000000" w:themeColor="text1"/>
          <w:highlight w:val="none"/>
          <w14:textFill>
            <w14:solidFill>
              <w14:schemeClr w14:val="tx1"/>
            </w14:solidFill>
          </w14:textFill>
        </w:rPr>
      </w:pPr>
      <w:bookmarkStart w:id="1121" w:name="_Toc54862326"/>
      <w:bookmarkStart w:id="1122" w:name="_Ref415507198"/>
      <w:bookmarkStart w:id="1123" w:name="_Toc102746028"/>
      <w:r>
        <w:rPr>
          <w:rFonts w:hint="eastAsia"/>
          <w:color w:val="000000" w:themeColor="text1"/>
          <w:highlight w:val="none"/>
          <w14:textFill>
            <w14:solidFill>
              <w14:schemeClr w14:val="tx1"/>
            </w14:solidFill>
          </w14:textFill>
        </w:rPr>
        <w:t>20.1 和解</w:t>
      </w:r>
      <w:bookmarkEnd w:id="1121"/>
      <w:bookmarkEnd w:id="1122"/>
      <w:bookmarkEnd w:id="1123"/>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合同当事人可以就争议自行和解，自行和解达成协议的经双方签字并盖章后作为合同补充文件，双方均应遵照执行。</w:t>
      </w:r>
    </w:p>
    <w:p>
      <w:pPr>
        <w:pStyle w:val="177"/>
        <w:spacing w:before="156"/>
        <w:rPr>
          <w:color w:val="000000" w:themeColor="text1"/>
          <w:highlight w:val="none"/>
          <w14:textFill>
            <w14:solidFill>
              <w14:schemeClr w14:val="tx1"/>
            </w14:solidFill>
          </w14:textFill>
        </w:rPr>
      </w:pPr>
      <w:bookmarkStart w:id="1124" w:name="_Toc102746029"/>
      <w:bookmarkStart w:id="1125" w:name="_Toc54862327"/>
      <w:r>
        <w:rPr>
          <w:rFonts w:hint="eastAsia"/>
          <w:color w:val="000000" w:themeColor="text1"/>
          <w:highlight w:val="none"/>
          <w14:textFill>
            <w14:solidFill>
              <w14:schemeClr w14:val="tx1"/>
            </w14:solidFill>
          </w14:textFill>
        </w:rPr>
        <w:t>20.2 调解</w:t>
      </w:r>
      <w:bookmarkEnd w:id="1124"/>
      <w:bookmarkEnd w:id="1125"/>
      <w:r>
        <w:rPr>
          <w:rFonts w:hint="eastAsia"/>
          <w:color w:val="000000" w:themeColor="text1"/>
          <w:highlight w:val="none"/>
          <w14:textFill>
            <w14:solidFill>
              <w14:schemeClr w14:val="tx1"/>
            </w14:solidFill>
          </w14:textFill>
        </w:rPr>
        <w:t xml:space="preserve"> </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合同当事人可以就争议请求建设行政主管部门、行业协会或其他第三方进行调解，调解达成协议的，经双方签字盖章后作为合同补充文件，双方均应遵照执行。</w:t>
      </w:r>
    </w:p>
    <w:p>
      <w:pPr>
        <w:pStyle w:val="177"/>
        <w:spacing w:before="156"/>
        <w:rPr>
          <w:color w:val="000000" w:themeColor="text1"/>
          <w:highlight w:val="none"/>
          <w14:textFill>
            <w14:solidFill>
              <w14:schemeClr w14:val="tx1"/>
            </w14:solidFill>
          </w14:textFill>
        </w:rPr>
      </w:pPr>
      <w:bookmarkStart w:id="1126" w:name="_Toc54862328"/>
      <w:bookmarkStart w:id="1127" w:name="_Ref532221527"/>
      <w:bookmarkStart w:id="1128" w:name="_Toc102746030"/>
      <w:bookmarkStart w:id="1129" w:name="_Ref532221532"/>
      <w:r>
        <w:rPr>
          <w:rFonts w:hint="eastAsia"/>
          <w:color w:val="000000" w:themeColor="text1"/>
          <w:highlight w:val="none"/>
          <w14:textFill>
            <w14:solidFill>
              <w14:schemeClr w14:val="tx1"/>
            </w14:solidFill>
          </w14:textFill>
        </w:rPr>
        <w:t>20.3 争议评审</w:t>
      </w:r>
      <w:bookmarkEnd w:id="1126"/>
      <w:bookmarkEnd w:id="1127"/>
      <w:bookmarkEnd w:id="1128"/>
      <w:bookmarkEnd w:id="1129"/>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合同当事人在专用合同条件中约定采取争议评审方式及评审规则解决争议的，按下列约定执行：</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20.3.1 争议评审小组的确定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除专用合同条件另有约定外，争议评审员报酬由发包人和承包人各承担一半。</w:t>
      </w:r>
    </w:p>
    <w:p>
      <w:pPr>
        <w:pStyle w:val="169"/>
        <w:spacing w:before="156"/>
        <w:rPr>
          <w:color w:val="000000" w:themeColor="text1"/>
          <w:highlight w:val="none"/>
          <w14:textFill>
            <w14:solidFill>
              <w14:schemeClr w14:val="tx1"/>
            </w14:solidFill>
          </w14:textFill>
        </w:rPr>
      </w:pPr>
      <w:bookmarkStart w:id="1130" w:name="_Ref532287270"/>
      <w:r>
        <w:rPr>
          <w:rFonts w:hint="eastAsia"/>
          <w:color w:val="000000" w:themeColor="text1"/>
          <w:highlight w:val="none"/>
          <w14:textFill>
            <w14:solidFill>
              <w14:schemeClr w14:val="tx1"/>
            </w14:solidFill>
          </w14:textFill>
        </w:rPr>
        <w:t>20.3.2 争议的避免</w:t>
      </w:r>
      <w:bookmarkEnd w:id="1130"/>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合同当事人协商一致，可以共同书面请求争议评审小组，就合同履行过程中可能出现争议的情况提供协助或进行非正式讨论，争议评审小组应给出公正的意见或建议。</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此类协助或非正式讨论可在任何会议、施工现场视察或其他场合进行，并且除专用合同条件另有约定外，发包人和承包人均应出席。</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169"/>
        <w:spacing w:before="156"/>
        <w:rPr>
          <w:color w:val="000000" w:themeColor="text1"/>
          <w:highlight w:val="none"/>
          <w14:textFill>
            <w14:solidFill>
              <w14:schemeClr w14:val="tx1"/>
            </w14:solidFill>
          </w14:textFill>
        </w:rPr>
      </w:pPr>
      <w:bookmarkStart w:id="1131" w:name="_Ref4695594"/>
      <w:r>
        <w:rPr>
          <w:rFonts w:hint="eastAsia"/>
          <w:color w:val="000000" w:themeColor="text1"/>
          <w:highlight w:val="none"/>
          <w14:textFill>
            <w14:solidFill>
              <w14:schemeClr w14:val="tx1"/>
            </w14:solidFill>
          </w14:textFill>
        </w:rPr>
        <w:t>20.3.3 争议评审小组的决定</w:t>
      </w:r>
      <w:bookmarkEnd w:id="1131"/>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pStyle w:val="169"/>
        <w:spacing w:before="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20.3.4 争议评审小组决定的效力</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争议评审小组作出的书面决定经合同当事人签字确认后，对双方具有约束力，双方应遵照执行。</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任何一方当事人不接受争议评审小组决定或不履行争议评审小组决定的，双方可选择采用其他争议解决方式。</w:t>
      </w:r>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任何一方当事人不接受争议评审小组的决定，并不影响暂时执行争议评审小组的决定，直到在后续的采用其他争议解决方式中对争议评审小组的决定进行了改变。</w:t>
      </w:r>
    </w:p>
    <w:p>
      <w:pPr>
        <w:pStyle w:val="177"/>
        <w:spacing w:before="156"/>
        <w:rPr>
          <w:color w:val="000000" w:themeColor="text1"/>
          <w:highlight w:val="none"/>
          <w14:textFill>
            <w14:solidFill>
              <w14:schemeClr w14:val="tx1"/>
            </w14:solidFill>
          </w14:textFill>
        </w:rPr>
      </w:pPr>
      <w:bookmarkStart w:id="1132" w:name="_Ref532221752"/>
      <w:bookmarkStart w:id="1133" w:name="_Toc54862329"/>
      <w:bookmarkStart w:id="1134" w:name="_Ref532221748"/>
      <w:bookmarkStart w:id="1135" w:name="_Toc102746031"/>
      <w:r>
        <w:rPr>
          <w:rFonts w:hint="eastAsia"/>
          <w:color w:val="000000" w:themeColor="text1"/>
          <w:highlight w:val="none"/>
          <w14:textFill>
            <w14:solidFill>
              <w14:schemeClr w14:val="tx1"/>
            </w14:solidFill>
          </w14:textFill>
        </w:rPr>
        <w:t>20.4 仲裁或诉讼</w:t>
      </w:r>
      <w:bookmarkEnd w:id="1132"/>
      <w:bookmarkEnd w:id="1133"/>
      <w:bookmarkEnd w:id="1134"/>
      <w:bookmarkEnd w:id="1135"/>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因合同及合同有关事项产生的争议，合同当事人可以在专用合同条件中约定以下一种方式解决争议：</w:t>
      </w:r>
    </w:p>
    <w:p>
      <w:pPr>
        <w:pStyle w:val="214"/>
        <w:numPr>
          <w:ilvl w:val="0"/>
          <w:numId w:val="0"/>
        </w:numPr>
        <w:spacing w:after="0" w:afterLines="0"/>
        <w:ind w:left="841"/>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（1） 向约定的仲裁委员会申请仲裁；</w:t>
      </w:r>
    </w:p>
    <w:p>
      <w:pPr>
        <w:pStyle w:val="214"/>
        <w:numPr>
          <w:ilvl w:val="0"/>
          <w:numId w:val="0"/>
        </w:numPr>
        <w:spacing w:after="0" w:afterLines="0"/>
        <w:ind w:left="841"/>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（2） 向有管辖权的人民法院起诉。</w:t>
      </w:r>
    </w:p>
    <w:p>
      <w:pPr>
        <w:pStyle w:val="177"/>
        <w:spacing w:before="156"/>
        <w:rPr>
          <w:color w:val="000000" w:themeColor="text1"/>
          <w:highlight w:val="none"/>
          <w14:textFill>
            <w14:solidFill>
              <w14:schemeClr w14:val="tx1"/>
            </w14:solidFill>
          </w14:textFill>
        </w:rPr>
      </w:pPr>
      <w:bookmarkStart w:id="1136" w:name="_Toc102746032"/>
      <w:bookmarkStart w:id="1137" w:name="_Toc54862330"/>
      <w:r>
        <w:rPr>
          <w:rFonts w:hint="eastAsia"/>
          <w:color w:val="000000" w:themeColor="text1"/>
          <w:highlight w:val="none"/>
          <w14:textFill>
            <w14:solidFill>
              <w14:schemeClr w14:val="tx1"/>
            </w14:solidFill>
          </w14:textFill>
        </w:rPr>
        <w:t>20.5 争议解决条款效力</w:t>
      </w:r>
      <w:bookmarkEnd w:id="1136"/>
      <w:bookmarkEnd w:id="1137"/>
    </w:p>
    <w:p>
      <w:pPr>
        <w:adjustRightInd w:val="0"/>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合同有关争议解决的条款独立存在，合同的不生效、无效、被撤销或者终止的，不影响合同中有关争议解决条款的效力。</w:t>
      </w:r>
    </w:p>
    <w:p>
      <w:pPr>
        <w:pStyle w:val="2"/>
        <w:ind w:left="63" w:right="63"/>
        <w:rPr>
          <w:color w:val="000000" w:themeColor="text1"/>
          <w:highlight w:val="none"/>
          <w14:textFill>
            <w14:solidFill>
              <w14:schemeClr w14:val="tx1"/>
            </w14:solidFill>
          </w14:textFill>
        </w:rPr>
      </w:pPr>
    </w:p>
    <w:bookmarkEnd w:id="225"/>
    <w:bookmarkEnd w:id="226"/>
    <w:bookmarkEnd w:id="227"/>
    <w:p>
      <w:pPr>
        <w:pStyle w:val="41"/>
        <w:rPr>
          <w:color w:val="000000" w:themeColor="text1"/>
          <w:highlight w:val="none"/>
          <w14:textFill>
            <w14:solidFill>
              <w14:schemeClr w14:val="tx1"/>
            </w14:solidFill>
          </w14:textFill>
        </w:rPr>
      </w:pPr>
      <w:bookmarkStart w:id="1138" w:name="_Toc6005"/>
      <w:bookmarkStart w:id="1139" w:name="_Toc10375"/>
      <w:bookmarkStart w:id="1140" w:name="_Toc2662"/>
      <w:bookmarkStart w:id="1141" w:name="_Toc18335"/>
      <w:bookmarkStart w:id="1142" w:name="_Toc1438"/>
      <w:bookmarkStart w:id="1143" w:name="_Toc1217"/>
      <w:bookmarkStart w:id="1144" w:name="_Toc20211"/>
      <w:bookmarkStart w:id="1145" w:name="_Toc26681"/>
      <w:r>
        <w:rPr>
          <w:color w:val="000000" w:themeColor="text1"/>
          <w:highlight w:val="none"/>
          <w14:textFill>
            <w14:solidFill>
              <w14:schemeClr w14:val="tx1"/>
            </w14:solidFill>
          </w14:textFill>
        </w:rPr>
        <w:br w:type="page"/>
      </w:r>
      <w:bookmarkStart w:id="1146" w:name="_Toc102746033"/>
      <w:r>
        <w:rPr>
          <w:rFonts w:hint="eastAsia"/>
          <w:color w:val="000000" w:themeColor="text1"/>
          <w:highlight w:val="none"/>
          <w14:textFill>
            <w14:solidFill>
              <w14:schemeClr w14:val="tx1"/>
            </w14:solidFill>
          </w14:textFill>
        </w:rPr>
        <w:t>第三部分 专用合同条件</w:t>
      </w:r>
      <w:bookmarkEnd w:id="1138"/>
      <w:bookmarkEnd w:id="1139"/>
      <w:bookmarkEnd w:id="1140"/>
      <w:bookmarkEnd w:id="1141"/>
      <w:bookmarkEnd w:id="1142"/>
      <w:bookmarkEnd w:id="1143"/>
      <w:bookmarkEnd w:id="1144"/>
      <w:bookmarkEnd w:id="1145"/>
      <w:bookmarkEnd w:id="1146"/>
    </w:p>
    <w:p>
      <w:pPr>
        <w:pStyle w:val="200"/>
        <w:rPr>
          <w:color w:val="000000" w:themeColor="text1"/>
          <w:highlight w:val="none"/>
          <w14:textFill>
            <w14:solidFill>
              <w14:schemeClr w14:val="tx1"/>
            </w14:solidFill>
          </w14:textFill>
        </w:rPr>
      </w:pPr>
      <w:bookmarkStart w:id="1147" w:name="_Toc102746034"/>
      <w:r>
        <w:rPr>
          <w:rFonts w:hint="eastAsia"/>
          <w:color w:val="000000" w:themeColor="text1"/>
          <w:highlight w:val="none"/>
          <w14:textFill>
            <w14:solidFill>
              <w14:schemeClr w14:val="tx1"/>
            </w14:solidFill>
          </w14:textFill>
        </w:rPr>
        <w:t>第一条 一般约定</w:t>
      </w:r>
      <w:bookmarkEnd w:id="1147"/>
    </w:p>
    <w:p>
      <w:pPr>
        <w:pStyle w:val="196"/>
        <w:spacing w:before="156"/>
        <w:ind w:firstLine="241"/>
        <w:rPr>
          <w:color w:val="000000" w:themeColor="text1"/>
          <w:highlight w:val="none"/>
          <w14:textFill>
            <w14:solidFill>
              <w14:schemeClr w14:val="tx1"/>
            </w14:solidFill>
          </w14:textFill>
        </w:rPr>
      </w:pPr>
      <w:bookmarkStart w:id="1148" w:name="_Toc102746035"/>
      <w:r>
        <w:rPr>
          <w:rFonts w:hint="eastAsia"/>
          <w:color w:val="000000" w:themeColor="text1"/>
          <w:highlight w:val="none"/>
          <w14:textFill>
            <w14:solidFill>
              <w14:schemeClr w14:val="tx1"/>
            </w14:solidFill>
          </w14:textFill>
        </w:rPr>
        <w:t>1.1 词语定义和解释</w:t>
      </w:r>
      <w:bookmarkEnd w:id="1148"/>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1.1.1 合同</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14:textFill>
            <w14:solidFill>
              <w14:schemeClr w14:val="tx1"/>
            </w14:solidFill>
          </w14:textFill>
        </w:rPr>
        <w:t>1.1.1.1</w:t>
      </w:r>
      <w:r>
        <w:rPr>
          <w:rFonts w:hint="eastAsia" w:ascii="宋体" w:cs="Microsoft JhengHei Light"/>
          <w:color w:val="000000" w:themeColor="text1"/>
          <w:kern w:val="0"/>
          <w:sz w:val="24"/>
          <w:szCs w:val="28"/>
          <w:highlight w:val="none"/>
          <w:lang w:val="zh-CN"/>
          <w14:textFill>
            <w14:solidFill>
              <w14:schemeClr w14:val="tx1"/>
            </w14:solidFill>
          </w14:textFill>
        </w:rPr>
        <w:t>合同：</w:t>
      </w:r>
      <w:r>
        <w:rPr>
          <w:rFonts w:hint="eastAsia" w:ascii="宋体" w:cs="Microsoft JhengHei Light"/>
          <w:color w:val="000000" w:themeColor="text1"/>
          <w:kern w:val="0"/>
          <w:sz w:val="24"/>
          <w:szCs w:val="28"/>
          <w:highlight w:val="none"/>
          <w:u w:val="single"/>
          <w:lang w:val="zh-CN"/>
          <w14:textFill>
            <w14:solidFill>
              <w14:schemeClr w14:val="tx1"/>
            </w14:solidFill>
          </w14:textFill>
        </w:rPr>
        <w:t>指</w:t>
      </w:r>
      <w:r>
        <w:rPr>
          <w:rFonts w:hint="eastAsia" w:ascii="宋体" w:hAnsi="仿宋_GB2312" w:cs="仿宋_GB2312"/>
          <w:bCs/>
          <w:snapToGrid w:val="0"/>
          <w:color w:val="000000" w:themeColor="text1"/>
          <w:kern w:val="0"/>
          <w:sz w:val="24"/>
          <w:szCs w:val="28"/>
          <w:highlight w:val="none"/>
          <w:u w:val="single"/>
          <w14:textFill>
            <w14:solidFill>
              <w14:schemeClr w14:val="tx1"/>
            </w14:solidFill>
          </w14:textFill>
        </w:rPr>
        <w:t>合同实施期间双方签订的补充或修正文件（如有）、</w:t>
      </w:r>
      <w:r>
        <w:rPr>
          <w:rFonts w:hint="eastAsia" w:ascii="宋体" w:cs="Microsoft JhengHei Light"/>
          <w:color w:val="000000" w:themeColor="text1"/>
          <w:kern w:val="0"/>
          <w:sz w:val="24"/>
          <w:szCs w:val="28"/>
          <w:highlight w:val="none"/>
          <w:u w:val="single"/>
          <w:lang w:val="zh-CN"/>
          <w14:textFill>
            <w14:solidFill>
              <w14:schemeClr w14:val="tx1"/>
            </w14:solidFill>
          </w14:textFill>
        </w:rPr>
        <w:t>合同协议书、专用合同条件、</w:t>
      </w:r>
      <w:r>
        <w:rPr>
          <w:rFonts w:hint="eastAsia" w:ascii="宋体" w:hAnsi="仿宋_GB2312" w:cs="仿宋_GB2312"/>
          <w:bCs/>
          <w:snapToGrid w:val="0"/>
          <w:color w:val="000000" w:themeColor="text1"/>
          <w:kern w:val="0"/>
          <w:sz w:val="24"/>
          <w:szCs w:val="28"/>
          <w:highlight w:val="none"/>
          <w:u w:val="single"/>
          <w14:textFill>
            <w14:solidFill>
              <w14:schemeClr w14:val="tx1"/>
            </w14:solidFill>
          </w14:textFill>
        </w:rPr>
        <w:t>本合同附件、</w:t>
      </w:r>
      <w:r>
        <w:rPr>
          <w:rFonts w:hint="eastAsia" w:ascii="宋体" w:cs="Microsoft JhengHei Light"/>
          <w:color w:val="000000" w:themeColor="text1"/>
          <w:kern w:val="0"/>
          <w:sz w:val="24"/>
          <w:szCs w:val="28"/>
          <w:highlight w:val="none"/>
          <w:u w:val="single"/>
          <w:lang w:val="zh-CN"/>
          <w14:textFill>
            <w14:solidFill>
              <w14:schemeClr w14:val="tx1"/>
            </w14:solidFill>
          </w14:textFill>
        </w:rPr>
        <w:t>中标通知书、通用合同条件、</w:t>
      </w:r>
      <w:r>
        <w:rPr>
          <w:rFonts w:hint="eastAsia" w:ascii="宋体" w:hAnsi="仿宋_GB2312" w:cs="仿宋_GB2312"/>
          <w:bCs/>
          <w:snapToGrid w:val="0"/>
          <w:color w:val="000000" w:themeColor="text1"/>
          <w:kern w:val="0"/>
          <w:sz w:val="24"/>
          <w:szCs w:val="28"/>
          <w:highlight w:val="none"/>
          <w:u w:val="single"/>
          <w14:textFill>
            <w14:solidFill>
              <w14:schemeClr w14:val="tx1"/>
            </w14:solidFill>
          </w14:textFill>
        </w:rPr>
        <w:t>招标文件（含招标过程中发出的补遗、澄清文件）、</w:t>
      </w:r>
      <w:r>
        <w:rPr>
          <w:rFonts w:hint="eastAsia" w:ascii="宋体" w:cs="Microsoft JhengHei Light"/>
          <w:color w:val="000000" w:themeColor="text1"/>
          <w:kern w:val="0"/>
          <w:sz w:val="24"/>
          <w:szCs w:val="28"/>
          <w:highlight w:val="none"/>
          <w:u w:val="single"/>
          <w:lang w:val="zh-CN"/>
          <w14:textFill>
            <w14:solidFill>
              <w14:schemeClr w14:val="tx1"/>
            </w14:solidFill>
          </w14:textFill>
        </w:rPr>
        <w:t>投标文件</w:t>
      </w:r>
      <w:r>
        <w:rPr>
          <w:rFonts w:hint="eastAsia" w:ascii="宋体" w:hAnsi="仿宋_GB2312" w:cs="仿宋_GB2312"/>
          <w:bCs/>
          <w:snapToGrid w:val="0"/>
          <w:color w:val="000000" w:themeColor="text1"/>
          <w:kern w:val="0"/>
          <w:sz w:val="24"/>
          <w:szCs w:val="28"/>
          <w:highlight w:val="none"/>
          <w:u w:val="single"/>
          <w14:textFill>
            <w14:solidFill>
              <w14:schemeClr w14:val="tx1"/>
            </w14:solidFill>
          </w14:textFill>
        </w:rPr>
        <w:t>（含评标期间经确认的澄清文件）</w:t>
      </w:r>
      <w:r>
        <w:rPr>
          <w:rFonts w:hint="eastAsia" w:ascii="宋体" w:cs="Microsoft JhengHei Light"/>
          <w:color w:val="000000" w:themeColor="text1"/>
          <w:kern w:val="0"/>
          <w:sz w:val="24"/>
          <w:szCs w:val="28"/>
          <w:highlight w:val="none"/>
          <w:u w:val="single"/>
          <w:lang w:val="zh-CN"/>
          <w14:textFill>
            <w14:solidFill>
              <w14:schemeClr w14:val="tx1"/>
            </w14:solidFill>
          </w14:textFill>
        </w:rPr>
        <w:t>、发包人要求（如项目功能需求书等）、经审定的初步设计（含概算）、工程报价单或</w:t>
      </w:r>
      <w:r>
        <w:rPr>
          <w:rFonts w:hint="eastAsia" w:ascii="宋体" w:hAnsi="仿宋_GB2312" w:cs="仿宋_GB2312"/>
          <w:bCs/>
          <w:snapToGrid w:val="0"/>
          <w:color w:val="000000" w:themeColor="text1"/>
          <w:kern w:val="0"/>
          <w:sz w:val="24"/>
          <w:szCs w:val="28"/>
          <w:highlight w:val="none"/>
          <w:u w:val="single"/>
          <w14:textFill>
            <w14:solidFill>
              <w14:schemeClr w14:val="tx1"/>
            </w14:solidFill>
          </w14:textFill>
        </w:rPr>
        <w:t>预算书、</w:t>
      </w:r>
      <w:r>
        <w:rPr>
          <w:rFonts w:hint="eastAsia" w:ascii="宋体" w:hAnsi="仿宋_GB2312" w:cs="仿宋_GB2312"/>
          <w:bCs/>
          <w:snapToGrid w:val="0"/>
          <w:color w:val="000000" w:themeColor="text1"/>
          <w:sz w:val="24"/>
          <w:szCs w:val="28"/>
          <w:highlight w:val="none"/>
          <w:u w:val="single"/>
          <w14:textFill>
            <w14:solidFill>
              <w14:schemeClr w14:val="tx1"/>
            </w14:solidFill>
          </w14:textFill>
        </w:rPr>
        <w:t>工作任务单、发包人各项建设管理制度和规定，国家及广东省、广州市的标准、规范及有关技术文件，</w:t>
      </w:r>
      <w:r>
        <w:rPr>
          <w:rFonts w:hint="eastAsia" w:ascii="宋体" w:hAnsi="仿宋_GB2312" w:cs="仿宋_GB2312"/>
          <w:bCs/>
          <w:snapToGrid w:val="0"/>
          <w:color w:val="000000" w:themeColor="text1"/>
          <w:kern w:val="0"/>
          <w:sz w:val="24"/>
          <w:szCs w:val="28"/>
          <w:highlight w:val="none"/>
          <w:u w:val="single"/>
          <w14:textFill>
            <w14:solidFill>
              <w14:schemeClr w14:val="tx1"/>
            </w14:solidFill>
          </w14:textFill>
        </w:rPr>
        <w:t>本合同各方在签订和履行总承包合同过程中形成的通知、会议纪要、备忘录、补充文件、指令、传真、电子邮件及其他有关变更或洽商等书面协议或文件，</w:t>
      </w:r>
      <w:r>
        <w:rPr>
          <w:rFonts w:hint="eastAsia" w:ascii="宋体" w:cs="Microsoft JhengHei Light"/>
          <w:color w:val="000000" w:themeColor="text1"/>
          <w:kern w:val="0"/>
          <w:sz w:val="24"/>
          <w:szCs w:val="28"/>
          <w:highlight w:val="none"/>
          <w:u w:val="single"/>
          <w:lang w:val="zh-CN"/>
          <w14:textFill>
            <w14:solidFill>
              <w14:schemeClr w14:val="tx1"/>
            </w14:solidFill>
          </w14:textFill>
        </w:rPr>
        <w:t>以及双方约定的其他合同文件。</w:t>
      </w:r>
    </w:p>
    <w:p>
      <w:pPr>
        <w:autoSpaceDE w:val="0"/>
        <w:autoSpaceDN w:val="0"/>
        <w:adjustRightInd w:val="0"/>
        <w:snapToGrid w:val="0"/>
        <w:spacing w:line="360" w:lineRule="auto"/>
        <w:ind w:firstLine="480" w:firstLineChars="200"/>
        <w:jc w:val="left"/>
        <w:rPr>
          <w:rFonts w:ascii="宋体"/>
          <w:color w:val="000000" w:themeColor="text1"/>
          <w:sz w:val="24"/>
          <w:szCs w:val="28"/>
          <w:highlight w:val="none"/>
          <w:u w:val="single"/>
          <w14:textFill>
            <w14:solidFill>
              <w14:schemeClr w14:val="tx1"/>
            </w14:solidFill>
          </w14:textFill>
        </w:rPr>
      </w:pPr>
      <w:r>
        <w:rPr>
          <w:rFonts w:hint="eastAsia" w:ascii="宋体" w:hAnsi="仿宋_GB2312" w:cs="仿宋_GB2312"/>
          <w:color w:val="000000" w:themeColor="text1"/>
          <w:kern w:val="0"/>
          <w:sz w:val="24"/>
          <w:szCs w:val="28"/>
          <w:highlight w:val="none"/>
          <w14:textFill>
            <w14:solidFill>
              <w14:schemeClr w14:val="tx1"/>
            </w14:solidFill>
          </w14:textFill>
        </w:rPr>
        <w:t>1.1.1.6</w:t>
      </w:r>
      <w:r>
        <w:rPr>
          <w:rFonts w:hint="eastAsia" w:ascii="宋体"/>
          <w:color w:val="000000" w:themeColor="text1"/>
          <w:sz w:val="24"/>
          <w:szCs w:val="28"/>
          <w:highlight w:val="none"/>
          <w14:textFill>
            <w14:solidFill>
              <w14:schemeClr w14:val="tx1"/>
            </w14:solidFill>
          </w14:textFill>
        </w:rPr>
        <w:t>《发包人要求》</w:t>
      </w:r>
      <w:r>
        <w:rPr>
          <w:rFonts w:hint="eastAsia" w:ascii="宋体" w:hAnsi="仿宋_GB2312" w:cs="仿宋_GB2312"/>
          <w:color w:val="000000" w:themeColor="text1"/>
          <w:sz w:val="24"/>
          <w:szCs w:val="28"/>
          <w:highlight w:val="none"/>
          <w14:textFill>
            <w14:solidFill>
              <w14:schemeClr w14:val="tx1"/>
            </w14:solidFill>
          </w14:textFill>
        </w:rPr>
        <w:t>：</w:t>
      </w:r>
      <w:r>
        <w:rPr>
          <w:rFonts w:hint="eastAsia" w:ascii="宋体" w:hAnsi="仿宋_GB2312" w:cs="仿宋_GB2312"/>
          <w:color w:val="000000" w:themeColor="text1"/>
          <w:sz w:val="24"/>
          <w:szCs w:val="28"/>
          <w:highlight w:val="none"/>
          <w:u w:val="single"/>
          <w14:textFill>
            <w14:solidFill>
              <w14:schemeClr w14:val="tx1"/>
            </w14:solidFill>
          </w14:textFill>
        </w:rPr>
        <w:t>是指构成合同文件组成部分，用以表达</w:t>
      </w:r>
      <w:r>
        <w:rPr>
          <w:rFonts w:hint="eastAsia" w:ascii="宋体"/>
          <w:color w:val="000000" w:themeColor="text1"/>
          <w:sz w:val="24"/>
          <w:szCs w:val="28"/>
          <w:highlight w:val="none"/>
          <w:u w:val="single"/>
          <w14:textFill>
            <w14:solidFill>
              <w14:schemeClr w14:val="tx1"/>
            </w14:solidFill>
          </w14:textFill>
        </w:rPr>
        <w:t>发包人要求</w:t>
      </w:r>
      <w:r>
        <w:rPr>
          <w:rFonts w:hint="eastAsia" w:ascii="宋体" w:hAnsi="仿宋_GB2312" w:cs="仿宋_GB2312"/>
          <w:color w:val="000000" w:themeColor="text1"/>
          <w:sz w:val="24"/>
          <w:szCs w:val="28"/>
          <w:highlight w:val="none"/>
          <w:u w:val="single"/>
          <w14:textFill>
            <w14:solidFill>
              <w14:schemeClr w14:val="tx1"/>
            </w14:solidFill>
          </w14:textFill>
        </w:rPr>
        <w:t>的文件，包括招标项目的目的、范围、设计与其他技术</w:t>
      </w:r>
      <w:r>
        <w:rPr>
          <w:rFonts w:hint="eastAsia" w:ascii="宋体"/>
          <w:color w:val="000000" w:themeColor="text1"/>
          <w:sz w:val="24"/>
          <w:szCs w:val="28"/>
          <w:highlight w:val="none"/>
          <w:u w:val="single"/>
          <w14:textFill>
            <w14:solidFill>
              <w14:schemeClr w14:val="tx1"/>
            </w14:solidFill>
          </w14:textFill>
        </w:rPr>
        <w:t>标准和要求，以及合同双方当事人约定对其所作的修改或补充。《发包人要求》体现形式包括但不限于招标文件、可行性研究报告批复、经审定的初步设计文件（含概算）、会议纪要、合同约定、工作任务单、合同附件等形式。</w:t>
      </w:r>
    </w:p>
    <w:p>
      <w:pPr>
        <w:pStyle w:val="23"/>
        <w:snapToGrid w:val="0"/>
        <w:spacing w:line="360" w:lineRule="auto"/>
        <w:ind w:firstLine="480" w:firstLineChars="200"/>
        <w:rPr>
          <w:color w:val="000000" w:themeColor="text1"/>
          <w:sz w:val="24"/>
          <w:szCs w:val="28"/>
          <w:highlight w:val="none"/>
          <w:u w:val="single"/>
          <w14:textFill>
            <w14:solidFill>
              <w14:schemeClr w14:val="tx1"/>
            </w14:solidFill>
          </w14:textFill>
        </w:rPr>
      </w:pPr>
      <w:r>
        <w:rPr>
          <w:rFonts w:hint="eastAsia" w:hAnsi="仿宋_GB2312" w:cs="仿宋_GB2312"/>
          <w:color w:val="000000" w:themeColor="text1"/>
          <w:kern w:val="0"/>
          <w:sz w:val="24"/>
          <w:szCs w:val="28"/>
          <w:highlight w:val="none"/>
          <w14:textFill>
            <w14:solidFill>
              <w14:schemeClr w14:val="tx1"/>
            </w14:solidFill>
          </w14:textFill>
        </w:rPr>
        <w:t>1.1.1.9承包人建议书：</w:t>
      </w:r>
      <w:r>
        <w:rPr>
          <w:rFonts w:hint="eastAsia" w:hAnsi="仿宋_GB2312" w:cs="仿宋_GB2312"/>
          <w:color w:val="000000" w:themeColor="text1"/>
          <w:kern w:val="0"/>
          <w:sz w:val="24"/>
          <w:szCs w:val="28"/>
          <w:highlight w:val="none"/>
          <w:u w:val="single"/>
          <w14:textFill>
            <w14:solidFill>
              <w14:schemeClr w14:val="tx1"/>
            </w14:solidFill>
          </w14:textFill>
        </w:rPr>
        <w:t>指构成合同文件组成部分，</w:t>
      </w:r>
      <w:r>
        <w:rPr>
          <w:rFonts w:hint="eastAsia" w:hAnsi="仿宋_GB2312" w:cs="仿宋_GB2312"/>
          <w:color w:val="000000" w:themeColor="text1"/>
          <w:sz w:val="24"/>
          <w:szCs w:val="28"/>
          <w:highlight w:val="none"/>
          <w:u w:val="single"/>
          <w14:textFill>
            <w14:solidFill>
              <w14:schemeClr w14:val="tx1"/>
            </w14:solidFill>
          </w14:textFill>
        </w:rPr>
        <w:t>用以表达</w:t>
      </w:r>
      <w:r>
        <w:rPr>
          <w:rFonts w:hint="eastAsia" w:hAnsi="仿宋_GB2312" w:cs="仿宋_GB2312"/>
          <w:color w:val="000000" w:themeColor="text1"/>
          <w:kern w:val="0"/>
          <w:sz w:val="24"/>
          <w:szCs w:val="28"/>
          <w:highlight w:val="none"/>
          <w:u w:val="single"/>
          <w14:textFill>
            <w14:solidFill>
              <w14:schemeClr w14:val="tx1"/>
            </w14:solidFill>
          </w14:textFill>
        </w:rPr>
        <w:t>承包人建议的文件。承包人建议书由承包人随投标函一起提交。承包人建议书应包括但不限于承包人的项目实施计划等。</w:t>
      </w:r>
    </w:p>
    <w:p>
      <w:pPr>
        <w:pStyle w:val="168"/>
        <w:spacing w:before="156"/>
        <w:ind w:firstLine="480"/>
        <w:rPr>
          <w:color w:val="000000" w:themeColor="text1"/>
          <w:highlight w:val="none"/>
          <w14:textFill>
            <w14:solidFill>
              <w14:schemeClr w14:val="tx1"/>
            </w14:solidFill>
          </w14:textFill>
        </w:rPr>
      </w:pPr>
      <w:bookmarkStart w:id="1149" w:name="_Ref4757418"/>
      <w:r>
        <w:rPr>
          <w:color w:val="000000" w:themeColor="text1"/>
          <w:highlight w:val="none"/>
          <w14:textFill>
            <w14:solidFill>
              <w14:schemeClr w14:val="tx1"/>
            </w14:solidFill>
          </w14:textFill>
        </w:rPr>
        <w:t xml:space="preserve">1.1.2 </w:t>
      </w:r>
      <w:r>
        <w:rPr>
          <w:rFonts w:hint="eastAsia"/>
          <w:color w:val="000000" w:themeColor="text1"/>
          <w:highlight w:val="none"/>
          <w14:textFill>
            <w14:solidFill>
              <w14:schemeClr w14:val="tx1"/>
            </w14:solidFill>
          </w14:textFill>
        </w:rPr>
        <w:t>合同当事人及其他相关方</w:t>
      </w:r>
      <w:bookmarkEnd w:id="1149"/>
    </w:p>
    <w:p>
      <w:pPr>
        <w:snapToGrid w:val="0"/>
        <w:spacing w:line="360" w:lineRule="auto"/>
        <w:ind w:firstLine="57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1.1.2.6 工程师：</w:t>
      </w:r>
    </w:p>
    <w:p>
      <w:pPr>
        <w:snapToGrid w:val="0"/>
        <w:spacing w:line="360" w:lineRule="auto"/>
        <w:ind w:firstLine="570"/>
        <w:rPr>
          <w:rFonts w:ascii="宋体" w:cs="Microsoft JhengHei Light"/>
          <w:color w:val="000000" w:themeColor="text1"/>
          <w:kern w:val="0"/>
          <w:sz w:val="24"/>
          <w:szCs w:val="28"/>
          <w:highlight w:val="none"/>
          <w:u w:val="single"/>
          <w:lang w:val="zh-CN"/>
          <w14:textFill>
            <w14:solidFill>
              <w14:schemeClr w14:val="tx1"/>
            </w14:solidFill>
          </w14:textFill>
        </w:rPr>
      </w:pPr>
      <w:r>
        <w:rPr>
          <w:rFonts w:hint="eastAsia" w:ascii="宋体" w:cs="Microsoft JhengHei Light"/>
          <w:color w:val="000000" w:themeColor="text1"/>
          <w:kern w:val="0"/>
          <w:sz w:val="24"/>
          <w:szCs w:val="28"/>
          <w:highlight w:val="none"/>
          <w:u w:val="single"/>
          <w:lang w:val="zh-CN"/>
          <w14:textFill>
            <w14:solidFill>
              <w14:schemeClr w14:val="tx1"/>
            </w14:solidFill>
          </w14:textFill>
        </w:rPr>
        <w:t>1.1.2.6.1 发包人</w:t>
      </w:r>
      <w:r>
        <w:rPr>
          <w:rFonts w:hint="eastAsia" w:ascii="宋体" w:cs="Microsoft JhengHei Light"/>
          <w:color w:val="000000" w:themeColor="text1"/>
          <w:kern w:val="0"/>
          <w:sz w:val="24"/>
          <w:szCs w:val="28"/>
          <w:highlight w:val="none"/>
          <w:u w:val="single"/>
          <w14:textFill>
            <w14:solidFill>
              <w14:schemeClr w14:val="tx1"/>
            </w14:solidFill>
          </w14:textFill>
        </w:rPr>
        <w:t>有权</w:t>
      </w:r>
      <w:r>
        <w:rPr>
          <w:rFonts w:hint="eastAsia" w:ascii="宋体" w:cs="Microsoft JhengHei Light"/>
          <w:color w:val="000000" w:themeColor="text1"/>
          <w:kern w:val="0"/>
          <w:sz w:val="24"/>
          <w:szCs w:val="28"/>
          <w:highlight w:val="none"/>
          <w:u w:val="single"/>
          <w:lang w:val="zh-CN"/>
          <w14:textFill>
            <w14:solidFill>
              <w14:schemeClr w14:val="tx1"/>
            </w14:solidFill>
          </w14:textFill>
        </w:rPr>
        <w:t>委托承担工程项目建设管理的单位，在本工程合同实施全过程中，作为委托代理人，负责本项目的建设管理的一切组织工作，</w:t>
      </w:r>
      <w:r>
        <w:rPr>
          <w:rFonts w:hint="eastAsia" w:ascii="宋体" w:cs="Microsoft JhengHei Light"/>
          <w:color w:val="000000" w:themeColor="text1"/>
          <w:kern w:val="0"/>
          <w:sz w:val="24"/>
          <w:szCs w:val="28"/>
          <w:highlight w:val="none"/>
          <w:u w:val="single"/>
          <w14:textFill>
            <w14:solidFill>
              <w14:schemeClr w14:val="tx1"/>
            </w14:solidFill>
          </w14:textFill>
        </w:rPr>
        <w:t>按照委托合同及相关法律法规承担建设管理责任</w:t>
      </w:r>
      <w:r>
        <w:rPr>
          <w:rFonts w:hint="eastAsia" w:ascii="宋体" w:cs="Microsoft JhengHei Light"/>
          <w:color w:val="000000" w:themeColor="text1"/>
          <w:kern w:val="0"/>
          <w:sz w:val="24"/>
          <w:szCs w:val="28"/>
          <w:highlight w:val="none"/>
          <w:u w:val="single"/>
          <w:lang w:val="zh-CN"/>
          <w14:textFill>
            <w14:solidFill>
              <w14:schemeClr w14:val="tx1"/>
            </w14:solidFill>
          </w14:textFill>
        </w:rPr>
        <w:t>。</w:t>
      </w:r>
    </w:p>
    <w:p>
      <w:pPr>
        <w:snapToGrid w:val="0"/>
        <w:spacing w:line="360" w:lineRule="auto"/>
        <w:ind w:firstLine="570"/>
        <w:rPr>
          <w:rFonts w:ascii="宋体" w:cs="Microsoft JhengHei Light"/>
          <w:color w:val="000000" w:themeColor="text1"/>
          <w:kern w:val="0"/>
          <w:sz w:val="24"/>
          <w:szCs w:val="28"/>
          <w:highlight w:val="none"/>
          <w:u w:val="single"/>
          <w:lang w:val="zh-CN"/>
          <w14:textFill>
            <w14:solidFill>
              <w14:schemeClr w14:val="tx1"/>
            </w14:solidFill>
          </w14:textFill>
        </w:rPr>
      </w:pPr>
      <w:r>
        <w:rPr>
          <w:rFonts w:hint="eastAsia" w:ascii="宋体" w:cs="Microsoft JhengHei Light"/>
          <w:color w:val="000000" w:themeColor="text1"/>
          <w:kern w:val="0"/>
          <w:sz w:val="24"/>
          <w:szCs w:val="28"/>
          <w:highlight w:val="none"/>
          <w:u w:val="single"/>
          <w:lang w:val="zh-CN"/>
          <w14:textFill>
            <w14:solidFill>
              <w14:schemeClr w14:val="tx1"/>
            </w14:solidFill>
          </w14:textFill>
        </w:rPr>
        <w:t>1.1.2.6.2 发包人</w:t>
      </w:r>
      <w:r>
        <w:rPr>
          <w:rFonts w:hint="eastAsia" w:ascii="宋体" w:cs="Microsoft JhengHei Light"/>
          <w:color w:val="000000" w:themeColor="text1"/>
          <w:kern w:val="0"/>
          <w:sz w:val="24"/>
          <w:szCs w:val="28"/>
          <w:highlight w:val="none"/>
          <w:u w:val="single"/>
          <w14:textFill>
            <w14:solidFill>
              <w14:schemeClr w14:val="tx1"/>
            </w14:solidFill>
          </w14:textFill>
        </w:rPr>
        <w:t>有权</w:t>
      </w:r>
      <w:r>
        <w:rPr>
          <w:rFonts w:hint="eastAsia" w:ascii="宋体" w:cs="Microsoft JhengHei Light"/>
          <w:color w:val="000000" w:themeColor="text1"/>
          <w:kern w:val="0"/>
          <w:sz w:val="24"/>
          <w:szCs w:val="28"/>
          <w:highlight w:val="none"/>
          <w:u w:val="single"/>
          <w:lang w:val="zh-CN"/>
          <w14:textFill>
            <w14:solidFill>
              <w14:schemeClr w14:val="tx1"/>
            </w14:solidFill>
          </w14:textFill>
        </w:rPr>
        <w:t>委托承担工程项目监督管理的监理单位，</w:t>
      </w:r>
      <w:r>
        <w:rPr>
          <w:rFonts w:hint="eastAsia" w:ascii="宋体" w:cs="Microsoft JhengHei Light"/>
          <w:color w:val="000000" w:themeColor="text1"/>
          <w:kern w:val="0"/>
          <w:sz w:val="24"/>
          <w:szCs w:val="28"/>
          <w:highlight w:val="none"/>
          <w:u w:val="single"/>
          <w14:textFill>
            <w14:solidFill>
              <w14:schemeClr w14:val="tx1"/>
            </w14:solidFill>
          </w14:textFill>
        </w:rPr>
        <w:t>其</w:t>
      </w:r>
      <w:r>
        <w:rPr>
          <w:rFonts w:hint="eastAsia" w:ascii="宋体" w:cs="Microsoft JhengHei Light"/>
          <w:color w:val="000000" w:themeColor="text1"/>
          <w:kern w:val="0"/>
          <w:sz w:val="24"/>
          <w:szCs w:val="28"/>
          <w:highlight w:val="none"/>
          <w:u w:val="single"/>
          <w:lang w:val="zh-CN"/>
          <w14:textFill>
            <w14:solidFill>
              <w14:schemeClr w14:val="tx1"/>
            </w14:solidFill>
          </w14:textFill>
        </w:rPr>
        <w:t>总监理工程师为监理单位委派对合同履行实施管理的全权负责人。</w:t>
      </w:r>
    </w:p>
    <w:p>
      <w:pPr>
        <w:pStyle w:val="23"/>
        <w:snapToGrid w:val="0"/>
        <w:spacing w:line="360" w:lineRule="auto"/>
        <w:ind w:firstLine="480" w:firstLineChars="200"/>
        <w:rPr>
          <w:rFonts w:hAnsi="Times New Roman" w:cs="Microsoft JhengHei Light"/>
          <w:color w:val="000000" w:themeColor="text1"/>
          <w:kern w:val="0"/>
          <w:sz w:val="24"/>
          <w:szCs w:val="28"/>
          <w:highlight w:val="none"/>
          <w:u w:val="single"/>
          <w:lang w:val="zh-CN"/>
          <w14:textFill>
            <w14:solidFill>
              <w14:schemeClr w14:val="tx1"/>
            </w14:solidFill>
          </w14:textFill>
        </w:rPr>
      </w:pPr>
      <w:r>
        <w:rPr>
          <w:rFonts w:hint="eastAsia" w:hAnsi="Times New Roman" w:cs="Microsoft JhengHei Light"/>
          <w:color w:val="000000" w:themeColor="text1"/>
          <w:kern w:val="0"/>
          <w:sz w:val="24"/>
          <w:szCs w:val="28"/>
          <w:highlight w:val="none"/>
          <w:u w:val="single"/>
          <w14:textFill>
            <w14:solidFill>
              <w14:schemeClr w14:val="tx1"/>
            </w14:solidFill>
          </w14:textFill>
        </w:rPr>
        <w:t>本合同中关于发包人的管理权责与义务，由上述工程师按委托合同约定和相关法律法规执行相关管理工作，并依法承担相应责任。</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u w:val="single"/>
          <w:lang w:val="zh-CN"/>
          <w14:textFill>
            <w14:solidFill>
              <w14:schemeClr w14:val="tx1"/>
            </w14:solidFill>
          </w14:textFill>
        </w:rPr>
      </w:pPr>
      <w:r>
        <w:rPr>
          <w:rFonts w:hint="eastAsia"/>
          <w:color w:val="000000" w:themeColor="text1"/>
          <w:sz w:val="24"/>
          <w:szCs w:val="28"/>
          <w:highlight w:val="none"/>
          <w14:textFill>
            <w14:solidFill>
              <w14:schemeClr w14:val="tx1"/>
            </w14:solidFill>
          </w14:textFill>
        </w:rPr>
        <w:t>1.1.2.7工程总承包项目经理</w:t>
      </w: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u w:val="single"/>
          <w:lang w:val="zh-CN"/>
          <w14:textFill>
            <w14:solidFill>
              <w14:schemeClr w14:val="tx1"/>
            </w14:solidFill>
          </w14:textFill>
        </w:rPr>
        <w:t>是指由承包人任命并派驻施工现场，在承包人授权范围内负责合同履行，且按照法律规定具有相应资格的项目负责人，代表承包人全面主持项目管理工作，包括但是不限于统筹项目进度、质量、安全文明施工等工作，负责组织施工实施过程中政府相关部门的协调工作，并根据合同要求落实各项目标。</w:t>
      </w:r>
    </w:p>
    <w:p>
      <w:pPr>
        <w:pStyle w:val="168"/>
        <w:spacing w:before="156"/>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color w:val="000000" w:themeColor="text1"/>
          <w:highlight w:val="none"/>
          <w14:textFill>
            <w14:solidFill>
              <w14:schemeClr w14:val="tx1"/>
            </w14:solidFill>
          </w14:textFill>
        </w:rPr>
        <w:t>工程和设备</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1.1.3.5 单位/区段工程的范围：</w:t>
      </w:r>
      <w:r>
        <w:rPr>
          <w:rFonts w:hint="eastAsia" w:ascii="宋体"/>
          <w:color w:val="000000" w:themeColor="text1"/>
          <w:sz w:val="24"/>
          <w:szCs w:val="28"/>
          <w:highlight w:val="none"/>
          <w:u w:val="single"/>
          <w14:textFill>
            <w14:solidFill>
              <w14:schemeClr w14:val="tx1"/>
            </w14:solidFill>
          </w14:textFill>
        </w:rPr>
        <w:t>是指按可行性研究、概算等批复文件所指能单独接收并使用的永久工程，在本合同中也可指“子项（目）工程”</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1.1.3.9 作为施工场所组成部分的其他场所包括：</w:t>
      </w:r>
      <w:r>
        <w:rPr>
          <w:rFonts w:hint="eastAsia" w:ascii="宋体"/>
          <w:color w:val="000000" w:themeColor="text1"/>
          <w:sz w:val="24"/>
          <w:szCs w:val="28"/>
          <w:highlight w:val="none"/>
          <w:u w:val="single"/>
          <w14:textFill>
            <w14:solidFill>
              <w14:schemeClr w14:val="tx1"/>
            </w14:solidFill>
          </w14:textFill>
        </w:rPr>
        <w:t>同专用条件“2.2 提供施工现场和工作条件”相关内容</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1.1.3.10 永久占地包括：</w:t>
      </w:r>
      <w:r>
        <w:rPr>
          <w:rFonts w:hint="eastAsia" w:ascii="宋体"/>
          <w:color w:val="000000" w:themeColor="text1"/>
          <w:sz w:val="24"/>
          <w:szCs w:val="28"/>
          <w:highlight w:val="none"/>
          <w:u w:val="single"/>
          <w14:textFill>
            <w14:solidFill>
              <w14:schemeClr w14:val="tx1"/>
            </w14:solidFill>
          </w14:textFill>
        </w:rPr>
        <w:t>同专用条件“2.2 提供施工现场和工作条件”相关内容</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1.1.3.11 临时占地包括：</w:t>
      </w:r>
      <w:r>
        <w:rPr>
          <w:rFonts w:hint="eastAsia" w:ascii="宋体"/>
          <w:color w:val="000000" w:themeColor="text1"/>
          <w:sz w:val="24"/>
          <w:szCs w:val="28"/>
          <w:highlight w:val="none"/>
          <w:u w:val="single"/>
          <w14:textFill>
            <w14:solidFill>
              <w14:schemeClr w14:val="tx1"/>
            </w14:solidFill>
          </w14:textFill>
        </w:rPr>
        <w:t>同专用条件“2.2 提供施工现场和工作条件”相关内容</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1.1.4.7 保修期：</w:t>
      </w:r>
      <w:r>
        <w:rPr>
          <w:rFonts w:hint="eastAsia" w:ascii="宋体"/>
          <w:color w:val="000000" w:themeColor="text1"/>
          <w:sz w:val="24"/>
          <w:szCs w:val="28"/>
          <w:highlight w:val="none"/>
          <w:u w:val="single"/>
          <w14:textFill>
            <w14:solidFill>
              <w14:schemeClr w14:val="tx1"/>
            </w14:solidFill>
          </w14:textFill>
        </w:rPr>
        <w:t>是指承包人按照合同约定和法律规定对工程质量承担保修责任的期限，该期限自缺陷责任期起算之日起计算，具体项目的保修期在附件4《工程质量保修书》中明确</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1.1.7补充词语定义</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u w:val="singl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1.1.7.1</w:t>
      </w:r>
      <w:r>
        <w:rPr>
          <w:rFonts w:hint="eastAsia" w:hAnsi="Times New Roman" w:cs="Microsoft JhengHei Light"/>
          <w:color w:val="000000" w:themeColor="text1"/>
          <w:sz w:val="24"/>
          <w:szCs w:val="28"/>
          <w:highlight w:val="none"/>
          <w:u w:val="single"/>
          <w:lang w:val="zh-CN"/>
          <w14:textFill>
            <w14:solidFill>
              <w14:schemeClr w14:val="tx1"/>
            </w14:solidFill>
          </w14:textFill>
        </w:rPr>
        <w:t>施工设计图纸：指构成合同文件组成部分的按规定审批的由设计人提供或经发包人批准由设计人提供的满足施工需要的所有施工图纸（包括任何补充和修改的施工图纸、配套说明和有关资料）。</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1.1.7.</w:t>
      </w:r>
      <w:r>
        <w:rPr>
          <w:rFonts w:hint="eastAsia" w:hAnsi="Times New Roman" w:cs="Microsoft JhengHei Light"/>
          <w:color w:val="000000" w:themeColor="text1"/>
          <w:sz w:val="24"/>
          <w:szCs w:val="28"/>
          <w:highlight w:val="none"/>
          <w14:textFill>
            <w14:solidFill>
              <w14:schemeClr w14:val="tx1"/>
            </w14:solidFill>
          </w14:textFill>
        </w:rPr>
        <w:t>2</w:t>
      </w:r>
      <w:r>
        <w:rPr>
          <w:rFonts w:hint="eastAsia" w:hAnsi="Times New Roman" w:cs="Microsoft JhengHei Light"/>
          <w:color w:val="000000" w:themeColor="text1"/>
          <w:sz w:val="24"/>
          <w:szCs w:val="28"/>
          <w:highlight w:val="none"/>
          <w:u w:val="single"/>
          <w:lang w:val="zh-CN"/>
          <w14:textFill>
            <w14:solidFill>
              <w14:schemeClr w14:val="tx1"/>
            </w14:solidFill>
          </w14:textFill>
        </w:rPr>
        <w:t>限额施工：承包人按照审核后的施工图和施工图预算进行施工。无论如何，限额施工并不免除、限定承包人在项目质量、工期、安全、性能等方面的履行本合同责任</w:t>
      </w:r>
      <w:r>
        <w:rPr>
          <w:rFonts w:hint="eastAsia" w:hAnsi="Times New Roman" w:cs="Microsoft JhengHei Light"/>
          <w:color w:val="000000" w:themeColor="text1"/>
          <w:sz w:val="24"/>
          <w:szCs w:val="28"/>
          <w:highlight w:val="none"/>
          <w:lang w:val="zh-CN"/>
          <w14:textFill>
            <w14:solidFill>
              <w14:schemeClr w14:val="tx1"/>
            </w14:solidFill>
          </w14:textFill>
        </w:rPr>
        <w:t>。</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1.1.7.</w:t>
      </w:r>
      <w:r>
        <w:rPr>
          <w:rFonts w:hint="eastAsia" w:hAnsi="Times New Roman" w:cs="Microsoft JhengHei Light"/>
          <w:color w:val="000000" w:themeColor="text1"/>
          <w:sz w:val="24"/>
          <w:szCs w:val="28"/>
          <w:highlight w:val="none"/>
          <w14:textFill>
            <w14:solidFill>
              <w14:schemeClr w14:val="tx1"/>
            </w14:solidFill>
          </w14:textFill>
        </w:rPr>
        <w:t>3</w:t>
      </w:r>
      <w:r>
        <w:rPr>
          <w:rFonts w:hint="eastAsia" w:hAnsi="Times New Roman" w:cs="Microsoft JhengHei Light"/>
          <w:color w:val="000000" w:themeColor="text1"/>
          <w:sz w:val="24"/>
          <w:szCs w:val="28"/>
          <w:highlight w:val="none"/>
          <w:lang w:val="zh-CN"/>
          <w14:textFill>
            <w14:solidFill>
              <w14:schemeClr w14:val="tx1"/>
            </w14:solidFill>
          </w14:textFill>
        </w:rPr>
        <w:t xml:space="preserve"> </w:t>
      </w:r>
      <w:r>
        <w:rPr>
          <w:rFonts w:hint="eastAsia" w:hAnsi="Times New Roman" w:cs="Microsoft JhengHei Light"/>
          <w:color w:val="000000" w:themeColor="text1"/>
          <w:sz w:val="24"/>
          <w:szCs w:val="28"/>
          <w:highlight w:val="none"/>
          <w:u w:val="single"/>
          <w:lang w:val="zh-CN"/>
          <w14:textFill>
            <w14:solidFill>
              <w14:schemeClr w14:val="tx1"/>
            </w14:solidFill>
          </w14:textFill>
        </w:rPr>
        <w:t>“使用人”、“使用单位”、是指本合同项目的使用单位，对项目提出使用功能，协助发包人完成项目建设工作，并在项目建成后实际接收、使用、管理项目的一方</w:t>
      </w:r>
      <w:r>
        <w:rPr>
          <w:rFonts w:hint="eastAsia" w:hAnsi="Times New Roman" w:cs="Microsoft JhengHei Light"/>
          <w:color w:val="000000" w:themeColor="text1"/>
          <w:sz w:val="24"/>
          <w:szCs w:val="28"/>
          <w:highlight w:val="none"/>
          <w:lang w:val="zh-CN"/>
          <w14:textFill>
            <w14:solidFill>
              <w14:schemeClr w14:val="tx1"/>
            </w14:solidFill>
          </w14:textFill>
        </w:rPr>
        <w:t>。</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u w:val="singl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1.1.7.</w:t>
      </w:r>
      <w:r>
        <w:rPr>
          <w:rFonts w:hint="eastAsia" w:hAnsi="Times New Roman" w:cs="Microsoft JhengHei Light"/>
          <w:color w:val="000000" w:themeColor="text1"/>
          <w:sz w:val="24"/>
          <w:szCs w:val="28"/>
          <w:highlight w:val="none"/>
          <w14:textFill>
            <w14:solidFill>
              <w14:schemeClr w14:val="tx1"/>
            </w14:solidFill>
          </w14:textFill>
        </w:rPr>
        <w:t>4</w:t>
      </w:r>
      <w:r>
        <w:rPr>
          <w:rFonts w:hint="eastAsia" w:hAnsi="Times New Roman" w:cs="Microsoft JhengHei Light"/>
          <w:color w:val="000000" w:themeColor="text1"/>
          <w:sz w:val="24"/>
          <w:szCs w:val="28"/>
          <w:highlight w:val="none"/>
          <w:lang w:val="zh-CN"/>
          <w14:textFill>
            <w14:solidFill>
              <w14:schemeClr w14:val="tx1"/>
            </w14:solidFill>
          </w14:textFill>
        </w:rPr>
        <w:t>工程造价咨询单位：</w:t>
      </w:r>
      <w:r>
        <w:rPr>
          <w:rFonts w:hint="eastAsia" w:hAnsi="Times New Roman" w:cs="Microsoft JhengHei Light"/>
          <w:color w:val="000000" w:themeColor="text1"/>
          <w:sz w:val="24"/>
          <w:szCs w:val="28"/>
          <w:highlight w:val="none"/>
          <w:u w:val="single"/>
          <w:lang w:val="zh-CN"/>
          <w14:textFill>
            <w14:solidFill>
              <w14:schemeClr w14:val="tx1"/>
            </w14:solidFill>
          </w14:textFill>
        </w:rPr>
        <w:t>指发包人委托的具有相应资质的工程造价咨询单位。</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u w:val="singl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1.1.7.</w:t>
      </w:r>
      <w:r>
        <w:rPr>
          <w:rFonts w:hint="eastAsia" w:hAnsi="Times New Roman" w:cs="Microsoft JhengHei Light"/>
          <w:color w:val="000000" w:themeColor="text1"/>
          <w:sz w:val="24"/>
          <w:szCs w:val="28"/>
          <w:highlight w:val="none"/>
          <w14:textFill>
            <w14:solidFill>
              <w14:schemeClr w14:val="tx1"/>
            </w14:solidFill>
          </w14:textFill>
        </w:rPr>
        <w:t>5</w:t>
      </w:r>
      <w:r>
        <w:rPr>
          <w:rFonts w:hint="eastAsia" w:hAnsi="Times New Roman" w:cs="Microsoft JhengHei Light"/>
          <w:color w:val="000000" w:themeColor="text1"/>
          <w:sz w:val="24"/>
          <w:szCs w:val="28"/>
          <w:highlight w:val="none"/>
          <w:lang w:val="zh-CN"/>
          <w14:textFill>
            <w14:solidFill>
              <w14:schemeClr w14:val="tx1"/>
            </w14:solidFill>
          </w14:textFill>
        </w:rPr>
        <w:t>造价工程师：</w:t>
      </w:r>
      <w:r>
        <w:rPr>
          <w:rFonts w:hint="eastAsia" w:hAnsi="Times New Roman" w:cs="Microsoft JhengHei Light"/>
          <w:color w:val="000000" w:themeColor="text1"/>
          <w:sz w:val="24"/>
          <w:szCs w:val="28"/>
          <w:highlight w:val="none"/>
          <w:u w:val="single"/>
          <w:lang w:val="zh-CN"/>
          <w14:textFill>
            <w14:solidFill>
              <w14:schemeClr w14:val="tx1"/>
            </w14:solidFill>
          </w14:textFill>
        </w:rPr>
        <w:t>指发包人委托的工程造价咨询单位委派的负责本项目造价专业技术的管理的造价咨询人员。</w:t>
      </w:r>
    </w:p>
    <w:p>
      <w:pPr>
        <w:pStyle w:val="196"/>
        <w:spacing w:before="156"/>
        <w:ind w:firstLine="241"/>
        <w:rPr>
          <w:color w:val="000000" w:themeColor="text1"/>
          <w:highlight w:val="none"/>
          <w14:textFill>
            <w14:solidFill>
              <w14:schemeClr w14:val="tx1"/>
            </w14:solidFill>
          </w14:textFill>
        </w:rPr>
      </w:pPr>
      <w:bookmarkStart w:id="1150" w:name="_Toc102746036"/>
      <w:r>
        <w:rPr>
          <w:rFonts w:hint="eastAsia"/>
          <w:color w:val="000000" w:themeColor="text1"/>
          <w:highlight w:val="none"/>
          <w14:textFill>
            <w14:solidFill>
              <w14:schemeClr w14:val="tx1"/>
            </w14:solidFill>
          </w14:textFill>
        </w:rPr>
        <w:t>1.2 语言文字</w:t>
      </w:r>
      <w:bookmarkEnd w:id="1150"/>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本合同除使用汉语外，还使用</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语言。</w:t>
      </w:r>
    </w:p>
    <w:p>
      <w:pPr>
        <w:pStyle w:val="196"/>
        <w:spacing w:before="156"/>
        <w:ind w:firstLine="241"/>
        <w:rPr>
          <w:color w:val="000000" w:themeColor="text1"/>
          <w:highlight w:val="none"/>
          <w14:textFill>
            <w14:solidFill>
              <w14:schemeClr w14:val="tx1"/>
            </w14:solidFill>
          </w14:textFill>
        </w:rPr>
      </w:pPr>
      <w:bookmarkStart w:id="1151" w:name="_Toc102746037"/>
      <w:r>
        <w:rPr>
          <w:rFonts w:hint="eastAsia"/>
          <w:color w:val="000000" w:themeColor="text1"/>
          <w:highlight w:val="none"/>
          <w14:textFill>
            <w14:solidFill>
              <w14:schemeClr w14:val="tx1"/>
            </w14:solidFill>
          </w14:textFill>
        </w:rPr>
        <w:t>1.3 法律</w:t>
      </w:r>
      <w:bookmarkEnd w:id="1151"/>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适用于合同的其他规范性文件：</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52" w:name="_Toc102746038"/>
      <w:r>
        <w:rPr>
          <w:rFonts w:hint="eastAsia"/>
          <w:color w:val="000000" w:themeColor="text1"/>
          <w:highlight w:val="none"/>
          <w14:textFill>
            <w14:solidFill>
              <w14:schemeClr w14:val="tx1"/>
            </w14:solidFill>
          </w14:textFill>
        </w:rPr>
        <w:t>1.4 标准和规范</w:t>
      </w:r>
      <w:bookmarkEnd w:id="1152"/>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 适用于本合同的标准、规范（名称）包括：</w:t>
      </w:r>
    </w:p>
    <w:p>
      <w:pPr>
        <w:snapToGrid w:val="0"/>
        <w:spacing w:line="360" w:lineRule="auto"/>
        <w:ind w:firstLine="465"/>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1.4.1.1</w:t>
      </w:r>
      <w:r>
        <w:rPr>
          <w:rFonts w:hint="eastAsia" w:ascii="宋体"/>
          <w:color w:val="000000" w:themeColor="text1"/>
          <w:sz w:val="24"/>
          <w:szCs w:val="28"/>
          <w:highlight w:val="none"/>
          <w:u w:val="single"/>
          <w14:textFill>
            <w14:solidFill>
              <w14:schemeClr w14:val="tx1"/>
            </w14:solidFill>
          </w14:textFill>
        </w:rPr>
        <w:t>施工严格按照有关设计及施工技术规范、施工图纸进行施工，工程质量按建设部颁布现行的《建筑工程质量检验评定标准》、《市政工程质量检验评定标准》和各有关设计及施工技术规范有关规定进行，材料试验规程以及发包人结合工程需要所拟定的技术规范内容办理，如上述规范、规程有不一致之处，应以比较严格者为准。</w:t>
      </w:r>
    </w:p>
    <w:p>
      <w:pPr>
        <w:snapToGrid w:val="0"/>
        <w:spacing w:line="360" w:lineRule="auto"/>
        <w:ind w:firstLine="465"/>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u w:val="single"/>
          <w14:textFill>
            <w14:solidFill>
              <w14:schemeClr w14:val="tx1"/>
            </w14:solidFill>
          </w14:textFill>
        </w:rPr>
        <w:t>合同签订后，在施工期间如涉及到上述规范标准及规程有修改时，发包人有权决定是否采用新规定，并将通过工程师书面通知承包人遵照执行。</w:t>
      </w:r>
    </w:p>
    <w:p>
      <w:pPr>
        <w:snapToGrid w:val="0"/>
        <w:spacing w:line="360" w:lineRule="auto"/>
        <w:ind w:firstLine="480" w:firstLineChars="20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1.4.1.2</w:t>
      </w:r>
      <w:r>
        <w:rPr>
          <w:rFonts w:hint="eastAsia" w:ascii="宋体"/>
          <w:color w:val="000000" w:themeColor="text1"/>
          <w:sz w:val="24"/>
          <w:szCs w:val="28"/>
          <w:highlight w:val="none"/>
          <w:u w:val="single"/>
          <w14:textFill>
            <w14:solidFill>
              <w14:schemeClr w14:val="tx1"/>
            </w14:solidFill>
          </w14:textFill>
        </w:rPr>
        <w:t>承包人在组织施工中，要根据有关施工验收规范和质量检验评定标准以及设计要求组织施工，工程达到标准。</w:t>
      </w:r>
    </w:p>
    <w:p>
      <w:pPr>
        <w:snapToGrid w:val="0"/>
        <w:spacing w:line="360" w:lineRule="auto"/>
        <w:ind w:firstLine="480" w:firstLineChars="20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1.4.1.3</w:t>
      </w:r>
      <w:r>
        <w:rPr>
          <w:rFonts w:hint="eastAsia" w:ascii="宋体" w:hAnsi="宋体"/>
          <w:color w:val="000000" w:themeColor="text1"/>
          <w:sz w:val="24"/>
          <w:szCs w:val="28"/>
          <w:highlight w:val="none"/>
          <w:u w:val="single"/>
          <w14:textFill>
            <w14:solidFill>
              <w14:schemeClr w14:val="tx1"/>
            </w14:solidFill>
          </w14:textFill>
        </w:rPr>
        <w:t>合同实施期间，承包人有义务执行新版施工规范、施工标准、施工规程及国家、地方相关规定，由此导致施工组织管理、施工方案、施工工艺、施工措施等改变，承包人不得因此提出调整费用的要求。</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 发包人提供的国外标准、规范的名称：</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；发包人提供的国外标准、规范的份数：</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；发包人提供的国外标准、规范的时间：</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1.4.3 没有成文规范、标准规定的约定： </w:t>
      </w:r>
    </w:p>
    <w:p>
      <w:pPr>
        <w:snapToGrid w:val="0"/>
        <w:spacing w:line="360" w:lineRule="auto"/>
        <w:ind w:firstLine="465"/>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u w:val="single"/>
          <w14:textFill>
            <w14:solidFill>
              <w14:schemeClr w14:val="tx1"/>
            </w14:solidFill>
          </w14:textFill>
        </w:rPr>
        <w:t>由发包人向承包人列明技术要求，承包人按约定的时间和技术要求提出实施方法，经发包人认可后执行。承包人需要对实施方法进行研发试验的，或须对施工人员进行特殊培训的，相关费用由承包人承担，发包人不支付任何费用。</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 发包人对于工程的技术标准、功能要求：</w:t>
      </w:r>
      <w:r>
        <w:rPr>
          <w:rFonts w:hint="eastAsia"/>
          <w:color w:val="000000" w:themeColor="text1"/>
          <w:highlight w:val="none"/>
          <w:u w:val="single"/>
          <w14:textFill>
            <w14:solidFill>
              <w14:schemeClr w14:val="tx1"/>
            </w14:solidFill>
          </w14:textFill>
        </w:rPr>
        <w:t>同通用合同条件1.4.4</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53" w:name="_Toc102746039"/>
      <w:r>
        <w:rPr>
          <w:rFonts w:hint="eastAsia"/>
          <w:color w:val="000000" w:themeColor="text1"/>
          <w:highlight w:val="none"/>
          <w14:textFill>
            <w14:solidFill>
              <w14:schemeClr w14:val="tx1"/>
            </w14:solidFill>
          </w14:textFill>
        </w:rPr>
        <w:t>1.5 合同文件的优先顺序</w:t>
      </w:r>
      <w:bookmarkEnd w:id="1153"/>
    </w:p>
    <w:p>
      <w:pPr>
        <w:snapToGrid w:val="0"/>
        <w:spacing w:line="360" w:lineRule="auto"/>
        <w:ind w:firstLine="601"/>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1.5（8）双方约定的其他合同文件：</w:t>
      </w:r>
      <w:r>
        <w:rPr>
          <w:rFonts w:hint="eastAsia" w:ascii="宋体"/>
          <w:color w:val="000000" w:themeColor="text1"/>
          <w:sz w:val="24"/>
          <w:szCs w:val="28"/>
          <w:highlight w:val="none"/>
          <w:u w:val="single"/>
          <w14:textFill>
            <w14:solidFill>
              <w14:schemeClr w14:val="tx1"/>
            </w14:solidFill>
          </w14:textFill>
        </w:rPr>
        <w:t>含招标文件、发包人制定的各项管理制度、规定（含合同存续期间新增或修改的文件）及通知、工作任务单、会议纪要、备忘录、补充文件、指令、传真、电子邮件及其他有关变更或洽商等书面协议或文件</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54" w:name="_Toc102746040"/>
      <w:r>
        <w:rPr>
          <w:rFonts w:hint="eastAsia"/>
          <w:color w:val="000000" w:themeColor="text1"/>
          <w:highlight w:val="none"/>
          <w14:textFill>
            <w14:solidFill>
              <w14:schemeClr w14:val="tx1"/>
            </w14:solidFill>
          </w14:textFill>
        </w:rPr>
        <w:t>1.6 文件的提供和照管</w:t>
      </w:r>
      <w:bookmarkEnd w:id="1154"/>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 发包人文件的提供</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发包人文件的提供期限、名称、数量和形式：</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 承包人文件的提供</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承包人文件的内容、提供期限、名称、数量和形式：</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《发包人要求》中规定的相关文件；</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满足工程相关行政审批手续所必须的应由承包人负责的相关文件；</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第5.4款[竣工文件]与第5.5款[操作和维修手册]中要求的相关文件。</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 项目建设管理的其他相关文件，具体包括但不限于下表相关材料：</w:t>
      </w:r>
    </w:p>
    <w:tbl>
      <w:tblPr>
        <w:tblStyle w:val="4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4"/>
        <w:gridCol w:w="3413"/>
        <w:gridCol w:w="3017"/>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7" w:hRule="exact"/>
          <w:jc w:val="center"/>
        </w:trPr>
        <w:tc>
          <w:tcPr>
            <w:tcW w:w="704"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bookmarkStart w:id="1155" w:name="_Toc351203632"/>
            <w:r>
              <w:rPr>
                <w:rFonts w:hint="eastAsia" w:cs="宋体"/>
                <w:color w:val="000000" w:themeColor="text1"/>
                <w:kern w:val="2"/>
                <w:sz w:val="24"/>
                <w:szCs w:val="28"/>
                <w:highlight w:val="none"/>
                <w:lang w:val="zh-CN" w:bidi="zh-CN"/>
                <w14:textFill>
                  <w14:solidFill>
                    <w14:schemeClr w14:val="tx1"/>
                  </w14:solidFill>
                </w14:textFill>
              </w:rPr>
              <w:t>序号</w:t>
            </w:r>
          </w:p>
        </w:tc>
        <w:tc>
          <w:tcPr>
            <w:tcW w:w="3413"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名称</w:t>
            </w:r>
          </w:p>
        </w:tc>
        <w:tc>
          <w:tcPr>
            <w:tcW w:w="3017"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提交时间</w:t>
            </w:r>
          </w:p>
        </w:tc>
        <w:tc>
          <w:tcPr>
            <w:tcW w:w="1693"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5" w:hRule="exact"/>
          <w:jc w:val="center"/>
        </w:trPr>
        <w:tc>
          <w:tcPr>
            <w:tcW w:w="704"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14:textFill>
                  <w14:solidFill>
                    <w14:schemeClr w14:val="tx1"/>
                  </w14:solidFill>
                </w14:textFill>
              </w:rPr>
              <w:t>1</w:t>
            </w:r>
          </w:p>
        </w:tc>
        <w:tc>
          <w:tcPr>
            <w:tcW w:w="3413" w:type="dxa"/>
            <w:shd w:val="clear" w:color="auto" w:fill="FFFFFF"/>
            <w:vAlign w:val="center"/>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hAnsi="Times New Roman" w:cs="宋体"/>
                <w:bCs/>
                <w:color w:val="000000" w:themeColor="text1"/>
                <w:kern w:val="2"/>
                <w:sz w:val="24"/>
                <w:szCs w:val="28"/>
                <w:highlight w:val="none"/>
                <w14:textFill>
                  <w14:solidFill>
                    <w14:schemeClr w14:val="tx1"/>
                  </w14:solidFill>
                </w14:textFill>
              </w:rPr>
              <w:sym w:font="Wingdings 2" w:char="F052"/>
            </w:r>
            <w:r>
              <w:rPr>
                <w:rFonts w:hint="eastAsia" w:hAnsi="Times New Roman" w:cs="宋体"/>
                <w:bCs/>
                <w:color w:val="000000" w:themeColor="text1"/>
                <w:kern w:val="2"/>
                <w:sz w:val="24"/>
                <w:szCs w:val="28"/>
                <w:highlight w:val="none"/>
                <w14:textFill>
                  <w14:solidFill>
                    <w14:schemeClr w14:val="tx1"/>
                  </w14:solidFill>
                </w14:textFill>
              </w:rPr>
              <w:t>具体</w:t>
            </w:r>
            <w:r>
              <w:rPr>
                <w:rFonts w:hint="eastAsia" w:cs="宋体"/>
                <w:color w:val="000000" w:themeColor="text1"/>
                <w:kern w:val="2"/>
                <w:sz w:val="24"/>
                <w:szCs w:val="28"/>
                <w:highlight w:val="none"/>
                <w:lang w:val="zh-CN" w:bidi="zh-CN"/>
                <w14:textFill>
                  <w14:solidFill>
                    <w14:schemeClr w14:val="tx1"/>
                  </w14:solidFill>
                </w14:textFill>
              </w:rPr>
              <w:t>项目建设总体进度计划表</w:t>
            </w:r>
          </w:p>
        </w:tc>
        <w:tc>
          <w:tcPr>
            <w:tcW w:w="3017"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本合同签订后</w:t>
            </w:r>
            <w:r>
              <w:rPr>
                <w:rFonts w:hint="eastAsia" w:cs="宋体"/>
                <w:color w:val="000000" w:themeColor="text1"/>
                <w:kern w:val="2"/>
                <w:sz w:val="24"/>
                <w:szCs w:val="28"/>
                <w:highlight w:val="none"/>
                <w:lang w:bidi="zh-CN"/>
                <w14:textFill>
                  <w14:solidFill>
                    <w14:schemeClr w14:val="tx1"/>
                  </w14:solidFill>
                </w14:textFill>
              </w:rPr>
              <w:t>7天内</w:t>
            </w:r>
          </w:p>
        </w:tc>
        <w:tc>
          <w:tcPr>
            <w:tcW w:w="1693"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lang w:val="zh-CN" w:bidi="zh-CN"/>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发包人2份</w:t>
            </w:r>
          </w:p>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14:textFill>
                  <w14:solidFill>
                    <w14:schemeClr w14:val="tx1"/>
                  </w14:solidFill>
                </w14:textFill>
              </w:rPr>
              <w:t>监理人1份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8" w:hRule="exact"/>
          <w:jc w:val="center"/>
        </w:trPr>
        <w:tc>
          <w:tcPr>
            <w:tcW w:w="704"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14:textFill>
                  <w14:solidFill>
                    <w14:schemeClr w14:val="tx1"/>
                  </w14:solidFill>
                </w14:textFill>
              </w:rPr>
              <w:t>2</w:t>
            </w:r>
          </w:p>
        </w:tc>
        <w:tc>
          <w:tcPr>
            <w:tcW w:w="3413" w:type="dxa"/>
            <w:shd w:val="clear" w:color="auto" w:fill="FFFFFF"/>
            <w:vAlign w:val="center"/>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hAnsi="Times New Roman" w:cs="宋体"/>
                <w:bCs/>
                <w:color w:val="000000" w:themeColor="text1"/>
                <w:kern w:val="2"/>
                <w:sz w:val="24"/>
                <w:szCs w:val="28"/>
                <w:highlight w:val="none"/>
                <w14:textFill>
                  <w14:solidFill>
                    <w14:schemeClr w14:val="tx1"/>
                  </w14:solidFill>
                </w14:textFill>
              </w:rPr>
              <w:sym w:font="Wingdings 2" w:char="F052"/>
            </w:r>
            <w:r>
              <w:rPr>
                <w:rFonts w:hint="eastAsia" w:hAnsi="Times New Roman" w:cs="宋体"/>
                <w:bCs/>
                <w:color w:val="000000" w:themeColor="text1"/>
                <w:kern w:val="2"/>
                <w:sz w:val="24"/>
                <w:szCs w:val="28"/>
                <w:highlight w:val="none"/>
                <w14:textFill>
                  <w14:solidFill>
                    <w14:schemeClr w14:val="tx1"/>
                  </w14:solidFill>
                </w14:textFill>
              </w:rPr>
              <w:t>具体</w:t>
            </w:r>
            <w:r>
              <w:rPr>
                <w:rFonts w:hint="eastAsia" w:cs="宋体"/>
                <w:color w:val="000000" w:themeColor="text1"/>
                <w:kern w:val="2"/>
                <w:sz w:val="24"/>
                <w:szCs w:val="28"/>
                <w:highlight w:val="none"/>
                <w:lang w:val="zh-CN" w:bidi="zh-CN"/>
                <w14:textFill>
                  <w14:solidFill>
                    <w14:schemeClr w14:val="tx1"/>
                  </w14:solidFill>
                </w14:textFill>
              </w:rPr>
              <w:t>项目施工组织设计</w:t>
            </w:r>
          </w:p>
        </w:tc>
        <w:tc>
          <w:tcPr>
            <w:tcW w:w="3017"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施工图审查合格后</w:t>
            </w:r>
            <w:r>
              <w:rPr>
                <w:rFonts w:hint="eastAsia" w:cs="宋体"/>
                <w:color w:val="000000" w:themeColor="text1"/>
                <w:kern w:val="2"/>
                <w:sz w:val="24"/>
                <w:szCs w:val="28"/>
                <w:highlight w:val="none"/>
                <w:lang w:bidi="zh-CN"/>
                <w14:textFill>
                  <w14:solidFill>
                    <w14:schemeClr w14:val="tx1"/>
                  </w14:solidFill>
                </w14:textFill>
              </w:rPr>
              <w:t>7天内</w:t>
            </w:r>
          </w:p>
        </w:tc>
        <w:tc>
          <w:tcPr>
            <w:tcW w:w="1693"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lang w:val="zh-CN" w:bidi="zh-CN"/>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发包人2份</w:t>
            </w:r>
          </w:p>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14:textFill>
                  <w14:solidFill>
                    <w14:schemeClr w14:val="tx1"/>
                  </w14:solidFill>
                </w14:textFill>
              </w:rPr>
              <w:t>监理人1份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7" w:hRule="exact"/>
          <w:jc w:val="center"/>
        </w:trPr>
        <w:tc>
          <w:tcPr>
            <w:tcW w:w="704"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Style w:val="101"/>
                <w:rFonts w:hint="eastAsia"/>
                <w:color w:val="000000" w:themeColor="text1"/>
                <w:kern w:val="2"/>
                <w:sz w:val="24"/>
                <w:szCs w:val="28"/>
                <w:highlight w:val="none"/>
                <w:lang w:val="en-US"/>
                <w14:textFill>
                  <w14:solidFill>
                    <w14:schemeClr w14:val="tx1"/>
                  </w14:solidFill>
                </w14:textFill>
              </w:rPr>
              <w:t>3</w:t>
            </w:r>
          </w:p>
        </w:tc>
        <w:tc>
          <w:tcPr>
            <w:tcW w:w="3413" w:type="dxa"/>
            <w:shd w:val="clear" w:color="auto" w:fill="FFFFFF"/>
            <w:vAlign w:val="center"/>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hAnsi="Times New Roman" w:cs="宋体"/>
                <w:bCs/>
                <w:color w:val="000000" w:themeColor="text1"/>
                <w:kern w:val="2"/>
                <w:sz w:val="24"/>
                <w:szCs w:val="28"/>
                <w:highlight w:val="none"/>
                <w14:textFill>
                  <w14:solidFill>
                    <w14:schemeClr w14:val="tx1"/>
                  </w14:solidFill>
                </w14:textFill>
              </w:rPr>
              <w:sym w:font="Wingdings 2" w:char="F052"/>
            </w:r>
            <w:r>
              <w:rPr>
                <w:rFonts w:hint="eastAsia" w:cs="宋体"/>
                <w:color w:val="000000" w:themeColor="text1"/>
                <w:kern w:val="2"/>
                <w:sz w:val="24"/>
                <w:szCs w:val="28"/>
                <w:highlight w:val="none"/>
                <w:lang w:val="zh-CN" w:bidi="zh-CN"/>
                <w14:textFill>
                  <w14:solidFill>
                    <w14:schemeClr w14:val="tx1"/>
                  </w14:solidFill>
                </w14:textFill>
              </w:rPr>
              <w:t>施工人力资源配置表</w:t>
            </w:r>
          </w:p>
        </w:tc>
        <w:tc>
          <w:tcPr>
            <w:tcW w:w="3017"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施工图审查合格后</w:t>
            </w:r>
            <w:r>
              <w:rPr>
                <w:rFonts w:hint="eastAsia" w:cs="宋体"/>
                <w:color w:val="000000" w:themeColor="text1"/>
                <w:kern w:val="2"/>
                <w:sz w:val="24"/>
                <w:szCs w:val="28"/>
                <w:highlight w:val="none"/>
                <w:lang w:bidi="zh-CN"/>
                <w14:textFill>
                  <w14:solidFill>
                    <w14:schemeClr w14:val="tx1"/>
                  </w14:solidFill>
                </w14:textFill>
              </w:rPr>
              <w:t>7天内</w:t>
            </w:r>
          </w:p>
        </w:tc>
        <w:tc>
          <w:tcPr>
            <w:tcW w:w="1693"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lang w:val="zh-CN" w:bidi="zh-CN"/>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发包人2份</w:t>
            </w:r>
          </w:p>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14:textFill>
                  <w14:solidFill>
                    <w14:schemeClr w14:val="tx1"/>
                  </w14:solidFill>
                </w14:textFill>
              </w:rPr>
              <w:t>监理人1份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2" w:hRule="exact"/>
          <w:jc w:val="center"/>
        </w:trPr>
        <w:tc>
          <w:tcPr>
            <w:tcW w:w="704"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Style w:val="101"/>
                <w:rFonts w:hint="eastAsia"/>
                <w:color w:val="000000" w:themeColor="text1"/>
                <w:kern w:val="2"/>
                <w:sz w:val="24"/>
                <w:szCs w:val="28"/>
                <w:highlight w:val="none"/>
                <w:lang w:val="en-US"/>
                <w14:textFill>
                  <w14:solidFill>
                    <w14:schemeClr w14:val="tx1"/>
                  </w14:solidFill>
                </w14:textFill>
              </w:rPr>
              <w:t>4</w:t>
            </w:r>
          </w:p>
        </w:tc>
        <w:tc>
          <w:tcPr>
            <w:tcW w:w="3413" w:type="dxa"/>
            <w:shd w:val="clear" w:color="auto" w:fill="FFFFFF"/>
            <w:vAlign w:val="center"/>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hAnsi="Times New Roman" w:cs="宋体"/>
                <w:bCs/>
                <w:color w:val="000000" w:themeColor="text1"/>
                <w:kern w:val="2"/>
                <w:sz w:val="24"/>
                <w:szCs w:val="28"/>
                <w:highlight w:val="none"/>
                <w14:textFill>
                  <w14:solidFill>
                    <w14:schemeClr w14:val="tx1"/>
                  </w14:solidFill>
                </w14:textFill>
              </w:rPr>
              <w:sym w:font="Wingdings 2" w:char="F052"/>
            </w:r>
            <w:r>
              <w:rPr>
                <w:rFonts w:hint="eastAsia" w:cs="宋体"/>
                <w:color w:val="000000" w:themeColor="text1"/>
                <w:kern w:val="2"/>
                <w:sz w:val="24"/>
                <w:szCs w:val="28"/>
                <w:highlight w:val="none"/>
                <w:lang w:val="zh-CN" w:bidi="zh-CN"/>
                <w14:textFill>
                  <w14:solidFill>
                    <w14:schemeClr w14:val="tx1"/>
                  </w14:solidFill>
                </w14:textFill>
              </w:rPr>
              <w:t>提交工程进度款支付申请</w:t>
            </w:r>
          </w:p>
        </w:tc>
        <w:tc>
          <w:tcPr>
            <w:tcW w:w="3017" w:type="dxa"/>
            <w:shd w:val="clear" w:color="auto" w:fill="FFFFFF"/>
            <w:vAlign w:val="center"/>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Style w:val="112"/>
                <w:rFonts w:hint="eastAsia"/>
                <w:color w:val="000000" w:themeColor="text1"/>
                <w:kern w:val="2"/>
                <w:sz w:val="24"/>
                <w:szCs w:val="28"/>
                <w:highlight w:val="none"/>
                <w:lang w:val="en-US"/>
                <w14:textFill>
                  <w14:solidFill>
                    <w14:schemeClr w14:val="tx1"/>
                  </w14:solidFill>
                </w14:textFill>
              </w:rPr>
              <w:t>/</w:t>
            </w:r>
          </w:p>
        </w:tc>
        <w:tc>
          <w:tcPr>
            <w:tcW w:w="1693"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lang w:val="zh-CN" w:bidi="zh-CN"/>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发包人3份</w:t>
            </w:r>
          </w:p>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监理人1份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2" w:hRule="exact"/>
          <w:jc w:val="center"/>
        </w:trPr>
        <w:tc>
          <w:tcPr>
            <w:tcW w:w="704" w:type="dxa"/>
            <w:shd w:val="clear" w:color="auto" w:fill="FFFFFF"/>
            <w:vAlign w:val="center"/>
          </w:tcPr>
          <w:p>
            <w:pPr>
              <w:pStyle w:val="158"/>
              <w:shd w:val="clear" w:color="auto" w:fill="auto"/>
              <w:snapToGrid w:val="0"/>
              <w:spacing w:before="0" w:line="240" w:lineRule="auto"/>
              <w:ind w:firstLine="0"/>
              <w:jc w:val="center"/>
              <w:rPr>
                <w:rFonts w:cs="宋体"/>
                <w:color w:val="000000" w:themeColor="text1"/>
                <w:kern w:val="2"/>
                <w:sz w:val="24"/>
                <w:szCs w:val="28"/>
                <w:highlight w:val="none"/>
                <w14:textFill>
                  <w14:solidFill>
                    <w14:schemeClr w14:val="tx1"/>
                  </w14:solidFill>
                </w14:textFill>
              </w:rPr>
            </w:pPr>
            <w:r>
              <w:rPr>
                <w:rStyle w:val="101"/>
                <w:rFonts w:hint="eastAsia"/>
                <w:color w:val="000000" w:themeColor="text1"/>
                <w:kern w:val="2"/>
                <w:sz w:val="24"/>
                <w:szCs w:val="28"/>
                <w:highlight w:val="none"/>
                <w:lang w:val="en-US"/>
                <w14:textFill>
                  <w14:solidFill>
                    <w14:schemeClr w14:val="tx1"/>
                  </w14:solidFill>
                </w14:textFill>
              </w:rPr>
              <w:t>5</w:t>
            </w:r>
          </w:p>
        </w:tc>
        <w:tc>
          <w:tcPr>
            <w:tcW w:w="3413" w:type="dxa"/>
            <w:shd w:val="clear" w:color="auto" w:fill="FFFFFF"/>
            <w:vAlign w:val="center"/>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hAnsi="Times New Roman" w:cs="宋体"/>
                <w:bCs/>
                <w:color w:val="000000" w:themeColor="text1"/>
                <w:kern w:val="2"/>
                <w:sz w:val="24"/>
                <w:szCs w:val="28"/>
                <w:highlight w:val="none"/>
                <w14:textFill>
                  <w14:solidFill>
                    <w14:schemeClr w14:val="tx1"/>
                  </w14:solidFill>
                </w14:textFill>
              </w:rPr>
              <w:sym w:font="Wingdings 2" w:char="F052"/>
            </w:r>
            <w:r>
              <w:rPr>
                <w:rFonts w:hint="eastAsia" w:cs="宋体"/>
                <w:color w:val="000000" w:themeColor="text1"/>
                <w:kern w:val="2"/>
                <w:sz w:val="24"/>
                <w:szCs w:val="28"/>
                <w:highlight w:val="none"/>
                <w:lang w:val="zh-CN" w:bidi="zh-CN"/>
                <w14:textFill>
                  <w14:solidFill>
                    <w14:schemeClr w14:val="tx1"/>
                  </w14:solidFill>
                </w14:textFill>
              </w:rPr>
              <w:t>竣工验收资料</w:t>
            </w:r>
          </w:p>
        </w:tc>
        <w:tc>
          <w:tcPr>
            <w:tcW w:w="3017"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专用合同条件 1</w:t>
            </w:r>
            <w:r>
              <w:rPr>
                <w:rFonts w:cs="宋体"/>
                <w:color w:val="000000" w:themeColor="text1"/>
                <w:kern w:val="2"/>
                <w:sz w:val="24"/>
                <w:szCs w:val="28"/>
                <w:highlight w:val="none"/>
                <w:lang w:val="zh-CN" w:bidi="zh-CN"/>
                <w14:textFill>
                  <w14:solidFill>
                    <w14:schemeClr w14:val="tx1"/>
                  </w14:solidFill>
                </w14:textFill>
              </w:rPr>
              <w:t>0</w:t>
            </w:r>
            <w:r>
              <w:rPr>
                <w:rFonts w:hint="eastAsia" w:cs="宋体"/>
                <w:color w:val="000000" w:themeColor="text1"/>
                <w:kern w:val="2"/>
                <w:sz w:val="24"/>
                <w:szCs w:val="28"/>
                <w:highlight w:val="none"/>
                <w:lang w:val="zh-CN" w:bidi="zh-CN"/>
                <w14:textFill>
                  <w14:solidFill>
                    <w14:schemeClr w14:val="tx1"/>
                  </w14:solidFill>
                </w14:textFill>
              </w:rPr>
              <w:t>.3款</w:t>
            </w:r>
          </w:p>
        </w:tc>
        <w:tc>
          <w:tcPr>
            <w:tcW w:w="1693" w:type="dxa"/>
            <w:shd w:val="clear" w:color="auto" w:fill="FFFFFF"/>
          </w:tcPr>
          <w:p>
            <w:pPr>
              <w:pStyle w:val="158"/>
              <w:shd w:val="clear" w:color="auto" w:fill="auto"/>
              <w:snapToGrid w:val="0"/>
              <w:spacing w:before="0" w:line="240" w:lineRule="auto"/>
              <w:ind w:firstLine="0"/>
              <w:jc w:val="left"/>
              <w:rPr>
                <w:rFonts w:cs="宋体"/>
                <w:color w:val="000000" w:themeColor="text1"/>
                <w:kern w:val="2"/>
                <w:sz w:val="24"/>
                <w:szCs w:val="28"/>
                <w:highlight w:val="none"/>
                <w:lang w:val="zh-CN" w:bidi="zh-CN"/>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发包人8份</w:t>
            </w:r>
          </w:p>
          <w:p>
            <w:pPr>
              <w:pStyle w:val="158"/>
              <w:shd w:val="clear" w:color="auto" w:fill="auto"/>
              <w:snapToGrid w:val="0"/>
              <w:spacing w:before="0" w:line="240" w:lineRule="auto"/>
              <w:ind w:firstLine="0"/>
              <w:jc w:val="left"/>
              <w:rPr>
                <w:rFonts w:cs="宋体"/>
                <w:color w:val="000000" w:themeColor="text1"/>
                <w:kern w:val="2"/>
                <w:sz w:val="24"/>
                <w:szCs w:val="28"/>
                <w:highlight w:val="none"/>
                <w14:textFill>
                  <w14:solidFill>
                    <w14:schemeClr w14:val="tx1"/>
                  </w14:solidFill>
                </w14:textFill>
              </w:rPr>
            </w:pPr>
            <w:r>
              <w:rPr>
                <w:rFonts w:hint="eastAsia" w:cs="宋体"/>
                <w:color w:val="000000" w:themeColor="text1"/>
                <w:kern w:val="2"/>
                <w:sz w:val="24"/>
                <w:szCs w:val="28"/>
                <w:highlight w:val="none"/>
                <w:lang w:val="zh-CN" w:bidi="zh-CN"/>
                <w14:textFill>
                  <w14:solidFill>
                    <w14:schemeClr w14:val="tx1"/>
                  </w14:solidFill>
                </w14:textFill>
              </w:rPr>
              <w:t>监理人1</w:t>
            </w:r>
            <w:r>
              <w:rPr>
                <w:rStyle w:val="101"/>
                <w:rFonts w:hint="eastAsia"/>
                <w:color w:val="000000" w:themeColor="text1"/>
                <w:kern w:val="2"/>
                <w:sz w:val="24"/>
                <w:szCs w:val="28"/>
                <w:highlight w:val="none"/>
                <w14:textFill>
                  <w14:solidFill>
                    <w14:schemeClr w14:val="tx1"/>
                  </w14:solidFill>
                </w14:textFill>
              </w:rPr>
              <w:t>份</w:t>
            </w:r>
          </w:p>
        </w:tc>
      </w:tr>
    </w:tbl>
    <w:p>
      <w:pPr>
        <w:pStyle w:val="158"/>
        <w:shd w:val="clear" w:color="auto" w:fill="auto"/>
        <w:snapToGrid w:val="0"/>
        <w:spacing w:before="0" w:line="360" w:lineRule="auto"/>
        <w:ind w:firstLine="618"/>
        <w:jc w:val="both"/>
        <w:rPr>
          <w:rFonts w:hAnsi="Times New Roman" w:cs="Microsoft JhengHei Light"/>
          <w:b/>
          <w:bCs/>
          <w:i/>
          <w:iCs/>
          <w:color w:val="000000" w:themeColor="text1"/>
          <w:sz w:val="24"/>
          <w:szCs w:val="28"/>
          <w:highlight w:val="none"/>
          <w:lang w:val="zh-CN"/>
          <w14:textFill>
            <w14:solidFill>
              <w14:schemeClr w14:val="tx1"/>
            </w14:solidFill>
          </w14:textFill>
        </w:rPr>
      </w:pPr>
      <w:r>
        <w:rPr>
          <w:rFonts w:hint="eastAsia" w:hAnsi="Times New Roman" w:cs="Microsoft JhengHei Light"/>
          <w:b/>
          <w:bCs/>
          <w:i/>
          <w:iCs/>
          <w:color w:val="000000" w:themeColor="text1"/>
          <w:sz w:val="24"/>
          <w:szCs w:val="28"/>
          <w:highlight w:val="none"/>
          <w:lang w:val="zh-CN"/>
          <w14:textFill>
            <w14:solidFill>
              <w14:schemeClr w14:val="tx1"/>
            </w14:solidFill>
          </w14:textFill>
        </w:rPr>
        <w:t>注意：本表按实际工作需要勾选或增项</w:t>
      </w:r>
    </w:p>
    <w:p>
      <w:pPr>
        <w:pStyle w:val="158"/>
        <w:shd w:val="clear" w:color="auto" w:fill="auto"/>
        <w:snapToGrid w:val="0"/>
        <w:spacing w:before="0" w:line="360" w:lineRule="auto"/>
        <w:ind w:firstLine="618"/>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1.6.2.1项目相关进度资料计划包括关键路径及关键路径变化，承包人编制的项目进度计划，其中合同工期须符合合同协议书的约定，经发包人批准后实施。发包人的批准并不能解除承包人的合同责任。因承包人原因使工程实际进度明显落后于项目进度计划时，承包人有义务、发包人也有权利要求承包人自费采取措施，赶上项目进度计划。</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在特殊情况下，关键节点工期确需调整的，承包人必须重新编制总工期控制计划和关键节点工期调整计划并报发包人审核。承包人必须在发包人批准其调整计划后3天内，将调整后的总工期控制计划和关键节点工期调整计划按合同份数送各方作为合同附件存档。</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1.6.2.2承包人提交的施工进度计划形式应包括关键线路网络计划图和横道进度计划图，要求能明示其施工前期的准备、施工阶段和施工顺序，以及每一进度阶段的预计时间。还应显示出承包人及其分包人、及交叉施工部分的每一工序的顺序及工期，特别是以下的数据：</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14:textFill>
            <w14:solidFill>
              <w14:schemeClr w14:val="tx1"/>
            </w14:solidFill>
          </w14:textFill>
        </w:rPr>
        <w:t>（1）</w:t>
      </w:r>
      <w:r>
        <w:rPr>
          <w:rFonts w:hint="eastAsia" w:hAnsi="Times New Roman" w:cs="Microsoft JhengHei Light"/>
          <w:color w:val="000000" w:themeColor="text1"/>
          <w:sz w:val="24"/>
          <w:szCs w:val="28"/>
          <w:highlight w:val="none"/>
          <w:lang w:val="zh-CN"/>
          <w14:textFill>
            <w14:solidFill>
              <w14:schemeClr w14:val="tx1"/>
            </w14:solidFill>
          </w14:textFill>
        </w:rPr>
        <w:t>各工种在工程各部位施工的进度要求说明；</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2</w:t>
      </w:r>
      <w:r>
        <w:rPr>
          <w:rFonts w:hint="eastAsia" w:hAnsi="Times New Roman" w:cs="Microsoft JhengHei Light"/>
          <w:color w:val="000000" w:themeColor="text1"/>
          <w:sz w:val="24"/>
          <w:szCs w:val="28"/>
          <w:highlight w:val="none"/>
          <w:lang w:val="zh-CN"/>
          <w14:textFill>
            <w14:solidFill>
              <w14:schemeClr w14:val="tx1"/>
            </w14:solidFill>
          </w14:textFill>
        </w:rPr>
        <w:t>）重要的现场外工作，例如由承包人或分包人进行的预制工程，连同预计各工作所 需的时间；</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3</w:t>
      </w:r>
      <w:r>
        <w:rPr>
          <w:rFonts w:hint="eastAsia" w:hAnsi="Times New Roman" w:cs="Microsoft JhengHei Light"/>
          <w:color w:val="000000" w:themeColor="text1"/>
          <w:sz w:val="24"/>
          <w:szCs w:val="28"/>
          <w:highlight w:val="none"/>
          <w:lang w:val="zh-CN"/>
          <w14:textFill>
            <w14:solidFill>
              <w14:schemeClr w14:val="tx1"/>
            </w14:solidFill>
          </w14:textFill>
        </w:rPr>
        <w:t>）分包人的名单及分包人进场时间，材料设备采购及到货时间；</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4</w:t>
      </w:r>
      <w:r>
        <w:rPr>
          <w:rFonts w:hint="eastAsia" w:hAnsi="Times New Roman" w:cs="Microsoft JhengHei Light"/>
          <w:color w:val="000000" w:themeColor="text1"/>
          <w:sz w:val="24"/>
          <w:szCs w:val="28"/>
          <w:highlight w:val="none"/>
          <w:lang w:val="zh-CN"/>
          <w14:textFill>
            <w14:solidFill>
              <w14:schemeClr w14:val="tx1"/>
            </w14:solidFill>
          </w14:textFill>
        </w:rPr>
        <w:t>）为保证施工进度计划正常运作，承包人认为需要由其他人提供的数据、批准、供应或材料设备，需要此等数据、资料或工作配合的细部工作均须明确标明；</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5</w:t>
      </w:r>
      <w:r>
        <w:rPr>
          <w:rFonts w:hint="eastAsia" w:hAnsi="Times New Roman" w:cs="Microsoft JhengHei Light"/>
          <w:color w:val="000000" w:themeColor="text1"/>
          <w:sz w:val="24"/>
          <w:szCs w:val="28"/>
          <w:highlight w:val="none"/>
          <w:lang w:val="zh-CN"/>
          <w14:textFill>
            <w14:solidFill>
              <w14:schemeClr w14:val="tx1"/>
            </w14:solidFill>
          </w14:textFill>
        </w:rPr>
        <w:t>）承包人应为发包人及</w:t>
      </w:r>
      <w:r>
        <w:rPr>
          <w:rFonts w:hint="eastAsia" w:hAnsi="Times New Roman" w:cs="Microsoft JhengHei Light"/>
          <w:color w:val="000000" w:themeColor="text1"/>
          <w:sz w:val="24"/>
          <w:szCs w:val="28"/>
          <w:highlight w:val="none"/>
          <w14:textFill>
            <w14:solidFill>
              <w14:schemeClr w14:val="tx1"/>
            </w14:solidFill>
          </w14:textFill>
        </w:rPr>
        <w:t>/</w:t>
      </w:r>
      <w:r>
        <w:rPr>
          <w:rFonts w:hint="eastAsia" w:hAnsi="Times New Roman" w:cs="Microsoft JhengHei Light"/>
          <w:color w:val="000000" w:themeColor="text1"/>
          <w:sz w:val="24"/>
          <w:szCs w:val="28"/>
          <w:highlight w:val="none"/>
          <w:lang w:val="zh-CN"/>
          <w14:textFill>
            <w14:solidFill>
              <w14:schemeClr w14:val="tx1"/>
            </w14:solidFill>
          </w14:textFill>
        </w:rPr>
        <w:t>或政府有关部门审批设计文件预留合理的时间，并为再次提交及随后发包人及</w:t>
      </w:r>
      <w:r>
        <w:rPr>
          <w:rFonts w:hint="eastAsia" w:hAnsi="Times New Roman" w:cs="Microsoft JhengHei Light"/>
          <w:color w:val="000000" w:themeColor="text1"/>
          <w:sz w:val="24"/>
          <w:szCs w:val="28"/>
          <w:highlight w:val="none"/>
          <w14:textFill>
            <w14:solidFill>
              <w14:schemeClr w14:val="tx1"/>
            </w14:solidFill>
          </w14:textFill>
        </w:rPr>
        <w:t>/</w:t>
      </w:r>
      <w:r>
        <w:rPr>
          <w:rFonts w:hint="eastAsia" w:hAnsi="Times New Roman" w:cs="Microsoft JhengHei Light"/>
          <w:color w:val="000000" w:themeColor="text1"/>
          <w:sz w:val="24"/>
          <w:szCs w:val="28"/>
          <w:highlight w:val="none"/>
          <w:lang w:val="zh-CN"/>
          <w14:textFill>
            <w14:solidFill>
              <w14:schemeClr w14:val="tx1"/>
            </w14:solidFill>
          </w14:textFill>
        </w:rPr>
        <w:t>或政府有关部门的审批设计文件所需的时间预留弹性时间；</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6</w:t>
      </w:r>
      <w:r>
        <w:rPr>
          <w:rFonts w:hint="eastAsia" w:hAnsi="Times New Roman" w:cs="Microsoft JhengHei Light"/>
          <w:color w:val="000000" w:themeColor="text1"/>
          <w:sz w:val="24"/>
          <w:szCs w:val="28"/>
          <w:highlight w:val="none"/>
          <w:lang w:val="zh-CN"/>
          <w14:textFill>
            <w14:solidFill>
              <w14:schemeClr w14:val="tx1"/>
            </w14:solidFill>
          </w14:textFill>
        </w:rPr>
        <w:t>）临时工程及设施保护、拆卸方法及次序。</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7</w:t>
      </w:r>
      <w:r>
        <w:rPr>
          <w:rFonts w:hint="eastAsia" w:hAnsi="Times New Roman" w:cs="Microsoft JhengHei Light"/>
          <w:color w:val="000000" w:themeColor="text1"/>
          <w:sz w:val="24"/>
          <w:szCs w:val="28"/>
          <w:highlight w:val="none"/>
          <w:lang w:val="zh-CN"/>
          <w14:textFill>
            <w14:solidFill>
              <w14:schemeClr w14:val="tx1"/>
            </w14:solidFill>
          </w14:textFill>
        </w:rPr>
        <w:t>）施工期间承包人应按发包人要求编制工程进度表，包括督促和汇总各指定分包人提交的进度表。进度表应包括本月完成情况及下月计划，具体内容如下：</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14:textFill>
            <w14:solidFill>
              <w14:schemeClr w14:val="tx1"/>
            </w14:solidFill>
          </w14:textFill>
        </w:rPr>
        <w:t>1）</w:t>
      </w:r>
      <w:r>
        <w:rPr>
          <w:rFonts w:hint="eastAsia" w:hAnsi="Times New Roman" w:cs="Microsoft JhengHei Light"/>
          <w:color w:val="000000" w:themeColor="text1"/>
          <w:sz w:val="24"/>
          <w:szCs w:val="28"/>
          <w:highlight w:val="none"/>
          <w:lang w:val="zh-CN"/>
          <w14:textFill>
            <w14:solidFill>
              <w14:schemeClr w14:val="tx1"/>
            </w14:solidFill>
          </w14:textFill>
        </w:rPr>
        <w:t>采用关键线路网络图或工程进度横道图形式，进度报表应能清楚显示整体工程及各分部分项工程的形象进度；并说明工程进度情况，提前或拖后，若存在进度拖后，承包人应同时提供相应的赶工补救措施；</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14:textFill>
            <w14:solidFill>
              <w14:schemeClr w14:val="tx1"/>
            </w14:solidFill>
          </w14:textFill>
        </w:rPr>
        <w:t>2）</w:t>
      </w:r>
      <w:r>
        <w:rPr>
          <w:rFonts w:hint="eastAsia" w:hAnsi="Times New Roman" w:cs="Microsoft JhengHei Light"/>
          <w:color w:val="000000" w:themeColor="text1"/>
          <w:sz w:val="24"/>
          <w:szCs w:val="28"/>
          <w:highlight w:val="none"/>
          <w:lang w:val="zh-CN"/>
          <w14:textFill>
            <w14:solidFill>
              <w14:schemeClr w14:val="tx1"/>
            </w14:solidFill>
          </w14:textFill>
        </w:rPr>
        <w:t>现场各工种人员（包括项目管理人员及作业人员）配置及变动情况；</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14:textFill>
            <w14:solidFill>
              <w14:schemeClr w14:val="tx1"/>
            </w14:solidFill>
          </w14:textFill>
        </w:rPr>
        <w:t>3）</w:t>
      </w:r>
      <w:r>
        <w:rPr>
          <w:rFonts w:hint="eastAsia" w:hAnsi="Times New Roman" w:cs="Microsoft JhengHei Light"/>
          <w:color w:val="000000" w:themeColor="text1"/>
          <w:sz w:val="24"/>
          <w:szCs w:val="28"/>
          <w:highlight w:val="none"/>
          <w:lang w:val="zh-CN"/>
          <w14:textFill>
            <w14:solidFill>
              <w14:schemeClr w14:val="tx1"/>
            </w14:solidFill>
          </w14:textFill>
        </w:rPr>
        <w:t>现场材料设备进场情况及计划进场情况；</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14:textFill>
            <w14:solidFill>
              <w14:schemeClr w14:val="tx1"/>
            </w14:solidFill>
          </w14:textFill>
        </w:rPr>
        <w:t>4）</w:t>
      </w:r>
      <w:r>
        <w:rPr>
          <w:rFonts w:hint="eastAsia" w:hAnsi="Times New Roman" w:cs="Microsoft JhengHei Light"/>
          <w:color w:val="000000" w:themeColor="text1"/>
          <w:sz w:val="24"/>
          <w:szCs w:val="28"/>
          <w:highlight w:val="none"/>
          <w:lang w:val="zh-CN"/>
          <w14:textFill>
            <w14:solidFill>
              <w14:schemeClr w14:val="tx1"/>
            </w14:solidFill>
          </w14:textFill>
        </w:rPr>
        <w:t>现场施工机械设备配备及变动情况；</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14:textFill>
            <w14:solidFill>
              <w14:schemeClr w14:val="tx1"/>
            </w14:solidFill>
          </w14:textFill>
        </w:rPr>
        <w:t>5）</w:t>
      </w:r>
      <w:r>
        <w:rPr>
          <w:rFonts w:hint="eastAsia" w:hAnsi="Times New Roman" w:cs="Microsoft JhengHei Light"/>
          <w:color w:val="000000" w:themeColor="text1"/>
          <w:sz w:val="24"/>
          <w:szCs w:val="28"/>
          <w:highlight w:val="none"/>
          <w:lang w:val="zh-CN"/>
          <w14:textFill>
            <w14:solidFill>
              <w14:schemeClr w14:val="tx1"/>
            </w14:solidFill>
          </w14:textFill>
        </w:rPr>
        <w:t>现场进度照片，并需附有概括工程进度的说明（包括分包工程）。</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8</w:t>
      </w:r>
      <w:r>
        <w:rPr>
          <w:rFonts w:hint="eastAsia" w:hAnsi="Times New Roman" w:cs="Microsoft JhengHei Light"/>
          <w:color w:val="000000" w:themeColor="text1"/>
          <w:sz w:val="24"/>
          <w:szCs w:val="28"/>
          <w:highlight w:val="none"/>
          <w:lang w:val="zh-CN"/>
          <w14:textFill>
            <w14:solidFill>
              <w14:schemeClr w14:val="tx1"/>
            </w14:solidFill>
          </w14:textFill>
        </w:rPr>
        <w:t>）承包人应及时向发包人报告已经出现的或可能出现的施工或材料供应延误。</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1.6.2.3总体施工方案是承包人向发包人提交、适合于整个工程的施工组织设计和主要工序的施工方案，以供发包人批准。该施工方案须包括（但不限于）下列各项：</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1</w:t>
      </w:r>
      <w:r>
        <w:rPr>
          <w:rFonts w:hint="eastAsia" w:hAnsi="Times New Roman" w:cs="Microsoft JhengHei Light"/>
          <w:color w:val="000000" w:themeColor="text1"/>
          <w:sz w:val="24"/>
          <w:szCs w:val="28"/>
          <w:highlight w:val="none"/>
          <w:lang w:val="zh-CN"/>
          <w14:textFill>
            <w14:solidFill>
              <w14:schemeClr w14:val="tx1"/>
            </w14:solidFill>
          </w14:textFill>
        </w:rPr>
        <w:t>）临时工程、脚手架及其后的拆卸方案；</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2</w:t>
      </w:r>
      <w:r>
        <w:rPr>
          <w:rFonts w:hint="eastAsia" w:hAnsi="Times New Roman" w:cs="Microsoft JhengHei Light"/>
          <w:color w:val="000000" w:themeColor="text1"/>
          <w:sz w:val="24"/>
          <w:szCs w:val="28"/>
          <w:highlight w:val="none"/>
          <w:lang w:val="zh-CN"/>
          <w14:textFill>
            <w14:solidFill>
              <w14:schemeClr w14:val="tx1"/>
            </w14:solidFill>
          </w14:textFill>
        </w:rPr>
        <w:t>）临时通道及工作空间的要求，场地布置图；</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3</w:t>
      </w:r>
      <w:r>
        <w:rPr>
          <w:rFonts w:hint="eastAsia" w:hAnsi="Times New Roman" w:cs="Microsoft JhengHei Light"/>
          <w:color w:val="000000" w:themeColor="text1"/>
          <w:sz w:val="24"/>
          <w:szCs w:val="28"/>
          <w:highlight w:val="none"/>
          <w:lang w:val="zh-CN"/>
          <w14:textFill>
            <w14:solidFill>
              <w14:schemeClr w14:val="tx1"/>
            </w14:solidFill>
          </w14:textFill>
        </w:rPr>
        <w:t>）专项工程施工方案（各分部工程施工方案和专项工程施工方案）；</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4</w:t>
      </w:r>
      <w:r>
        <w:rPr>
          <w:rFonts w:hint="eastAsia" w:hAnsi="Times New Roman" w:cs="Microsoft JhengHei Light"/>
          <w:color w:val="000000" w:themeColor="text1"/>
          <w:sz w:val="24"/>
          <w:szCs w:val="28"/>
          <w:highlight w:val="none"/>
          <w:lang w:val="zh-CN"/>
          <w14:textFill>
            <w14:solidFill>
              <w14:schemeClr w14:val="tx1"/>
            </w14:solidFill>
          </w14:textFill>
        </w:rPr>
        <w:t>）施工现场内所采用的垂吊及运输设备；</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5</w:t>
      </w:r>
      <w:r>
        <w:rPr>
          <w:rFonts w:hint="eastAsia" w:hAnsi="Times New Roman" w:cs="Microsoft JhengHei Light"/>
          <w:color w:val="000000" w:themeColor="text1"/>
          <w:sz w:val="24"/>
          <w:szCs w:val="28"/>
          <w:highlight w:val="none"/>
          <w:lang w:val="zh-CN"/>
          <w14:textFill>
            <w14:solidFill>
              <w14:schemeClr w14:val="tx1"/>
            </w14:solidFill>
          </w14:textFill>
        </w:rPr>
        <w:t>）施工机械用表，显示各机械的操作位置、型号、功率及施工高峰期使用数量；</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6</w:t>
      </w:r>
      <w:r>
        <w:rPr>
          <w:rFonts w:hint="eastAsia" w:hAnsi="Times New Roman" w:cs="Microsoft JhengHei Light"/>
          <w:color w:val="000000" w:themeColor="text1"/>
          <w:sz w:val="24"/>
          <w:szCs w:val="28"/>
          <w:highlight w:val="none"/>
          <w:lang w:val="zh-CN"/>
          <w14:textFill>
            <w14:solidFill>
              <w14:schemeClr w14:val="tx1"/>
            </w14:solidFill>
          </w14:textFill>
        </w:rPr>
        <w:t>）施工质量保证方案；</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7</w:t>
      </w:r>
      <w:r>
        <w:rPr>
          <w:rFonts w:hint="eastAsia" w:hAnsi="Times New Roman" w:cs="Microsoft JhengHei Light"/>
          <w:color w:val="000000" w:themeColor="text1"/>
          <w:sz w:val="24"/>
          <w:szCs w:val="28"/>
          <w:highlight w:val="none"/>
          <w:lang w:val="zh-CN"/>
          <w14:textFill>
            <w14:solidFill>
              <w14:schemeClr w14:val="tx1"/>
            </w14:solidFill>
          </w14:textFill>
        </w:rPr>
        <w:t>）安全文明、检测等专项方案；</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8</w:t>
      </w:r>
      <w:r>
        <w:rPr>
          <w:rFonts w:hint="eastAsia" w:hAnsi="Times New Roman" w:cs="Microsoft JhengHei Light"/>
          <w:color w:val="000000" w:themeColor="text1"/>
          <w:sz w:val="24"/>
          <w:szCs w:val="28"/>
          <w:highlight w:val="none"/>
          <w:lang w:val="zh-CN"/>
          <w14:textFill>
            <w14:solidFill>
              <w14:schemeClr w14:val="tx1"/>
            </w14:solidFill>
          </w14:textFill>
        </w:rPr>
        <w:t>）应急抢险方案；</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9</w:t>
      </w:r>
      <w:r>
        <w:rPr>
          <w:rFonts w:hint="eastAsia" w:hAnsi="Times New Roman" w:cs="Microsoft JhengHei Light"/>
          <w:color w:val="000000" w:themeColor="text1"/>
          <w:sz w:val="24"/>
          <w:szCs w:val="28"/>
          <w:highlight w:val="none"/>
          <w:lang w:val="zh-CN"/>
          <w14:textFill>
            <w14:solidFill>
              <w14:schemeClr w14:val="tx1"/>
            </w14:solidFill>
          </w14:textFill>
        </w:rPr>
        <w:t>）环保施工方案。</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施工过程中，发包人有权要求承包人随时提交发包人认为必要的关于施工组织设计和施工方案的任何说明或文件，对此类指示，承包人应遵照执行。</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1.6.2.4承包人未按上述第1.6.2.1-1.6.2.3项的约定提交相关报表、方案、报告等的，发包人可限期要求承包人整改。</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1.6.4 文件的照管</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关于现场文件准备的约定：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56" w:name="_Toc102746041"/>
      <w:r>
        <w:rPr>
          <w:rFonts w:hint="eastAsia"/>
          <w:color w:val="000000" w:themeColor="text1"/>
          <w:highlight w:val="none"/>
          <w14:textFill>
            <w14:solidFill>
              <w14:schemeClr w14:val="tx1"/>
            </w14:solidFill>
          </w14:textFill>
        </w:rPr>
        <w:t>1.7 联络</w:t>
      </w:r>
      <w:bookmarkEnd w:id="1156"/>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1.7.2 发包人指定的送达方式（包括电子传输方式）：</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，发包人的送达地址：</w:t>
      </w:r>
      <w:r>
        <w:rPr>
          <w:rFonts w:hint="eastAsia"/>
          <w:color w:val="000000" w:themeColor="text1"/>
          <w:highlight w:val="none"/>
          <w:u w:val="single"/>
          <w14:textFill>
            <w14:solidFill>
              <w14:schemeClr w14:val="tx1"/>
            </w14:solidFill>
          </w14:textFill>
        </w:rPr>
        <w:t>广州市南沙区翠瑜街13号彩汇中心11、12楼</w:t>
      </w:r>
      <w:r>
        <w:rPr>
          <w:rFonts w:hint="eastAsia"/>
          <w:color w:val="000000" w:themeColor="text1"/>
          <w:highlight w:val="none"/>
          <w14:textFill>
            <w14:solidFill>
              <w14:schemeClr w14:val="tx1"/>
            </w14:solidFill>
          </w14:textFill>
        </w:rPr>
        <w:t>。</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承包人指定的送达方式（包括电子传输方式）：</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承包人的送达地址：</w:t>
      </w:r>
      <w:r>
        <w:rPr>
          <w:rFonts w:hint="eastAsia" w:ascii="宋体"/>
          <w:color w:val="000000" w:themeColor="text1"/>
          <w:sz w:val="24"/>
          <w:szCs w:val="28"/>
          <w:highlight w:val="none"/>
          <w:u w:val="single"/>
          <w14:textFill>
            <w14:solidFill>
              <w14:schemeClr w14:val="tx1"/>
            </w14:solidFill>
          </w14:textFill>
        </w:rPr>
        <w:t>【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57" w:name="_Toc102746042"/>
      <w:r>
        <w:rPr>
          <w:rFonts w:hint="eastAsia"/>
          <w:color w:val="000000" w:themeColor="text1"/>
          <w:highlight w:val="none"/>
          <w14:textFill>
            <w14:solidFill>
              <w14:schemeClr w14:val="tx1"/>
            </w14:solidFill>
          </w14:textFill>
        </w:rPr>
        <w:t>1.10 知识产权</w:t>
      </w:r>
      <w:bookmarkEnd w:id="1157"/>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1.10.1 由发包人（或以发包人名义）编制的《发包人要求》和其他文件的著作权归属：</w:t>
      </w:r>
      <w:r>
        <w:rPr>
          <w:rFonts w:hint="eastAsia"/>
          <w:color w:val="000000" w:themeColor="text1"/>
          <w:highlight w:val="none"/>
          <w:u w:val="single"/>
          <w14:textFill>
            <w14:solidFill>
              <w14:schemeClr w14:val="tx1"/>
            </w14:solidFill>
          </w14:textFill>
        </w:rPr>
        <w:t xml:space="preserve">  发包人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1.10.2 由承包人（或以承包人名义）为实施工程所编制的文件、承包人完成的设计工作成果和建造完成的建筑物的知识产权归属：</w:t>
      </w:r>
      <w:r>
        <w:rPr>
          <w:rFonts w:hint="eastAsia"/>
          <w:color w:val="000000" w:themeColor="text1"/>
          <w:highlight w:val="none"/>
          <w:u w:val="single"/>
          <w14:textFill>
            <w14:solidFill>
              <w14:schemeClr w14:val="tx1"/>
            </w14:solidFill>
          </w14:textFill>
        </w:rPr>
        <w:t xml:space="preserve"> 发包人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1.10.4 承包人在投标文件中采用的专利、专有技术、技术秘密的使用费的承担方式</w:t>
      </w:r>
      <w:r>
        <w:rPr>
          <w:rFonts w:hint="eastAsia"/>
          <w:color w:val="000000" w:themeColor="text1"/>
          <w:highlight w:val="none"/>
          <w:u w:val="single"/>
          <w14:textFill>
            <w14:solidFill>
              <w14:schemeClr w14:val="tx1"/>
            </w14:solidFill>
          </w14:textFill>
        </w:rPr>
        <w:t>：承包人自行承担，发包人不另行支付费用</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58" w:name="_Toc102746043"/>
      <w:r>
        <w:rPr>
          <w:rFonts w:hint="eastAsia"/>
          <w:color w:val="000000" w:themeColor="text1"/>
          <w:highlight w:val="none"/>
          <w14:textFill>
            <w14:solidFill>
              <w14:schemeClr w14:val="tx1"/>
            </w14:solidFill>
          </w14:textFill>
        </w:rPr>
        <w:t>1.11 保密</w:t>
      </w:r>
      <w:bookmarkEnd w:id="1158"/>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双方订立的商业保密协议（名称）：</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，作为本合同附件。</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双方订立的技术保密协议（名称）：</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，作为本合同附件。</w:t>
      </w:r>
    </w:p>
    <w:p>
      <w:pPr>
        <w:pStyle w:val="196"/>
        <w:spacing w:before="156"/>
        <w:ind w:firstLine="241"/>
        <w:rPr>
          <w:color w:val="000000" w:themeColor="text1"/>
          <w:highlight w:val="none"/>
          <w14:textFill>
            <w14:solidFill>
              <w14:schemeClr w14:val="tx1"/>
            </w14:solidFill>
          </w14:textFill>
        </w:rPr>
      </w:pPr>
      <w:bookmarkStart w:id="1159" w:name="_Toc102746044"/>
      <w:r>
        <w:rPr>
          <w:rFonts w:hint="eastAsia"/>
          <w:color w:val="000000" w:themeColor="text1"/>
          <w:highlight w:val="none"/>
          <w14:textFill>
            <w14:solidFill>
              <w14:schemeClr w14:val="tx1"/>
            </w14:solidFill>
          </w14:textFill>
        </w:rPr>
        <w:t>1.12 《发包人要求》和基础资料中的错误</w:t>
      </w:r>
      <w:bookmarkEnd w:id="1159"/>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合同通用条件本条内容不适用于本工程，删除。</w:t>
      </w:r>
    </w:p>
    <w:p>
      <w:pPr>
        <w:pStyle w:val="196"/>
        <w:spacing w:before="156"/>
        <w:ind w:firstLine="241"/>
        <w:rPr>
          <w:color w:val="000000" w:themeColor="text1"/>
          <w:highlight w:val="none"/>
          <w14:textFill>
            <w14:solidFill>
              <w14:schemeClr w14:val="tx1"/>
            </w14:solidFill>
          </w14:textFill>
        </w:rPr>
      </w:pPr>
      <w:bookmarkStart w:id="1160" w:name="_Toc102746045"/>
      <w:r>
        <w:rPr>
          <w:rFonts w:hint="eastAsia"/>
          <w:color w:val="000000" w:themeColor="text1"/>
          <w:highlight w:val="none"/>
          <w14:textFill>
            <w14:solidFill>
              <w14:schemeClr w14:val="tx1"/>
            </w14:solidFill>
          </w14:textFill>
        </w:rPr>
        <w:t>1.13 责任限制</w:t>
      </w:r>
      <w:bookmarkEnd w:id="1160"/>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本合同不设定承包人赔偿最高限额，承包人应根据本合同约定据实赔偿。</w:t>
      </w:r>
    </w:p>
    <w:p>
      <w:pPr>
        <w:pStyle w:val="196"/>
        <w:spacing w:before="156"/>
        <w:ind w:firstLine="241"/>
        <w:rPr>
          <w:color w:val="000000" w:themeColor="text1"/>
          <w:highlight w:val="none"/>
          <w14:textFill>
            <w14:solidFill>
              <w14:schemeClr w14:val="tx1"/>
            </w14:solidFill>
          </w14:textFill>
        </w:rPr>
      </w:pPr>
      <w:bookmarkStart w:id="1161" w:name="_Toc102746046"/>
      <w:r>
        <w:rPr>
          <w:rFonts w:hint="eastAsia"/>
          <w:color w:val="000000" w:themeColor="text1"/>
          <w:highlight w:val="none"/>
          <w14:textFill>
            <w14:solidFill>
              <w14:schemeClr w14:val="tx1"/>
            </w14:solidFill>
          </w14:textFill>
        </w:rPr>
        <w:t>1.14 建筑信息模型技术的应用</w:t>
      </w:r>
      <w:bookmarkEnd w:id="1161"/>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关于建筑信息模型技术的开发、使用、存储、传输、交付及费用约定如下：</w:t>
      </w:r>
      <w:r>
        <w:rPr>
          <w:rFonts w:hint="eastAsia" w:ascii="宋体"/>
          <w:color w:val="000000" w:themeColor="text1"/>
          <w:sz w:val="24"/>
          <w:szCs w:val="28"/>
          <w:highlight w:val="none"/>
          <w:u w:val="single"/>
          <w14:textFill>
            <w14:solidFill>
              <w14:schemeClr w14:val="tx1"/>
            </w14:solidFill>
          </w14:textFill>
        </w:rPr>
        <w:t xml:space="preserve">见附件2《发包人要求》      </w:t>
      </w:r>
      <w:r>
        <w:rPr>
          <w:rFonts w:hint="eastAsia" w:ascii="宋体"/>
          <w:color w:val="000000" w:themeColor="text1"/>
          <w:sz w:val="24"/>
          <w:szCs w:val="28"/>
          <w:highlight w:val="none"/>
          <w14:textFill>
            <w14:solidFill>
              <w14:schemeClr w14:val="tx1"/>
            </w14:solidFill>
          </w14:textFill>
        </w:rPr>
        <w:t>。</w:t>
      </w:r>
    </w:p>
    <w:p>
      <w:pPr>
        <w:pStyle w:val="200"/>
        <w:rPr>
          <w:rFonts w:hAnsi="宋体"/>
          <w:color w:val="000000" w:themeColor="text1"/>
          <w:highlight w:val="none"/>
          <w14:textFill>
            <w14:solidFill>
              <w14:schemeClr w14:val="tx1"/>
            </w14:solidFill>
          </w14:textFill>
        </w:rPr>
      </w:pPr>
      <w:bookmarkStart w:id="1162" w:name="_Toc102746047"/>
      <w:bookmarkStart w:id="1163" w:name="_Hlk102738705"/>
      <w:r>
        <w:rPr>
          <w:rFonts w:hint="eastAsia"/>
          <w:color w:val="000000" w:themeColor="text1"/>
          <w:highlight w:val="none"/>
          <w14:textFill>
            <w14:solidFill>
              <w14:schemeClr w14:val="tx1"/>
            </w14:solidFill>
          </w14:textFill>
        </w:rPr>
        <w:t xml:space="preserve">第2条 </w:t>
      </w:r>
      <w:r>
        <w:rPr>
          <w:rFonts w:hint="eastAsia" w:hAnsi="宋体"/>
          <w:color w:val="000000" w:themeColor="text1"/>
          <w:highlight w:val="none"/>
          <w14:textFill>
            <w14:solidFill>
              <w14:schemeClr w14:val="tx1"/>
            </w14:solidFill>
          </w14:textFill>
        </w:rPr>
        <w:t>发包人</w:t>
      </w:r>
      <w:bookmarkEnd w:id="1162"/>
    </w:p>
    <w:bookmarkEnd w:id="1163"/>
    <w:p>
      <w:pPr>
        <w:pStyle w:val="196"/>
        <w:spacing w:before="156"/>
        <w:ind w:firstLine="241"/>
        <w:rPr>
          <w:color w:val="000000" w:themeColor="text1"/>
          <w:highlight w:val="none"/>
          <w14:textFill>
            <w14:solidFill>
              <w14:schemeClr w14:val="tx1"/>
            </w14:solidFill>
          </w14:textFill>
        </w:rPr>
      </w:pPr>
      <w:bookmarkStart w:id="1164" w:name="_Toc102746048"/>
      <w:r>
        <w:rPr>
          <w:rFonts w:hint="eastAsia"/>
          <w:color w:val="000000" w:themeColor="text1"/>
          <w:highlight w:val="none"/>
          <w14:textFill>
            <w14:solidFill>
              <w14:schemeClr w14:val="tx1"/>
            </w14:solidFill>
          </w14:textFill>
        </w:rPr>
        <w:t>2.2 提供施工现场和工作条件</w:t>
      </w:r>
      <w:bookmarkEnd w:id="1164"/>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2.2.1 提供施工现场</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关于发包人提供施工现场的范围和期限：</w:t>
      </w:r>
      <w:r>
        <w:rPr>
          <w:rFonts w:hint="eastAsia" w:ascii="宋体"/>
          <w:color w:val="000000" w:themeColor="text1"/>
          <w:sz w:val="24"/>
          <w:szCs w:val="28"/>
          <w:highlight w:val="none"/>
          <w:u w:val="single"/>
          <w14:textFill>
            <w14:solidFill>
              <w14:schemeClr w14:val="tx1"/>
            </w14:solidFill>
          </w14:textFill>
        </w:rPr>
        <w:t xml:space="preserve">合同签订后即视为发包人已按期提供，具体约定如下 </w:t>
      </w:r>
      <w:r>
        <w:rPr>
          <w:rFonts w:hint="eastAsia" w:ascii="宋体"/>
          <w:color w:val="000000" w:themeColor="text1"/>
          <w:sz w:val="24"/>
          <w:szCs w:val="28"/>
          <w:highlight w:val="none"/>
          <w14:textFill>
            <w14:solidFill>
              <w14:schemeClr w14:val="tx1"/>
            </w14:solidFill>
          </w14:textFill>
        </w:rPr>
        <w:t>。</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1</w:t>
      </w:r>
      <w:r>
        <w:rPr>
          <w:rFonts w:hint="eastAsia" w:hAnsi="Times New Roman" w:cs="Microsoft JhengHei Light"/>
          <w:color w:val="000000" w:themeColor="text1"/>
          <w:sz w:val="24"/>
          <w:szCs w:val="28"/>
          <w:highlight w:val="none"/>
          <w:lang w:val="zh-CN"/>
          <w14:textFill>
            <w14:solidFill>
              <w14:schemeClr w14:val="tx1"/>
            </w14:solidFill>
          </w14:textFill>
        </w:rPr>
        <w:t>）永久占地的范围和面积：以发包人提供的规划文件为准。发包人将在合同约定的施工开工日期向承包人移交部分场地，并将随着工程的进展，视情况分期移交更多的场地给承包人，以便承包人能按进度计划进行施工。承包人只能在发包人提供的施工场地范围内进行布置、安排和组织施工。承包人如需占用发包人提供的施工场地范围以外的场地，须自行办理有关手续及承担相关费用，发包人不另行支付。</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2</w:t>
      </w:r>
      <w:r>
        <w:rPr>
          <w:rFonts w:hint="eastAsia" w:hAnsi="Times New Roman" w:cs="Microsoft JhengHei Light"/>
          <w:color w:val="000000" w:themeColor="text1"/>
          <w:sz w:val="24"/>
          <w:szCs w:val="28"/>
          <w:highlight w:val="none"/>
          <w:lang w:val="zh-CN"/>
          <w14:textFill>
            <w14:solidFill>
              <w14:schemeClr w14:val="tx1"/>
            </w14:solidFill>
          </w14:textFill>
        </w:rPr>
        <w:t>）临时占地的范围和面积：不提供，承包人需对施工场地及周边环境做好充分调查，如工程需要临时占地的，由承包人向相关部门依法提出申请手续及承担相关费用，发包人不另行支付。</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3</w:t>
      </w:r>
      <w:r>
        <w:rPr>
          <w:rFonts w:hint="eastAsia" w:hAnsi="Times New Roman" w:cs="Microsoft JhengHei Light"/>
          <w:color w:val="000000" w:themeColor="text1"/>
          <w:sz w:val="24"/>
          <w:szCs w:val="28"/>
          <w:highlight w:val="none"/>
          <w:lang w:val="zh-CN"/>
          <w14:textFill>
            <w14:solidFill>
              <w14:schemeClr w14:val="tx1"/>
            </w14:solidFill>
          </w14:textFill>
        </w:rPr>
        <w:t>）完成施工所需水、电、通讯线路接驳的时间及地点：施工场内的用水、用电及通讯网络由承包人自行报装、接驳和敷设并承担费用。该费用包含在承包人投标报价中，发包人不再为此作任何签证或另行支付相关费用。承包人应自备足够数量的备用发电机，以满足工程施工的需要，相关费用视为已包含于本合同价款中，发包人不再为此作任何签证或另行支付相关费用。承包人不得以停电、停水为理由拖延工期或索赔。</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4</w:t>
      </w:r>
      <w:r>
        <w:rPr>
          <w:rFonts w:hint="eastAsia" w:hAnsi="Times New Roman" w:cs="Microsoft JhengHei Light"/>
          <w:color w:val="000000" w:themeColor="text1"/>
          <w:sz w:val="24"/>
          <w:szCs w:val="28"/>
          <w:highlight w:val="none"/>
          <w:lang w:val="zh-CN"/>
          <w14:textFill>
            <w14:solidFill>
              <w14:schemeClr w14:val="tx1"/>
            </w14:solidFill>
          </w14:textFill>
        </w:rPr>
        <w:t>）发包人协助承包人开通施工场地与紧邻公共道路的通道，承包人自行承担城区道路、收费道路通行所需要办理的各项手续以满足施工运输的需要（包括但不限于土地征用、障碍物清除、场地平整、提供水电接口和青苗赔偿等）并承担相关费用。</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5</w:t>
      </w:r>
      <w:r>
        <w:rPr>
          <w:rFonts w:hint="eastAsia" w:hAnsi="Times New Roman" w:cs="Microsoft JhengHei Light"/>
          <w:color w:val="000000" w:themeColor="text1"/>
          <w:sz w:val="24"/>
          <w:szCs w:val="28"/>
          <w:highlight w:val="none"/>
          <w:lang w:val="zh-CN"/>
          <w14:textFill>
            <w14:solidFill>
              <w14:schemeClr w14:val="tx1"/>
            </w14:solidFill>
          </w14:textFill>
        </w:rPr>
        <w:t>）施工场地内工程地质、地下管线、地下设施等有关资料的提供时间和要求：发包人应在施工开工前向承包人提供施工场地已有的工程地质和地下管线资料（如有），但由于资料涉及多个部门，准确性难以保证，故资料仅作为重要危险源或者重要保护物的提示性作用，承包人在使用上述资料时应当慎重。承包人应做好前期的地下物探工作，物探费用已包含在承包人投标报价中，发包人不再为此作任何签证或另行支付相关费用，对重要的管线、重要保护物、危险源区域进行施工时应当进行采取人工槽探或物探方式进行管线排查，防止资料标示位置与实际出现偏移或错误，确保重要保护对象的绝对安全。承包人在施工前应对地上、地下管线及邻近建（构）筑物、文物、古树名木、设施情况自行探测、调查、勘核，施工过程中承包人应采取有效措施保护地上、地下管线及邻近建（构）筑物和设施的安全，积极进行管线方面的协调工作，涉及需要迁改的管线的要尽快办理设计图纸审批，费用包含在审核后的预算中。无论发包人是否提供工程地质、地下管线、地下设施等有关资料，施工过程中若因施工原因对地上、地下管线及邻近建（构）筑物和设施造成损坏，承包人须承担全部责任。</w:t>
      </w:r>
    </w:p>
    <w:p>
      <w:pPr>
        <w:pStyle w:val="158"/>
        <w:shd w:val="clear" w:color="auto" w:fill="auto"/>
        <w:snapToGrid w:val="0"/>
        <w:spacing w:before="0" w:line="360" w:lineRule="auto"/>
        <w:ind w:firstLine="620"/>
        <w:jc w:val="both"/>
        <w:rPr>
          <w:color w:val="000000" w:themeColor="text1"/>
          <w:sz w:val="24"/>
          <w:szCs w:val="28"/>
          <w:highlight w:val="none"/>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承包人应对所采取的保护措施进行监测，并应根据监测结果及时反馈信息指导施工，以确保上述受保护物件及作业人员、居民的安全。因承包人原因，受保护物件发生损坏的，由承包人承担责任并负责赔偿。</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2.2.2 提供工作条件</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关于发包人应负责提供的工作条件：</w:t>
      </w:r>
      <w:r>
        <w:rPr>
          <w:rFonts w:hint="eastAsia" w:ascii="宋体"/>
          <w:color w:val="000000" w:themeColor="text1"/>
          <w:sz w:val="24"/>
          <w:szCs w:val="28"/>
          <w:highlight w:val="none"/>
          <w:u w:val="single"/>
          <w14:textFill>
            <w14:solidFill>
              <w14:schemeClr w14:val="tx1"/>
            </w14:solidFill>
          </w14:textFill>
        </w:rPr>
        <w:t xml:space="preserve"> 同专用条件“2.2.1 提供施工现场”</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65" w:name="_Toc102746049"/>
      <w:r>
        <w:rPr>
          <w:rFonts w:hint="eastAsia"/>
          <w:color w:val="000000" w:themeColor="text1"/>
          <w:highlight w:val="none"/>
          <w14:textFill>
            <w14:solidFill>
              <w14:schemeClr w14:val="tx1"/>
            </w14:solidFill>
          </w14:textFill>
        </w:rPr>
        <w:t>2.3 提供基础资料</w:t>
      </w:r>
      <w:bookmarkEnd w:id="1165"/>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关于发包人应提供的基础资料的范围和期限：</w:t>
      </w:r>
      <w:r>
        <w:rPr>
          <w:rFonts w:hint="eastAsia" w:ascii="宋体"/>
          <w:color w:val="000000" w:themeColor="text1"/>
          <w:sz w:val="24"/>
          <w:szCs w:val="28"/>
          <w:highlight w:val="none"/>
          <w:u w:val="single"/>
          <w14:textFill>
            <w14:solidFill>
              <w14:schemeClr w14:val="tx1"/>
            </w14:solidFill>
          </w14:textFill>
        </w:rPr>
        <w:t>同专用条件“2.2.1 提供施工现场”</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66" w:name="_Toc102746050"/>
      <w:r>
        <w:rPr>
          <w:rFonts w:hint="eastAsia"/>
          <w:color w:val="000000" w:themeColor="text1"/>
          <w:highlight w:val="none"/>
          <w14:textFill>
            <w14:solidFill>
              <w14:schemeClr w14:val="tx1"/>
            </w14:solidFill>
          </w14:textFill>
        </w:rPr>
        <w:t>2.4 办理许可和批准</w:t>
      </w:r>
      <w:bookmarkEnd w:id="1166"/>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发包人委托承包人代为办理除项目立项批复和规划选址意见书以外的本项目交付使用前所必须履行的项目建设审查、审批、许可、批准或备案手续（包括但不限于建设工程规划许可证、消防、防雷、人防、环保、电力办理报审等，相关费用视为已包含于本合同价款中）。</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发包人负责协助提供相关的证明文件，负责审核报审、报批的文件内容并签章确认，出席审核或审查会议。</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2.4.2</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因承包人原因未能及时办理完毕前述履行的项目建设审查、审批、许可、批准或备案手续，由承包人承担由此增加的费用和（或）延误的工期。</w:t>
      </w:r>
    </w:p>
    <w:p>
      <w:pPr>
        <w:pStyle w:val="196"/>
        <w:spacing w:before="156"/>
        <w:ind w:firstLine="241"/>
        <w:rPr>
          <w:color w:val="000000" w:themeColor="text1"/>
          <w:highlight w:val="none"/>
          <w14:textFill>
            <w14:solidFill>
              <w14:schemeClr w14:val="tx1"/>
            </w14:solidFill>
          </w14:textFill>
        </w:rPr>
      </w:pPr>
      <w:bookmarkStart w:id="1167" w:name="_Toc102746051"/>
      <w:r>
        <w:rPr>
          <w:rFonts w:hint="eastAsia"/>
          <w:color w:val="000000" w:themeColor="text1"/>
          <w:highlight w:val="none"/>
          <w14:textFill>
            <w14:solidFill>
              <w14:schemeClr w14:val="tx1"/>
            </w14:solidFill>
          </w14:textFill>
        </w:rPr>
        <w:t>2.5 支付合同价款</w:t>
      </w:r>
      <w:bookmarkEnd w:id="1167"/>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2.5.2 发包人提供资金来源证明及资金安排的期限要求：</w:t>
      </w:r>
      <w:r>
        <w:rPr>
          <w:rFonts w:hint="eastAsia"/>
          <w:color w:val="000000" w:themeColor="text1"/>
          <w:highlight w:val="none"/>
          <w:u w:val="single"/>
          <w14:textFill>
            <w14:solidFill>
              <w14:schemeClr w14:val="tx1"/>
            </w14:solidFill>
          </w14:textFill>
        </w:rPr>
        <w:t>根据项目实际情况统筹安排资金，不提供相关资金来源证明及资金安排材料</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2.5.3 发包人提供支付担保的形式、期限、金额（或比例）：</w:t>
      </w:r>
      <w:r>
        <w:rPr>
          <w:rFonts w:hint="eastAsia"/>
          <w:color w:val="000000" w:themeColor="text1"/>
          <w:highlight w:val="none"/>
          <w:u w:val="single"/>
          <w14:textFill>
            <w14:solidFill>
              <w14:schemeClr w14:val="tx1"/>
            </w14:solidFill>
          </w14:textFill>
        </w:rPr>
        <w:t xml:space="preserve"> 按南沙区现行规定执行</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68" w:name="_Toc102746052"/>
      <w:r>
        <w:rPr>
          <w:rFonts w:hint="eastAsia"/>
          <w:color w:val="000000" w:themeColor="text1"/>
          <w:highlight w:val="none"/>
          <w14:textFill>
            <w14:solidFill>
              <w14:schemeClr w14:val="tx1"/>
            </w14:solidFill>
          </w14:textFill>
        </w:rPr>
        <w:t>2.7 其他义务</w:t>
      </w:r>
      <w:bookmarkEnd w:id="1168"/>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2.7.1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承担法律规定和（或）履行合同中约定的合同价格调整、付款、竣工结算义务。</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2.7.2</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承包人办理有关施工证件和批件时，发包人应给予必要的协助。</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2.7.3</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应按合同约定及时组织竣工验收</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2.7.4</w:t>
      </w:r>
      <w:r>
        <w:rPr>
          <w:color w:val="000000" w:themeColor="text1"/>
          <w:highlight w:val="none"/>
          <w:lang w:val="zh-CN"/>
          <w14:textFill>
            <w14:solidFill>
              <w14:schemeClr w14:val="tx1"/>
            </w14:solidFill>
          </w14:textFill>
        </w:rPr>
        <w:t xml:space="preserve"> </w:t>
      </w:r>
      <w:r>
        <w:rPr>
          <w:rFonts w:hint="eastAsia"/>
          <w:color w:val="000000" w:themeColor="text1"/>
          <w:highlight w:val="none"/>
          <w14:textFill>
            <w14:solidFill>
              <w14:schemeClr w14:val="tx1"/>
            </w14:solidFill>
          </w14:textFill>
        </w:rPr>
        <w:t>发包人应履行的其他义务：</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69" w:name="_Toc102746053"/>
      <w:r>
        <w:rPr>
          <w:rFonts w:hint="eastAsia"/>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发包人的主要权利</w:t>
      </w:r>
      <w:bookmarkEnd w:id="1169"/>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2.8.1</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根据合同约定和国家法律对安全、质量、环境保护和职业健康等强制性标准、规范的规定，对承包人的设计、采购、施工、竣工试验等实施工作提出建议、修改和变更，但不得违反国家强制性标准、规范的规定。</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2.8.2</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根据合同约定，对因承包人原因给发包人带来的任何损失和损害，提出赔偿。</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2.8.3</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发包人认为必要时，有权以书面形式发出暂停通知。其中，因发包人原因造成的暂停，造成关键路径延误的，竣工日期相应顺延，费用不予增加。</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2.8.4</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保留对用于本合同工程的材料设备的品质、质量提交质量监督检验机构审查确认的权利。</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2.8.5</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有权对合同发包（承包）范围及内容进行调整（包括增加或减少部分工程），并保留对主要材料设备的分类及采购方式进行调整的权利，承包人不得拒绝或要求调整任何单价及收费，招标文件及本合同另有规定的除外。</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2.8.6</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有权对工程实施过程的决策、控制、实施等环节实行全面管理，协调和监督。</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2.8.7</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有权检查承包人组成人员到位情况、人员稳定情况，如出现承包人人力、能力不能满足工作要求，可要求承包人增</w:t>
      </w:r>
      <w:r>
        <w:rPr>
          <w:rFonts w:hint="eastAsia" w:hAnsi="仿宋_GB2312" w:cs="仿宋_GB2312"/>
          <w:color w:val="000000" w:themeColor="text1"/>
          <w:highlight w:val="none"/>
          <w:lang w:val="zh-CN"/>
          <w14:textFill>
            <w14:solidFill>
              <w14:schemeClr w14:val="tx1"/>
            </w14:solidFill>
          </w14:textFill>
        </w:rPr>
        <w:t>加或替换相应的人员，承包人不得拒绝。</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2.8.8</w:t>
      </w:r>
      <w:r>
        <w:rPr>
          <w:color w:val="000000" w:themeColor="text1"/>
          <w:highlight w:val="none"/>
          <w:lang w:val="zh-CN"/>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在本项目建设期间，发包人有权书面要求承包人分管领导每月来工地总体督促施工协调、质量、安全、进度等合同工作，确保项目施工质量、安全和工程进度。如经发包人要求，承包人分管领导仍不按发包人要求来工地督促工作或督促不力的，每次按</w:t>
      </w:r>
      <w:r>
        <w:rPr>
          <w:rFonts w:hint="eastAsia"/>
          <w:color w:val="000000" w:themeColor="text1"/>
          <w:highlight w:val="none"/>
          <w:u w:val="single"/>
          <w:lang w:val="zh-CN"/>
          <w14:textFill>
            <w14:solidFill>
              <w14:schemeClr w14:val="tx1"/>
            </w14:solidFill>
          </w14:textFill>
        </w:rPr>
        <w:t>5万</w:t>
      </w:r>
      <w:r>
        <w:rPr>
          <w:rFonts w:hint="eastAsia"/>
          <w:color w:val="000000" w:themeColor="text1"/>
          <w:highlight w:val="none"/>
          <w:lang w:val="zh-CN"/>
          <w14:textFill>
            <w14:solidFill>
              <w14:schemeClr w14:val="tx1"/>
            </w14:solidFill>
          </w14:textFill>
        </w:rPr>
        <w:t>元进行经济处罚，在合同进度款支付时扣除或提取履约担保。发包人有权按照技术经济比选结果，采用新技术、新材料、新工艺，承包人应无条件配合并承担相应技术、咨询等费用，发包人不另行支付费用；发包人有权对资源、场地等在不同（子）项目之间进行统筹调配，承包人应无条件配合。</w:t>
      </w:r>
    </w:p>
    <w:p>
      <w:pPr>
        <w:pStyle w:val="168"/>
        <w:spacing w:before="156"/>
        <w:ind w:firstLine="480"/>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t xml:space="preserve">2.8.10 </w:t>
      </w:r>
      <w:r>
        <w:rPr>
          <w:rFonts w:hint="eastAsia"/>
          <w:color w:val="000000" w:themeColor="text1"/>
          <w:highlight w:val="none"/>
          <w:lang w:val="zh-CN"/>
          <w14:textFill>
            <w14:solidFill>
              <w14:schemeClr w14:val="tx1"/>
            </w14:solidFill>
          </w14:textFill>
        </w:rPr>
        <w:t>为保障项目顺利实施的其他权利。</w:t>
      </w:r>
    </w:p>
    <w:p>
      <w:pPr>
        <w:pStyle w:val="200"/>
        <w:rPr>
          <w:color w:val="000000" w:themeColor="text1"/>
          <w:highlight w:val="none"/>
          <w14:textFill>
            <w14:solidFill>
              <w14:schemeClr w14:val="tx1"/>
            </w14:solidFill>
          </w14:textFill>
        </w:rPr>
      </w:pPr>
      <w:bookmarkStart w:id="1170" w:name="_Toc17338"/>
      <w:bookmarkStart w:id="1171" w:name="_Toc22275"/>
      <w:bookmarkStart w:id="1172" w:name="_Toc19751"/>
      <w:bookmarkStart w:id="1173" w:name="_Toc102746054"/>
      <w:bookmarkStart w:id="1174" w:name="_Toc54862334"/>
      <w:bookmarkStart w:id="1175" w:name="_Toc26665"/>
      <w:bookmarkStart w:id="1176" w:name="_Toc30625"/>
      <w:bookmarkStart w:id="1177" w:name="_Toc5832"/>
      <w:bookmarkStart w:id="1178" w:name="_Toc9245"/>
      <w:bookmarkStart w:id="1179" w:name="_Toc14596"/>
      <w:r>
        <w:rPr>
          <w:rFonts w:hint="eastAsia"/>
          <w:color w:val="000000" w:themeColor="text1"/>
          <w:highlight w:val="none"/>
          <w14:textFill>
            <w14:solidFill>
              <w14:schemeClr w14:val="tx1"/>
            </w14:solidFill>
          </w14:textFill>
        </w:rPr>
        <w:t>第3条 发包人的管理</w:t>
      </w:r>
      <w:bookmarkEnd w:id="1170"/>
      <w:bookmarkEnd w:id="1171"/>
      <w:bookmarkEnd w:id="1172"/>
      <w:bookmarkEnd w:id="1173"/>
      <w:bookmarkEnd w:id="1174"/>
      <w:bookmarkEnd w:id="1175"/>
      <w:bookmarkEnd w:id="1176"/>
      <w:bookmarkEnd w:id="1177"/>
      <w:bookmarkEnd w:id="1178"/>
      <w:bookmarkEnd w:id="1179"/>
    </w:p>
    <w:p>
      <w:pPr>
        <w:pStyle w:val="196"/>
        <w:spacing w:before="156"/>
        <w:ind w:firstLine="241"/>
        <w:rPr>
          <w:color w:val="000000" w:themeColor="text1"/>
          <w:highlight w:val="none"/>
          <w14:textFill>
            <w14:solidFill>
              <w14:schemeClr w14:val="tx1"/>
            </w14:solidFill>
          </w14:textFill>
        </w:rPr>
      </w:pPr>
      <w:bookmarkStart w:id="1180" w:name="_Toc102746055"/>
      <w:r>
        <w:rPr>
          <w:rFonts w:hint="eastAsia"/>
          <w:color w:val="000000" w:themeColor="text1"/>
          <w:highlight w:val="none"/>
          <w14:textFill>
            <w14:solidFill>
              <w14:schemeClr w14:val="tx1"/>
            </w14:solidFill>
          </w14:textFill>
        </w:rPr>
        <w:t>3.1 发包人代表</w:t>
      </w:r>
      <w:bookmarkEnd w:id="1180"/>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发包人代表的姓名：</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发包人代表的身份证号：</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发包人代表的职务：</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发包人代表的联系电话：</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发包人代表的电子邮箱：</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发包人代表的通信地址：</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发包人对发包人代表的授权范围如下：</w:t>
      </w:r>
      <w:r>
        <w:rPr>
          <w:rFonts w:hint="eastAsia" w:ascii="宋体" w:cs="Microsoft JhengHei Light"/>
          <w:color w:val="000000" w:themeColor="text1"/>
          <w:kern w:val="0"/>
          <w:sz w:val="24"/>
          <w:szCs w:val="28"/>
          <w:highlight w:val="none"/>
          <w:u w:val="single"/>
          <w:lang w:val="zh-CN"/>
          <w14:textFill>
            <w14:solidFill>
              <w14:schemeClr w14:val="tx1"/>
            </w14:solidFill>
          </w14:textFill>
        </w:rPr>
        <w:t>按照相关法律法规规定，以发包人名义负责项目全过程的管理、各方关系处理、督促工程师等行使职权、进行现场签证、审核工程进度表及工程师职权范围外的其他工作。涉及到工程变更、签证、索赔、工程量确认、工程结算、工程款支付等核心问题的文件，发包人代表的签字只构成初步审查意见，文件内容需要发包人最终确认</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发包人代表的职责：</w:t>
      </w:r>
      <w:r>
        <w:rPr>
          <w:rFonts w:hint="eastAsia" w:ascii="宋体"/>
          <w:color w:val="000000" w:themeColor="text1"/>
          <w:sz w:val="24"/>
          <w:szCs w:val="28"/>
          <w:highlight w:val="none"/>
          <w:u w:val="single"/>
          <w14:textFill>
            <w14:solidFill>
              <w14:schemeClr w14:val="tx1"/>
            </w14:solidFill>
          </w14:textFill>
        </w:rPr>
        <w:t xml:space="preserve">   同上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81" w:name="_Toc102746056"/>
      <w:r>
        <w:rPr>
          <w:rFonts w:hint="eastAsia"/>
          <w:color w:val="000000" w:themeColor="text1"/>
          <w:highlight w:val="none"/>
          <w14:textFill>
            <w14:solidFill>
              <w14:schemeClr w14:val="tx1"/>
            </w14:solidFill>
          </w14:textFill>
        </w:rPr>
        <w:t>3.2 发包人人员</w:t>
      </w:r>
      <w:bookmarkEnd w:id="1181"/>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发包人人员姓名：</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发包人人员职务：</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发包人人员职责：</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82" w:name="_Toc102746057"/>
      <w:r>
        <w:rPr>
          <w:rFonts w:hint="eastAsia"/>
          <w:color w:val="000000" w:themeColor="text1"/>
          <w:highlight w:val="none"/>
          <w14:textFill>
            <w14:solidFill>
              <w14:schemeClr w14:val="tx1"/>
            </w14:solidFill>
          </w14:textFill>
        </w:rPr>
        <w:t>3.3 工程师</w:t>
      </w:r>
      <w:bookmarkEnd w:id="1182"/>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3.3.1 工程师名称：</w:t>
      </w:r>
      <w:r>
        <w:rPr>
          <w:color w:val="000000" w:themeColor="text1"/>
          <w:highlight w:val="none"/>
          <w:u w:val="single"/>
          <w14:textFill>
            <w14:solidFill>
              <w14:schemeClr w14:val="tx1"/>
            </w14:solidFill>
          </w14:textFill>
        </w:rPr>
        <w:t>同专用合同条件1.1.2.6.1</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；工程师监督管理范围、内容：</w:t>
      </w:r>
      <w:r>
        <w:rPr>
          <w:color w:val="000000" w:themeColor="text1"/>
          <w:highlight w:val="none"/>
          <w:u w:val="single"/>
          <w14:textFill>
            <w14:solidFill>
              <w14:schemeClr w14:val="tx1"/>
            </w14:solidFill>
          </w14:textFill>
        </w:rPr>
        <w:t>同专用合同条件1.1.2.6.1</w:t>
      </w:r>
      <w:r>
        <w:rPr>
          <w:rFonts w:hint="eastAsia"/>
          <w:color w:val="000000" w:themeColor="text1"/>
          <w:highlight w:val="none"/>
          <w14:textFill>
            <w14:solidFill>
              <w14:schemeClr w14:val="tx1"/>
            </w14:solidFill>
          </w14:textFill>
        </w:rPr>
        <w:t>；工程师权限：</w:t>
      </w:r>
      <w:r>
        <w:rPr>
          <w:color w:val="000000" w:themeColor="text1"/>
          <w:highlight w:val="none"/>
          <w:u w:val="single"/>
          <w14:textFill>
            <w14:solidFill>
              <w14:schemeClr w14:val="tx1"/>
            </w14:solidFill>
          </w14:textFill>
        </w:rPr>
        <w:t>同专用合同条件1.1.2.6.1</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3.3.2 工程师名称：</w:t>
      </w:r>
      <w:r>
        <w:rPr>
          <w:color w:val="000000" w:themeColor="text1"/>
          <w:highlight w:val="none"/>
          <w:u w:val="single"/>
          <w14:textFill>
            <w14:solidFill>
              <w14:schemeClr w14:val="tx1"/>
            </w14:solidFill>
          </w14:textFill>
        </w:rPr>
        <w:t>同专用合同条件1.1.2.6.2</w:t>
      </w:r>
      <w:r>
        <w:rPr>
          <w:rFonts w:hint="eastAsia"/>
          <w:color w:val="000000" w:themeColor="text1"/>
          <w:highlight w:val="none"/>
          <w14:textFill>
            <w14:solidFill>
              <w14:schemeClr w14:val="tx1"/>
            </w14:solidFill>
          </w14:textFill>
        </w:rPr>
        <w:t>；工程师监督管理范围、内容：</w:t>
      </w:r>
      <w:r>
        <w:rPr>
          <w:color w:val="000000" w:themeColor="text1"/>
          <w:highlight w:val="none"/>
          <w:u w:val="single"/>
          <w14:textFill>
            <w14:solidFill>
              <w14:schemeClr w14:val="tx1"/>
            </w14:solidFill>
          </w14:textFill>
        </w:rPr>
        <w:t>同专用合同条件1.1.2.6.2</w:t>
      </w:r>
      <w:r>
        <w:rPr>
          <w:rFonts w:hint="eastAsia"/>
          <w:color w:val="000000" w:themeColor="text1"/>
          <w:highlight w:val="none"/>
          <w14:textFill>
            <w14:solidFill>
              <w14:schemeClr w14:val="tx1"/>
            </w14:solidFill>
          </w14:textFill>
        </w:rPr>
        <w:t>；工程师权限：</w:t>
      </w:r>
      <w:r>
        <w:rPr>
          <w:color w:val="000000" w:themeColor="text1"/>
          <w:highlight w:val="none"/>
          <w:u w:val="single"/>
          <w14:textFill>
            <w14:solidFill>
              <w14:schemeClr w14:val="tx1"/>
            </w14:solidFill>
          </w14:textFill>
        </w:rPr>
        <w:t>同专用合同条件1.1.2.6.2</w:t>
      </w:r>
      <w:r>
        <w:rPr>
          <w:rFonts w:hint="eastAsia"/>
          <w:color w:val="000000" w:themeColor="text1"/>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3.3.2.1工程师权限：</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ascii="宋体"/>
          <w:color w:val="000000" w:themeColor="text1"/>
          <w:sz w:val="24"/>
          <w:szCs w:val="28"/>
          <w:highlight w:val="none"/>
          <w14:textFill>
            <w14:solidFill>
              <w14:schemeClr w14:val="tx1"/>
            </w14:solidFill>
          </w14:textFill>
        </w:rPr>
        <w:t xml:space="preserve">3.3.2.1.1 </w:t>
      </w:r>
      <w:r>
        <w:rPr>
          <w:rFonts w:hint="eastAsia" w:ascii="宋体"/>
          <w:color w:val="000000" w:themeColor="text1"/>
          <w:sz w:val="24"/>
          <w:szCs w:val="28"/>
          <w:highlight w:val="none"/>
          <w14:textFill>
            <w14:solidFill>
              <w14:schemeClr w14:val="tx1"/>
            </w14:solidFill>
          </w14:textFill>
        </w:rPr>
        <w:t>建设管理单位：同专用合同条件1</w:t>
      </w:r>
      <w:r>
        <w:rPr>
          <w:rFonts w:ascii="宋体"/>
          <w:color w:val="000000" w:themeColor="text1"/>
          <w:sz w:val="24"/>
          <w:szCs w:val="28"/>
          <w:highlight w:val="none"/>
          <w14:textFill>
            <w14:solidFill>
              <w14:schemeClr w14:val="tx1"/>
            </w14:solidFill>
          </w14:textFill>
        </w:rPr>
        <w:t>.1.2.6.1</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ascii="宋体"/>
          <w:color w:val="000000" w:themeColor="text1"/>
          <w:sz w:val="24"/>
          <w:szCs w:val="28"/>
          <w:highlight w:val="none"/>
          <w14:textFill>
            <w14:solidFill>
              <w14:schemeClr w14:val="tx1"/>
            </w14:solidFill>
          </w14:textFill>
        </w:rPr>
        <w:t xml:space="preserve">3.3.2.1.2 </w:t>
      </w:r>
      <w:r>
        <w:rPr>
          <w:rFonts w:hint="eastAsia" w:ascii="宋体"/>
          <w:color w:val="000000" w:themeColor="text1"/>
          <w:sz w:val="24"/>
          <w:szCs w:val="28"/>
          <w:highlight w:val="none"/>
          <w14:textFill>
            <w14:solidFill>
              <w14:schemeClr w14:val="tx1"/>
            </w14:solidFill>
          </w14:textFill>
        </w:rPr>
        <w:t>监理单位：同专用合同条件1</w:t>
      </w:r>
      <w:r>
        <w:rPr>
          <w:rFonts w:ascii="宋体"/>
          <w:color w:val="000000" w:themeColor="text1"/>
          <w:sz w:val="24"/>
          <w:szCs w:val="28"/>
          <w:highlight w:val="none"/>
          <w14:textFill>
            <w14:solidFill>
              <w14:schemeClr w14:val="tx1"/>
            </w14:solidFill>
          </w14:textFill>
        </w:rPr>
        <w:t>.1.2.6.2</w:t>
      </w:r>
      <w:r>
        <w:rPr>
          <w:rFonts w:hint="eastAsia" w:ascii="宋体"/>
          <w:color w:val="000000" w:themeColor="text1"/>
          <w:sz w:val="24"/>
          <w:szCs w:val="28"/>
          <w:highlight w:val="none"/>
          <w14:textFill>
            <w14:solidFill>
              <w14:schemeClr w14:val="tx1"/>
            </w14:solidFill>
          </w14:textFill>
        </w:rPr>
        <w:t>，具体包括但不限于：</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a）监理工程师应履行合同规定的职责。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利、义务和责任。 (b) 监理工程师可以行使合同规定或合同内含的权利，但如果发包人在合同的条件中要求监理工程师在行使某些权利之前，需要先得到发包人的批准，则应取得这种批准方可行使这些权利。</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监理工程师代表：监理工程师代表由总监理工程师任命并对总监理工程师负责，履行和行使由总监理工程师按照3.3.2.2款赋予其职责和权利。</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3.3.2.2总监理工程师职权的委托</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总监理工程师可以按《监理规范》的有关规定将赋予他自己的职责和权利委托给监理工程师代表并且可在任何时候撤回这种委托。任何委托或撤销都应采取书面形式，并且在把副本送交发包人和承包人之后生效。</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由监理工程师代表按此委托送交承包人的函件应与监理工程师送交的函件具有同等效力，但：（a）监理工程师代表没有对任何工作、材料或工程设备提出否定意见，应不影响总监理工程师以后对该工作、材料或工程设备提出否定意见并发出进行改正的指示的权利。（b）承包人对监理工程师代表的函件有疑问，可向总监理工程师提出，总监理工程师应对此函件的内容进行确认、否定或更改。</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3.3.2.3指定检查员：总监理工程师或监理工程师代表可以指定任何数量的检查人员协助监理工程师代表检查和批准材料、设备、工艺和工程。其应把上述人员的名字、职责和权利范围通知承包人。出于上述目的而发出的指示均应视为已得到监理工程师代表的同意。</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3.3.2.4总监理工程师指示以书面为准。除总监理工程师认为必须进行口头指示的情况外，监理工程师的指示均应是书面的，承包人应遵循这些指示。总监理工程师口头指示必须在48小时之内书面确认，在指示执行前或执行后，都应视为是符合本款规定的指示。</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如果承包人在7天之内向总监理工程师书面确认了监理工程师的口头指示，而总监理工程师在7天之内未对此确认提出书面异议，则此指示应视为是监理工程师的指示。</w:t>
      </w:r>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本款的规定同样适用于由总监理工程师代表发出的指示和总监理工程师或监理工程师代表按照第3.3.2.3款指定的检查员发出的指示。</w:t>
      </w:r>
    </w:p>
    <w:p>
      <w:pPr>
        <w:pStyle w:val="158"/>
        <w:shd w:val="clear" w:color="auto" w:fill="auto"/>
        <w:snapToGrid w:val="0"/>
        <w:spacing w:before="0" w:line="360" w:lineRule="auto"/>
        <w:ind w:firstLine="620"/>
        <w:jc w:val="both"/>
        <w:rPr>
          <w:color w:val="000000" w:themeColor="text1"/>
          <w:sz w:val="24"/>
          <w:szCs w:val="28"/>
          <w:highlight w:val="none"/>
          <w14:textFill>
            <w14:solidFill>
              <w14:schemeClr w14:val="tx1"/>
            </w14:solidFill>
          </w14:textFill>
        </w:rPr>
      </w:pPr>
      <w:r>
        <w:rPr>
          <w:rFonts w:hint="eastAsia" w:cs="Microsoft JhengHei Light"/>
          <w:color w:val="000000" w:themeColor="text1"/>
          <w:sz w:val="24"/>
          <w:szCs w:val="28"/>
          <w:highlight w:val="none"/>
          <w:lang w:val="zh-CN"/>
          <w14:textFill>
            <w14:solidFill>
              <w14:schemeClr w14:val="tx1"/>
            </w14:solidFill>
          </w14:textFill>
        </w:rPr>
        <w:t>3.3.2.5</w:t>
      </w:r>
      <w:r>
        <w:rPr>
          <w:rFonts w:hint="eastAsia" w:hAnsi="Times New Roman" w:cs="Microsoft JhengHei Light"/>
          <w:color w:val="000000" w:themeColor="text1"/>
          <w:sz w:val="24"/>
          <w:szCs w:val="28"/>
          <w:highlight w:val="none"/>
          <w:lang w:val="zh-CN"/>
          <w14:textFill>
            <w14:solidFill>
              <w14:schemeClr w14:val="tx1"/>
            </w14:solidFill>
          </w14:textFill>
        </w:rPr>
        <w:t>合同约定应由承包人承担的义务和责任，不因工程师对承包人文件的审查或批准，对工程、材料和工程设备的检查和检验，以及为实施监管作出的指示等职务行为而减轻或解除。</w:t>
      </w:r>
    </w:p>
    <w:p>
      <w:pPr>
        <w:pStyle w:val="196"/>
        <w:spacing w:before="156"/>
        <w:ind w:firstLine="241"/>
        <w:rPr>
          <w:color w:val="000000" w:themeColor="text1"/>
          <w:highlight w:val="none"/>
          <w14:textFill>
            <w14:solidFill>
              <w14:schemeClr w14:val="tx1"/>
            </w14:solidFill>
          </w14:textFill>
        </w:rPr>
      </w:pPr>
      <w:bookmarkStart w:id="1183" w:name="_Toc102746058"/>
      <w:r>
        <w:rPr>
          <w:color w:val="000000" w:themeColor="text1"/>
          <w:highlight w:val="none"/>
          <w14:textFill>
            <w14:solidFill>
              <w14:schemeClr w14:val="tx1"/>
            </w14:solidFill>
          </w14:textFill>
        </w:rPr>
        <w:t xml:space="preserve">3.4 </w:t>
      </w:r>
      <w:r>
        <w:rPr>
          <w:rFonts w:hint="eastAsia"/>
          <w:color w:val="000000" w:themeColor="text1"/>
          <w:highlight w:val="none"/>
          <w14:textFill>
            <w14:solidFill>
              <w14:schemeClr w14:val="tx1"/>
            </w14:solidFill>
          </w14:textFill>
        </w:rPr>
        <w:t>任命和授权</w:t>
      </w:r>
      <w:bookmarkEnd w:id="1183"/>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 本合同签订后，视为承包人已知晓发包人按上述约定将相关管理事宜委托给“3.3工程师”所指单位，并无条件接受该工程师的管理。更换工程师的，发包人应提前7天以书面形式通知承包人，并在通知中写明替换者的姓名、职务、职权、权限和任命时间。工程师超过2天不能履行职责的，应委派代表代行其职责，并通知承包人。</w:t>
      </w:r>
    </w:p>
    <w:p>
      <w:pPr>
        <w:pStyle w:val="196"/>
        <w:spacing w:before="156"/>
        <w:ind w:firstLine="241"/>
        <w:rPr>
          <w:color w:val="000000" w:themeColor="text1"/>
          <w:highlight w:val="none"/>
          <w14:textFill>
            <w14:solidFill>
              <w14:schemeClr w14:val="tx1"/>
            </w14:solidFill>
          </w14:textFill>
        </w:rPr>
      </w:pPr>
      <w:bookmarkStart w:id="1184" w:name="_Toc102746059"/>
      <w:r>
        <w:rPr>
          <w:rFonts w:hint="eastAsia"/>
          <w:color w:val="000000" w:themeColor="text1"/>
          <w:highlight w:val="none"/>
          <w14:textFill>
            <w14:solidFill>
              <w14:schemeClr w14:val="tx1"/>
            </w14:solidFill>
          </w14:textFill>
        </w:rPr>
        <w:t>3.6 商定或确定</w:t>
      </w:r>
      <w:bookmarkEnd w:id="1184"/>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3.6.2 关于商定时间限制的具体约定：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3.6.3 关于商定或确定效力的具体约定：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；关于对工程师的确定提出异议的具体约定：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185" w:name="_Toc102746060"/>
      <w:r>
        <w:rPr>
          <w:rFonts w:hint="eastAsia"/>
          <w:color w:val="000000" w:themeColor="text1"/>
          <w:highlight w:val="none"/>
          <w14:textFill>
            <w14:solidFill>
              <w14:schemeClr w14:val="tx1"/>
            </w14:solidFill>
          </w14:textFill>
        </w:rPr>
        <w:t>3.7 会议</w:t>
      </w:r>
      <w:bookmarkEnd w:id="1185"/>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3.7.1 关于召开会议的具体约定：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3.7.2 关于保存和提供会议纪要的具体约定：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200"/>
        <w:rPr>
          <w:color w:val="000000" w:themeColor="text1"/>
          <w:highlight w:val="none"/>
          <w14:textFill>
            <w14:solidFill>
              <w14:schemeClr w14:val="tx1"/>
            </w14:solidFill>
          </w14:textFill>
        </w:rPr>
      </w:pPr>
      <w:bookmarkStart w:id="1186" w:name="_Toc26373"/>
      <w:bookmarkStart w:id="1187" w:name="_Toc5680"/>
      <w:bookmarkStart w:id="1188" w:name="_Toc32050"/>
      <w:bookmarkStart w:id="1189" w:name="_Toc54862335"/>
      <w:bookmarkStart w:id="1190" w:name="_Toc3921"/>
      <w:bookmarkStart w:id="1191" w:name="_Toc1299"/>
      <w:bookmarkStart w:id="1192" w:name="_Toc23753"/>
      <w:bookmarkStart w:id="1193" w:name="_Toc102746061"/>
      <w:bookmarkStart w:id="1194" w:name="_Toc19246"/>
      <w:bookmarkStart w:id="1195" w:name="_Toc14106"/>
      <w:r>
        <w:rPr>
          <w:rFonts w:hint="eastAsia"/>
          <w:color w:val="000000" w:themeColor="text1"/>
          <w:highlight w:val="none"/>
          <w14:textFill>
            <w14:solidFill>
              <w14:schemeClr w14:val="tx1"/>
            </w14:solidFill>
          </w14:textFill>
        </w:rPr>
        <w:t>第4条 承包人</w:t>
      </w:r>
      <w:bookmarkEnd w:id="1186"/>
      <w:bookmarkEnd w:id="1187"/>
      <w:bookmarkEnd w:id="1188"/>
      <w:bookmarkEnd w:id="1189"/>
      <w:bookmarkEnd w:id="1190"/>
      <w:bookmarkEnd w:id="1191"/>
      <w:bookmarkEnd w:id="1192"/>
      <w:bookmarkEnd w:id="1193"/>
      <w:bookmarkEnd w:id="1194"/>
      <w:bookmarkEnd w:id="1195"/>
    </w:p>
    <w:p>
      <w:pPr>
        <w:pStyle w:val="196"/>
        <w:spacing w:before="156"/>
        <w:ind w:firstLine="241"/>
        <w:rPr>
          <w:color w:val="000000" w:themeColor="text1"/>
          <w:highlight w:val="none"/>
          <w14:textFill>
            <w14:solidFill>
              <w14:schemeClr w14:val="tx1"/>
            </w14:solidFill>
          </w14:textFill>
        </w:rPr>
      </w:pPr>
      <w:bookmarkStart w:id="1196" w:name="_Toc102746062"/>
      <w:r>
        <w:rPr>
          <w:rFonts w:hint="eastAsia"/>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承包人的一般义务</w:t>
      </w:r>
      <w:bookmarkEnd w:id="1196"/>
    </w:p>
    <w:p>
      <w:pPr>
        <w:adjustRightInd w:val="0"/>
        <w:snapToGrid w:val="0"/>
        <w:spacing w:line="360" w:lineRule="auto"/>
        <w:ind w:firstLine="480" w:firstLineChars="200"/>
        <w:rPr>
          <w:color w:val="000000" w:themeColor="text1"/>
          <w:highlight w:val="none"/>
          <w:u w:val="single"/>
          <w14:textFill>
            <w14:solidFill>
              <w14:schemeClr w14:val="tx1"/>
            </w14:solidFill>
          </w14:textFill>
        </w:rPr>
      </w:pPr>
      <w:r>
        <w:rPr>
          <w:rFonts w:ascii="宋体" w:hAnsi="仿宋_GB2312" w:cs="仿宋_GB2312"/>
          <w:color w:val="000000" w:themeColor="text1"/>
          <w:sz w:val="24"/>
          <w:szCs w:val="24"/>
          <w:highlight w:val="none"/>
          <w:u w:val="single"/>
          <w14:textFill>
            <w14:solidFill>
              <w14:schemeClr w14:val="tx1"/>
            </w14:solidFill>
          </w14:textFill>
        </w:rPr>
        <w:t>4.1.1</w:t>
      </w:r>
      <w:r>
        <w:rPr>
          <w:rFonts w:hint="eastAsia" w:ascii="宋体" w:hAnsi="仿宋_GB2312" w:cs="仿宋_GB2312"/>
          <w:color w:val="000000" w:themeColor="text1"/>
          <w:sz w:val="24"/>
          <w:szCs w:val="24"/>
          <w:highlight w:val="none"/>
          <w:u w:val="single"/>
          <w14:textFill>
            <w14:solidFill>
              <w14:schemeClr w14:val="tx1"/>
            </w14:solidFill>
          </w14:textFill>
        </w:rPr>
        <w:t>完成合同“第一部分 合同协议书 一、工程概况”的承包范围的所设计的施工及必要的报批、报建、协调工作。</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负责征地拆迁、管线迁移工作；发包人审定具体实施方案、配合完成必要的协调工作，并合法合规地承担相应的费用。</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 xml:space="preserve">3 </w:t>
      </w:r>
      <w:r>
        <w:rPr>
          <w:rFonts w:hint="eastAsia"/>
          <w:color w:val="000000" w:themeColor="text1"/>
          <w:highlight w:val="none"/>
          <w14:textFill>
            <w14:solidFill>
              <w14:schemeClr w14:val="tx1"/>
            </w14:solidFill>
          </w14:textFill>
        </w:rPr>
        <w:t>承包人中标后两周内，根据项目建设总工期，向发包人提交详细、可行的施工准备期（各种报批报建、报装、征地拆迁、管线摸查和迁改、永水永电燃气等）、工程施工等计划，备足相关专业工作人员，并及时检查和纠正实施计划，确保项目如期完工。</w:t>
      </w:r>
    </w:p>
    <w:p>
      <w:pPr>
        <w:pStyle w:val="168"/>
        <w:spacing w:before="156"/>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4.1.4 </w:t>
      </w:r>
      <w:r>
        <w:rPr>
          <w:rFonts w:hint="eastAsia"/>
          <w:color w:val="000000" w:themeColor="text1"/>
          <w:highlight w:val="none"/>
          <w14:textFill>
            <w14:solidFill>
              <w14:schemeClr w14:val="tx1"/>
            </w14:solidFill>
          </w14:textFill>
        </w:rPr>
        <w:t>临水、临电、临时施工场地由承包人自行解决，承包人不得向发包人另外收取任何费用。承包人应负责与当地有关部门联系和开通施工场地与城市公共道路之间的临时通道及施工场地内的主要便道，以适应场地运输的需要。</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.1.5 </w:t>
      </w:r>
      <w:r>
        <w:rPr>
          <w:rFonts w:hint="eastAsia"/>
          <w:color w:val="000000" w:themeColor="text1"/>
          <w:highlight w:val="none"/>
          <w14:textFill>
            <w14:solidFill>
              <w14:schemeClr w14:val="tx1"/>
            </w14:solidFill>
          </w14:textFill>
        </w:rPr>
        <w:t>开工前及施工过程中因增加场外临时用地，临时要求停水、停电、中断道路交通、爆破作业或可能损坏道路、管线、电力、邮电、通讯等公共设施等申请批准手续由承包人自行办理。因未能按时办妥上述批准手续，造成的窝工损失，承包人自行承担，费用不予增加。</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w:t>
      </w:r>
      <w:r>
        <w:rPr>
          <w:color w:val="000000" w:themeColor="text1"/>
          <w:highlight w:val="none"/>
          <w:lang w:val="zh-CN"/>
          <w14:textFill>
            <w14:solidFill>
              <w14:schemeClr w14:val="tx1"/>
            </w14:solidFill>
          </w14:textFill>
        </w:rPr>
        <w:t xml:space="preserve">6 </w:t>
      </w:r>
      <w:r>
        <w:rPr>
          <w:rFonts w:hint="eastAsia"/>
          <w:color w:val="000000" w:themeColor="text1"/>
          <w:highlight w:val="none"/>
          <w:lang w:val="zh-CN"/>
          <w14:textFill>
            <w14:solidFill>
              <w14:schemeClr w14:val="tx1"/>
            </w14:solidFill>
          </w14:textFill>
        </w:rPr>
        <w:t>办理除项目立项批复和规划选址意见书以外的本项目交付使用前所必须履行的项目建设审查、审批、许可、批准或备案手续（包括但不限于建设工程规划许可证、消防、防雷、人防、环保、电力办理报审等），并承担相关费用，发包人不另行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w:t>
      </w:r>
      <w:r>
        <w:rPr>
          <w:color w:val="000000" w:themeColor="text1"/>
          <w:highlight w:val="none"/>
          <w:lang w:val="zh-CN"/>
          <w14:textFill>
            <w14:solidFill>
              <w14:schemeClr w14:val="tx1"/>
            </w14:solidFill>
          </w14:textFill>
        </w:rPr>
        <w:t xml:space="preserve">7 </w:t>
      </w:r>
      <w:r>
        <w:rPr>
          <w:rFonts w:hint="eastAsia"/>
          <w:color w:val="000000" w:themeColor="text1"/>
          <w:highlight w:val="none"/>
          <w:lang w:val="zh-CN"/>
          <w14:textFill>
            <w14:solidFill>
              <w14:schemeClr w14:val="tx1"/>
            </w14:solidFill>
          </w14:textFill>
        </w:rPr>
        <w:t>各种报监报建报装申报手续及施工所需许可、证件、批件，包括但不限于办理施工许可证（或临时施工许可或夜间施工）、报监手续、余泥排放证、排水手续、排水接驳、排水许可证等及交纳散装水泥专项资金等，由承包人负责办理，并承担相关费用，发包人不另行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w:t>
      </w:r>
      <w:r>
        <w:rPr>
          <w:color w:val="000000" w:themeColor="text1"/>
          <w:highlight w:val="none"/>
          <w:lang w:val="zh-CN"/>
          <w14:textFill>
            <w14:solidFill>
              <w14:schemeClr w14:val="tx1"/>
            </w14:solidFill>
          </w14:textFill>
        </w:rPr>
        <w:t xml:space="preserve">8 </w:t>
      </w:r>
      <w:r>
        <w:rPr>
          <w:rFonts w:hint="eastAsia"/>
          <w:color w:val="000000" w:themeColor="text1"/>
          <w:highlight w:val="none"/>
          <w:lang w:val="zh-CN"/>
          <w14:textFill>
            <w14:solidFill>
              <w14:schemeClr w14:val="tx1"/>
            </w14:solidFill>
          </w14:textFill>
        </w:rPr>
        <w:t>承包人应按照合同约定的标准、规范、工程的功能、规模、考核目标和竣工日期，完成采购、施工、竣工试验和（或）指导竣工后试验等工作，不得违反国家强制性标准、规范的规定。</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w:t>
      </w:r>
      <w:r>
        <w:rPr>
          <w:color w:val="000000" w:themeColor="text1"/>
          <w:highlight w:val="none"/>
          <w:lang w:val="zh-CN"/>
          <w14:textFill>
            <w14:solidFill>
              <w14:schemeClr w14:val="tx1"/>
            </w14:solidFill>
          </w14:textFill>
        </w:rPr>
        <w:t xml:space="preserve">9 </w:t>
      </w:r>
      <w:r>
        <w:rPr>
          <w:rFonts w:hint="eastAsia"/>
          <w:color w:val="000000" w:themeColor="text1"/>
          <w:highlight w:val="none"/>
          <w:lang w:val="zh-CN"/>
          <w14:textFill>
            <w14:solidFill>
              <w14:schemeClr w14:val="tx1"/>
            </w14:solidFill>
          </w14:textFill>
        </w:rPr>
        <w:t>承包人应按合同约定，自费修复设计、文件、设备、材料、部件、施工中存在的缺陷、或在竣工试验和竣工后试验中发现的缺陷。</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 xml:space="preserve">0 </w:t>
      </w:r>
      <w:r>
        <w:rPr>
          <w:rFonts w:hint="eastAsia"/>
          <w:color w:val="000000" w:themeColor="text1"/>
          <w:highlight w:val="none"/>
          <w:lang w:val="zh-CN"/>
          <w14:textFill>
            <w14:solidFill>
              <w14:schemeClr w14:val="tx1"/>
            </w14:solidFill>
          </w14:textFill>
        </w:rPr>
        <w:t>做好施工现场地下管线和邻近建筑物、构造物、文物古迹的保护工作，负责周边建筑物安全鉴定等；负责保护、维护本合同段内的一切测量标志、标桩。否则，承包人要承担经济与法律的责任。承包人在开工前应对设计图纸上标示的地面、地下各种管线向管线业主及在现场进一步落实，承包人不能以图纸及资料无标示或标示不清而推卸损坏管线责任；且承包人对现场阻碍施工的因素有充分的认识，能有相应的组织措施、保护方案根据现场实际组织施工，相应的费用已综合考虑。</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 xml:space="preserve">1 </w:t>
      </w:r>
      <w:r>
        <w:rPr>
          <w:rFonts w:hint="eastAsia"/>
          <w:color w:val="000000" w:themeColor="text1"/>
          <w:highlight w:val="none"/>
          <w:lang w:val="zh-CN"/>
          <w14:textFill>
            <w14:solidFill>
              <w14:schemeClr w14:val="tx1"/>
            </w14:solidFill>
          </w14:textFill>
        </w:rPr>
        <w:t>承包人负责在施工过程中及完工后对现场进行清理、分类堆放，将残余物、废弃物、垃圾等运往发包人、或当地有关部门指定的地点，并承担清理现场的费用。承包人应将不再使用的机具、设备、设施和临时工程等撤离现场，或运到发包人指定的场地。否则，要承担因违反有关规定所造成的损失和支付违约金。</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 xml:space="preserve">2 </w:t>
      </w:r>
      <w:r>
        <w:rPr>
          <w:rFonts w:hint="eastAsia"/>
          <w:color w:val="000000" w:themeColor="text1"/>
          <w:highlight w:val="none"/>
          <w:lang w:val="zh-CN"/>
          <w14:textFill>
            <w14:solidFill>
              <w14:schemeClr w14:val="tx1"/>
            </w14:solidFill>
          </w14:textFill>
        </w:rPr>
        <w:t>承包人应于工程开工14日内，向发包人、工程师提供单项工程施工组织设计，并按批复的施工组织设计进行施工，总监理工程师应于承包人提交施工组织设计（方案）14天内出具批复意见，如施工组织设计（方案）未获总监理工程师批准而进行施工，总监理工程师有权下达停工令，责令承包人停工整改，由此造成的损失由承包人自行承担，工期不予顺延。承包人应保证按照施工组织设计中的资源投入计划，将工程施工所需的机械设备、人员、材料等资源，根据工程进度计划按时、按标准、足额投入；承包人项目管理机构中各级管理人员和所使用的机械设备的标准与数量不得低于国家规定及投标承诺的标准与数量。</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3</w:t>
      </w:r>
      <w:r>
        <w:rPr>
          <w:rFonts w:hint="eastAsia"/>
          <w:color w:val="000000" w:themeColor="text1"/>
          <w:highlight w:val="none"/>
          <w:lang w:val="zh-CN"/>
          <w14:textFill>
            <w14:solidFill>
              <w14:schemeClr w14:val="tx1"/>
            </w14:solidFill>
          </w14:textFill>
        </w:rPr>
        <w:t xml:space="preserve"> 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正常办公和经营，承包人承担由此而产生的一切费用，发包人不另行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4</w:t>
      </w:r>
      <w:r>
        <w:rPr>
          <w:rFonts w:hint="eastAsia"/>
          <w:color w:val="000000" w:themeColor="text1"/>
          <w:highlight w:val="none"/>
          <w:lang w:val="zh-CN"/>
          <w14:textFill>
            <w14:solidFill>
              <w14:schemeClr w14:val="tx1"/>
            </w14:solidFill>
          </w14:textFill>
        </w:rPr>
        <w:t xml:space="preserve"> 严格遵守国家、省、市有关防火、爆破和施工安全以及文明施工、夜间施工、环卫和城管等规定，建立规章制度和防护措施，并承担由于自身措施不力造成事故的责任和发生的费用。承包人不按安全文明施工的要求和规定进行施工，在发包人或工程师发出通知5日内，承包人应按要求进行整改，如承包人不整改或整改后仍达不到要求的，发包人有权单方委托第三人进行整改，所发生的费用由承包人承担，发包人可在应付的合同费用或履约保证金内直接抵扣。</w:t>
      </w:r>
    </w:p>
    <w:p>
      <w:pPr>
        <w:pStyle w:val="168"/>
        <w:spacing w:before="156"/>
        <w:ind w:firstLine="480"/>
        <w:rPr>
          <w:color w:val="000000" w:themeColor="text1"/>
          <w:highlight w:val="none"/>
          <w:lang w:val="zh-CN"/>
          <w14:textFill>
            <w14:solidFill>
              <w14:schemeClr w14:val="tx1"/>
            </w14:solidFill>
          </w14:textFill>
        </w:rPr>
      </w:pPr>
      <w:bookmarkStart w:id="1197" w:name="_Hlk535786866"/>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 xml:space="preserve">5 </w:t>
      </w:r>
      <w:r>
        <w:rPr>
          <w:rFonts w:hint="eastAsia"/>
          <w:color w:val="000000" w:themeColor="text1"/>
          <w:highlight w:val="none"/>
          <w:lang w:val="zh-CN"/>
          <w14:textFill>
            <w14:solidFill>
              <w14:schemeClr w14:val="tx1"/>
            </w14:solidFill>
          </w14:textFill>
        </w:rPr>
        <w:t>承包人应制订详细的，针对各项突发事件的应急预案，并按预案的要求作出演练，演练需达到相关法律、法规及规范要求并满足本工程实施需要，承包人承担由此而产生的一切费用，发包人不另行支付。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6</w:t>
      </w:r>
      <w:r>
        <w:rPr>
          <w:rFonts w:hint="eastAsia"/>
          <w:color w:val="000000" w:themeColor="text1"/>
          <w:highlight w:val="none"/>
          <w:lang w:val="zh-CN"/>
          <w14:textFill>
            <w14:solidFill>
              <w14:schemeClr w14:val="tx1"/>
            </w14:solidFill>
          </w14:textFill>
        </w:rPr>
        <w:t xml:space="preserve"> 承包人对施工图、技术资料做认真的复核和检查，有预见性的发现和指正设计缺陷和错误，应提出能实质性地节约资金和缩短工期的建议和措施，并书面通知发包人。</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 xml:space="preserve">7 </w:t>
      </w:r>
      <w:r>
        <w:rPr>
          <w:rFonts w:hint="eastAsia"/>
          <w:color w:val="000000" w:themeColor="text1"/>
          <w:highlight w:val="none"/>
          <w:lang w:val="zh-CN"/>
          <w14:textFill>
            <w14:solidFill>
              <w14:schemeClr w14:val="tx1"/>
            </w14:solidFill>
          </w14:textFill>
        </w:rPr>
        <w:t>干扰与协调</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fldChar w:fldCharType="begin"/>
      </w:r>
      <w:r>
        <w:rPr>
          <w:rFonts w:hint="eastAsia" w:ascii="宋体" w:cs="Microsoft JhengHei Light"/>
          <w:color w:val="000000" w:themeColor="text1"/>
          <w:kern w:val="0"/>
          <w:sz w:val="24"/>
          <w:szCs w:val="28"/>
          <w:highlight w:val="none"/>
          <w:lang w:val="zh-CN"/>
          <w14:textFill>
            <w14:solidFill>
              <w14:schemeClr w14:val="tx1"/>
            </w14:solidFill>
          </w14:textFill>
        </w:rPr>
        <w:instrText xml:space="preserve"> = 1 \* GB3 </w:instrTex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separate"/>
      </w:r>
      <w:r>
        <w:rPr>
          <w:rFonts w:hint="eastAsia" w:ascii="宋体" w:cs="Microsoft JhengHei Light"/>
          <w:color w:val="000000" w:themeColor="text1"/>
          <w:kern w:val="0"/>
          <w:sz w:val="24"/>
          <w:szCs w:val="28"/>
          <w:highlight w:val="none"/>
          <w:lang w:val="zh-CN"/>
          <w14:textFill>
            <w14:solidFill>
              <w14:schemeClr w14:val="tx1"/>
            </w14:solidFill>
          </w14:textFill>
        </w:rPr>
        <w:t>①</w: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end"/>
      </w:r>
      <w:r>
        <w:rPr>
          <w:rFonts w:hint="eastAsia" w:ascii="宋体" w:cs="Microsoft JhengHei Light"/>
          <w:color w:val="000000" w:themeColor="text1"/>
          <w:kern w:val="0"/>
          <w:sz w:val="24"/>
          <w:szCs w:val="28"/>
          <w:highlight w:val="none"/>
          <w:lang w:val="zh-CN"/>
          <w14:textFill>
            <w14:solidFill>
              <w14:schemeClr w14:val="tx1"/>
            </w14:solidFill>
          </w14:textFill>
        </w:rPr>
        <w:t>承包人应当清楚地预计到施工期间对外界可能产生的不可避免的干扰，并为此保证主动努力减少这些干扰对外界的影响，且应当积极主动与外界进行协调。</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fldChar w:fldCharType="begin"/>
      </w:r>
      <w:r>
        <w:rPr>
          <w:rFonts w:hint="eastAsia" w:ascii="宋体" w:cs="Microsoft JhengHei Light"/>
          <w:color w:val="000000" w:themeColor="text1"/>
          <w:kern w:val="0"/>
          <w:sz w:val="24"/>
          <w:szCs w:val="28"/>
          <w:highlight w:val="none"/>
          <w:lang w:val="zh-CN"/>
          <w14:textFill>
            <w14:solidFill>
              <w14:schemeClr w14:val="tx1"/>
            </w14:solidFill>
          </w14:textFill>
        </w:rPr>
        <w:instrText xml:space="preserve"> = 2 \* GB3 </w:instrTex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separate"/>
      </w:r>
      <w:r>
        <w:rPr>
          <w:rFonts w:hint="eastAsia" w:ascii="宋体" w:cs="Microsoft JhengHei Light"/>
          <w:color w:val="000000" w:themeColor="text1"/>
          <w:kern w:val="0"/>
          <w:sz w:val="24"/>
          <w:szCs w:val="28"/>
          <w:highlight w:val="none"/>
          <w:lang w:val="zh-CN"/>
          <w14:textFill>
            <w14:solidFill>
              <w14:schemeClr w14:val="tx1"/>
            </w14:solidFill>
          </w14:textFill>
        </w:rPr>
        <w:t>②</w: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end"/>
      </w:r>
      <w:r>
        <w:rPr>
          <w:rFonts w:hint="eastAsia" w:ascii="宋体" w:cs="Microsoft JhengHei Light"/>
          <w:color w:val="000000" w:themeColor="text1"/>
          <w:kern w:val="0"/>
          <w:sz w:val="24"/>
          <w:szCs w:val="28"/>
          <w:highlight w:val="none"/>
          <w:lang w:val="zh-CN"/>
          <w14:textFill>
            <w14:solidFill>
              <w14:schemeClr w14:val="tx1"/>
            </w14:solidFill>
          </w14:textFill>
        </w:rPr>
        <w:t>承包人应当清楚并充分预计到在施工场地等工作的各种困难及其对工程进展的不利影响。对此，承包人应积极主动做好协调、配合工作，并尽量创造各种条件和采取各种有效措施，以确保工程顺利推进及工期目标的实现。这种困难或影响不能免除承包人对工期目标未能实现的责任，并不得以此为理由要求顺延工期或增加各种费用。</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fldChar w:fldCharType="begin"/>
      </w:r>
      <w:r>
        <w:rPr>
          <w:rFonts w:hint="eastAsia" w:ascii="宋体" w:cs="Microsoft JhengHei Light"/>
          <w:color w:val="000000" w:themeColor="text1"/>
          <w:kern w:val="0"/>
          <w:sz w:val="24"/>
          <w:szCs w:val="28"/>
          <w:highlight w:val="none"/>
          <w:lang w:val="zh-CN"/>
          <w14:textFill>
            <w14:solidFill>
              <w14:schemeClr w14:val="tx1"/>
            </w14:solidFill>
          </w14:textFill>
        </w:rPr>
        <w:instrText xml:space="preserve"> = 3 \* GB3 </w:instrTex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separate"/>
      </w:r>
      <w:r>
        <w:rPr>
          <w:rFonts w:hint="eastAsia" w:ascii="宋体" w:cs="Microsoft JhengHei Light"/>
          <w:color w:val="000000" w:themeColor="text1"/>
          <w:kern w:val="0"/>
          <w:sz w:val="24"/>
          <w:szCs w:val="28"/>
          <w:highlight w:val="none"/>
          <w:lang w:val="zh-CN"/>
          <w14:textFill>
            <w14:solidFill>
              <w14:schemeClr w14:val="tx1"/>
            </w14:solidFill>
          </w14:textFill>
        </w:rPr>
        <w:t>③</w: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end"/>
      </w:r>
      <w:r>
        <w:rPr>
          <w:rFonts w:hint="eastAsia" w:ascii="宋体" w:cs="Microsoft JhengHei Light"/>
          <w:color w:val="000000" w:themeColor="text1"/>
          <w:kern w:val="0"/>
          <w:sz w:val="24"/>
          <w:szCs w:val="28"/>
          <w:highlight w:val="none"/>
          <w:lang w:val="zh-CN"/>
          <w14:textFill>
            <w14:solidFill>
              <w14:schemeClr w14:val="tx1"/>
            </w14:solidFill>
          </w14:textFill>
        </w:rPr>
        <w:t>承包人应负责协调施工期间外界的各种干扰，协调不成，方可书面要求发包人出面协调。</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fldChar w:fldCharType="begin"/>
      </w:r>
      <w:r>
        <w:rPr>
          <w:rFonts w:hint="eastAsia" w:ascii="宋体" w:cs="Microsoft JhengHei Light"/>
          <w:color w:val="000000" w:themeColor="text1"/>
          <w:kern w:val="0"/>
          <w:sz w:val="24"/>
          <w:szCs w:val="28"/>
          <w:highlight w:val="none"/>
          <w:lang w:val="zh-CN"/>
          <w14:textFill>
            <w14:solidFill>
              <w14:schemeClr w14:val="tx1"/>
            </w14:solidFill>
          </w14:textFill>
        </w:rPr>
        <w:instrText xml:space="preserve"> = 4 \* GB3 </w:instrTex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separate"/>
      </w:r>
      <w:r>
        <w:rPr>
          <w:rFonts w:hint="eastAsia" w:ascii="宋体" w:cs="Microsoft JhengHei Light"/>
          <w:color w:val="000000" w:themeColor="text1"/>
          <w:kern w:val="0"/>
          <w:sz w:val="24"/>
          <w:szCs w:val="28"/>
          <w:highlight w:val="none"/>
          <w:lang w:val="zh-CN"/>
          <w14:textFill>
            <w14:solidFill>
              <w14:schemeClr w14:val="tx1"/>
            </w14:solidFill>
          </w14:textFill>
        </w:rPr>
        <w:t>④</w:t>
      </w:r>
      <w:r>
        <w:rPr>
          <w:rFonts w:hint="eastAsia" w:ascii="宋体" w:cs="Microsoft JhengHei Light"/>
          <w:color w:val="000000" w:themeColor="text1"/>
          <w:kern w:val="0"/>
          <w:sz w:val="24"/>
          <w:szCs w:val="28"/>
          <w:highlight w:val="none"/>
          <w:lang w:val="zh-CN"/>
          <w14:textFill>
            <w14:solidFill>
              <w14:schemeClr w14:val="tx1"/>
            </w14:solidFill>
          </w14:textFill>
        </w:rPr>
        <w:fldChar w:fldCharType="end"/>
      </w:r>
      <w:r>
        <w:rPr>
          <w:rFonts w:hint="eastAsia" w:ascii="宋体" w:cs="Microsoft JhengHei Light"/>
          <w:color w:val="000000" w:themeColor="text1"/>
          <w:kern w:val="0"/>
          <w:sz w:val="24"/>
          <w:szCs w:val="28"/>
          <w:highlight w:val="none"/>
          <w:lang w:val="zh-CN"/>
          <w14:textFill>
            <w14:solidFill>
              <w14:schemeClr w14:val="tx1"/>
            </w14:solidFill>
          </w14:textFill>
        </w:rPr>
        <w:t>发包人将在承包人的配合下，充分运用自己对各方面的影响力，尽可能地将外界对工程的干扰减少到最低程度。这种协调并不解除承包人的各项责任与义务。</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4.1.1</w:t>
      </w:r>
      <w:r>
        <w:rPr>
          <w:color w:val="000000" w:themeColor="text1"/>
          <w:highlight w:val="none"/>
          <w:lang w:val="zh-CN"/>
          <w14:textFill>
            <w14:solidFill>
              <w14:schemeClr w14:val="tx1"/>
            </w14:solidFill>
          </w14:textFill>
        </w:rPr>
        <w:t xml:space="preserve">8 </w:t>
      </w:r>
      <w:r>
        <w:rPr>
          <w:rFonts w:hint="eastAsia"/>
          <w:color w:val="000000" w:themeColor="text1"/>
          <w:highlight w:val="none"/>
          <w:lang w:val="zh-CN"/>
          <w14:textFill>
            <w14:solidFill>
              <w14:schemeClr w14:val="tx1"/>
            </w14:solidFill>
          </w14:textFill>
        </w:rPr>
        <w:t>在工程实施过程中，承包人应自主协调相邻工程的关系，并承担相应的协调费用，发包人不另行支付。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w:t>
      </w:r>
      <w:r>
        <w:rPr>
          <w:color w:val="000000" w:themeColor="text1"/>
          <w:highlight w:val="none"/>
          <w:lang w:val="zh-CN"/>
          <w14:textFill>
            <w14:solidFill>
              <w14:schemeClr w14:val="tx1"/>
            </w14:solidFill>
          </w14:textFill>
        </w:rPr>
        <w:t>19</w:t>
      </w:r>
      <w:r>
        <w:rPr>
          <w:rFonts w:hint="eastAsia"/>
          <w:color w:val="000000" w:themeColor="text1"/>
          <w:highlight w:val="none"/>
          <w:lang w:val="zh-CN"/>
          <w14:textFill>
            <w14:solidFill>
              <w14:schemeClr w14:val="tx1"/>
            </w14:solidFill>
          </w14:textFill>
        </w:rPr>
        <w:t xml:space="preserve"> 对于承包人或其分包人以及发包人的专业分包人所雇佣的工人出现的伤亡事故或损失，应由承包人自行负责。对于这类伤亡或损失，发包人不承担任何责任，以及不负担涉及这类伤亡或损失的索赔、诉讼、损害赔偿及其他费用。</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0</w:t>
      </w:r>
      <w:r>
        <w:rPr>
          <w:rFonts w:hint="eastAsia"/>
          <w:color w:val="000000" w:themeColor="text1"/>
          <w:highlight w:val="none"/>
          <w:lang w:val="zh-CN"/>
          <w14:textFill>
            <w14:solidFill>
              <w14:schemeClr w14:val="tx1"/>
            </w14:solidFill>
          </w14:textFill>
        </w:rPr>
        <w:t xml:space="preserve"> 承包人应对本合同段的分包、雇用劳务、运输、供料等委托单位的经济往来全权负责。在工程结束后撤出现场前均应结算清楚。否则，承包人与委托单位之间发生的经济纠纷，应由承包人承担一切经济和法律责任，如有必要，发包人有权从应支付给承包人的工程款中扣除部分款项用于上述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1</w:t>
      </w:r>
      <w:r>
        <w:rPr>
          <w:rFonts w:hint="eastAsia"/>
          <w:color w:val="000000" w:themeColor="text1"/>
          <w:highlight w:val="none"/>
          <w:lang w:val="zh-CN"/>
          <w14:textFill>
            <w14:solidFill>
              <w14:schemeClr w14:val="tx1"/>
            </w14:solidFill>
          </w14:textFill>
        </w:rPr>
        <w:t xml:space="preserve"> 承包人应承担工程总承包合同规定应由承包人承担的合同风险，除了合同规定可以变更的情况之外，不得以其它名义要求发包人变更合同价格或工期。</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2</w:t>
      </w:r>
      <w:r>
        <w:rPr>
          <w:rFonts w:hint="eastAsia"/>
          <w:color w:val="000000" w:themeColor="text1"/>
          <w:highlight w:val="none"/>
          <w:lang w:val="zh-CN"/>
          <w14:textFill>
            <w14:solidFill>
              <w14:schemeClr w14:val="tx1"/>
            </w14:solidFill>
          </w14:textFill>
        </w:rPr>
        <w:t xml:space="preserve"> 本工程竣工验收后7天内，承包人应对施工场地进行清理，并达到发包人要求，否则应无条件重新组织清理，并承担相应的费用，发包人不另行支付。且无条件修复因承包人施工造成的道路、围墙等被损坏的设施，并达到发包人及工程师要求。</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3</w:t>
      </w:r>
      <w:r>
        <w:rPr>
          <w:rFonts w:hint="eastAsia"/>
          <w:color w:val="000000" w:themeColor="text1"/>
          <w:highlight w:val="none"/>
          <w:lang w:val="zh-CN"/>
          <w14:textFill>
            <w14:solidFill>
              <w14:schemeClr w14:val="tx1"/>
            </w14:solidFill>
          </w14:textFill>
        </w:rPr>
        <w:t xml:space="preserve"> 承包人应对其施工人员、管理人员及分包人的相关人员给予适当的指导、监督和培训，提高安全文明施工意识，以保证工程的质量与安全。承包人负责组织工人进行上岗培训和安全教育，并负责办理工人相关上岗证件，保证工人持证上岗并执行当地主管部门其他管理规定，费用由承包人承担。</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 xml:space="preserve">4 </w:t>
      </w:r>
      <w:r>
        <w:rPr>
          <w:rFonts w:hint="eastAsia"/>
          <w:color w:val="000000" w:themeColor="text1"/>
          <w:highlight w:val="none"/>
          <w:lang w:val="zh-CN"/>
          <w14:textFill>
            <w14:solidFill>
              <w14:schemeClr w14:val="tx1"/>
            </w14:solidFill>
          </w14:textFill>
        </w:rPr>
        <w:t>在本项目竣工验收后的有效使用期内，承包人应继续承担因施工原因而引起的质量责任。</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 xml:space="preserve">5 </w:t>
      </w:r>
      <w:r>
        <w:rPr>
          <w:rFonts w:hint="eastAsia"/>
          <w:color w:val="000000" w:themeColor="text1"/>
          <w:highlight w:val="none"/>
          <w:lang w:val="zh-CN"/>
          <w14:textFill>
            <w14:solidFill>
              <w14:schemeClr w14:val="tx1"/>
            </w14:solidFill>
          </w14:textFill>
        </w:rPr>
        <w:t>承包人应按相关主管部门的要求建立工程档案管理制度（包括质量档案、文秘档案、安全保护、环保、卫生防疫、廉政建设等档案），做好工程档案管理，其费用已含入合同价格中，发包人不另行支付。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6</w:t>
      </w:r>
      <w:r>
        <w:rPr>
          <w:rFonts w:hint="eastAsia"/>
          <w:color w:val="000000" w:themeColor="text1"/>
          <w:highlight w:val="none"/>
          <w:lang w:val="zh-CN"/>
          <w14:textFill>
            <w14:solidFill>
              <w14:schemeClr w14:val="tx1"/>
            </w14:solidFill>
          </w14:textFill>
        </w:rPr>
        <w:t xml:space="preserve"> 发包人有权根据实际需要，对现场的计量工作进行核实，当发包人要求对工程的任何一部分的计量工作核实时，承包人应免费提供所需的一切详细资料，并分别派出合格代表前往协助核实工作。</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 xml:space="preserve">7 </w:t>
      </w:r>
      <w:r>
        <w:rPr>
          <w:rFonts w:hint="eastAsia"/>
          <w:color w:val="000000" w:themeColor="text1"/>
          <w:highlight w:val="none"/>
          <w:lang w:val="zh-CN"/>
          <w14:textFill>
            <w14:solidFill>
              <w14:schemeClr w14:val="tx1"/>
            </w14:solidFill>
          </w14:textFill>
        </w:rPr>
        <w:t>承包人应作好项目审计、稽查和检查等的配合：</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①与本工程项目相关的审计和稽查，承包人应高度重视并委派专人积极予以配合，对审计和稽查的有关意见承包人应无条件地及时整改。</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②有关单位对本项目的各种检查和视察等活动，承包人有义务予以积极配合开展工作。</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③本项目有关的各类统计报表和汇报材料包括项目后评价报告，承包人有义务配合发包人做好编制工作，并提供所需数量的相应资料。</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④承包人应按发包人和有关文件要求，建立相应的计量、支付和变更台帐，同时承包人应配合发包人建立相应的台帐，发包人、承包人、监理人三方各自的台帐应相应保持一致并保持其持续有效直至工程决算完成。</w:t>
      </w:r>
    </w:p>
    <w:p>
      <w:pPr>
        <w:snapToGrid w:val="0"/>
        <w:spacing w:line="360" w:lineRule="auto"/>
        <w:ind w:firstLine="482"/>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⑤上述各项工作或配合产生的一切费用均已含入合同价格中，发包人不另行支付。</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4.1.2</w:t>
      </w:r>
      <w:r>
        <w:rPr>
          <w:color w:val="000000" w:themeColor="text1"/>
          <w:highlight w:val="none"/>
          <w:lang w:val="zh-CN"/>
          <w14:textFill>
            <w14:solidFill>
              <w14:schemeClr w14:val="tx1"/>
            </w14:solidFill>
          </w14:textFill>
        </w:rPr>
        <w:t xml:space="preserve">8 </w:t>
      </w:r>
      <w:r>
        <w:rPr>
          <w:rFonts w:hint="eastAsia"/>
          <w:color w:val="000000" w:themeColor="text1"/>
          <w:highlight w:val="none"/>
          <w:lang w:val="zh-CN"/>
          <w14:textFill>
            <w14:solidFill>
              <w14:schemeClr w14:val="tx1"/>
            </w14:solidFill>
          </w14:textFill>
        </w:rPr>
        <w:t>特殊或大型施工便道费用可纳入预算，具体标准由发包人另行确定。</w:t>
      </w:r>
      <w:bookmarkEnd w:id="1197"/>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w:t>
      </w:r>
      <w:r>
        <w:rPr>
          <w:color w:val="000000" w:themeColor="text1"/>
          <w:highlight w:val="none"/>
          <w:lang w:val="zh-CN"/>
          <w14:textFill>
            <w14:solidFill>
              <w14:schemeClr w14:val="tx1"/>
            </w14:solidFill>
          </w14:textFill>
        </w:rPr>
        <w:t xml:space="preserve">29 </w:t>
      </w:r>
      <w:r>
        <w:rPr>
          <w:rFonts w:hint="eastAsia"/>
          <w:color w:val="000000" w:themeColor="text1"/>
          <w:highlight w:val="none"/>
          <w:lang w:val="zh-CN"/>
          <w14:textFill>
            <w14:solidFill>
              <w14:schemeClr w14:val="tx1"/>
            </w14:solidFill>
          </w14:textFill>
        </w:rPr>
        <w:t>承包人须负责承包工程范围内所有施工任务，包括施工详图设计（深化设计）、各项实验、材料设备采购、施工及施工配合、保护、清洁、保修，不论是永久性的工程或是临时性的工程。</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4.1.3</w:t>
      </w:r>
      <w:r>
        <w:rPr>
          <w:color w:val="000000" w:themeColor="text1"/>
          <w:highlight w:val="none"/>
          <w:lang w:val="zh-CN"/>
          <w14:textFill>
            <w14:solidFill>
              <w14:schemeClr w14:val="tx1"/>
            </w14:solidFill>
          </w14:textFill>
        </w:rPr>
        <w:t xml:space="preserve">0 </w:t>
      </w:r>
      <w:r>
        <w:rPr>
          <w:rFonts w:hint="eastAsia"/>
          <w:color w:val="000000" w:themeColor="text1"/>
          <w:highlight w:val="none"/>
          <w:lang w:val="zh-CN"/>
          <w14:textFill>
            <w14:solidFill>
              <w14:schemeClr w14:val="tx1"/>
            </w14:solidFill>
          </w14:textFill>
        </w:rPr>
        <w:t>因承包人（深化）设计缺陷或失误，使用不合格材料、工程设备，或采用不适当的施工工艺，或施工不当，造成工程不合格的，监理工程师可以随时发出指示，要求承包人拆除和重新施工，承包人应按要求拆除和重新施工直至达到合同要求的质量标准，因承包人原因达不到约定标准的，由承包人承担拆除和重新施工的费用，并自行承担拆耗废弃损失，工期不予顺延。</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4.1.3</w:t>
      </w:r>
      <w:r>
        <w:rPr>
          <w:color w:val="000000" w:themeColor="text1"/>
          <w:highlight w:val="none"/>
          <w:lang w:val="zh-CN"/>
          <w14:textFill>
            <w14:solidFill>
              <w14:schemeClr w14:val="tx1"/>
            </w14:solidFill>
          </w14:textFill>
        </w:rPr>
        <w:t xml:space="preserve">1 </w:t>
      </w:r>
      <w:r>
        <w:rPr>
          <w:rFonts w:hint="eastAsia"/>
          <w:color w:val="000000" w:themeColor="text1"/>
          <w:highlight w:val="none"/>
          <w:lang w:val="zh-CN"/>
          <w14:textFill>
            <w14:solidFill>
              <w14:schemeClr w14:val="tx1"/>
            </w14:solidFill>
          </w14:textFill>
        </w:rPr>
        <w:t>因现场条件限制，项目工程可能分不同时段交付施工，承包人应充分考虑相邻施工段的施工衔接及交界面的处理，发包人不予增加费用。</w:t>
      </w:r>
    </w:p>
    <w:p>
      <w:pPr>
        <w:pStyle w:val="168"/>
        <w:spacing w:before="156"/>
        <w:ind w:firstLine="480"/>
        <w:jc w:val="both"/>
        <w:rPr>
          <w:rFonts w:hAnsi="Times New Roman"/>
          <w:color w:val="000000" w:themeColor="text1"/>
          <w:highlight w:val="none"/>
          <w:lang w:val="zh-CN"/>
          <w14:textFill>
            <w14:solidFill>
              <w14:schemeClr w14:val="tx1"/>
            </w14:solidFill>
          </w14:textFill>
        </w:rPr>
      </w:pPr>
      <w:r>
        <w:rPr>
          <w:rFonts w:hint="eastAsia" w:hAnsi="Times New Roman"/>
          <w:color w:val="000000" w:themeColor="text1"/>
          <w:highlight w:val="none"/>
          <w:lang w:val="zh-CN"/>
          <w14:textFill>
            <w14:solidFill>
              <w14:schemeClr w14:val="tx1"/>
            </w14:solidFill>
          </w14:textFill>
        </w:rPr>
        <w:t>4.1.3</w:t>
      </w:r>
      <w:r>
        <w:rPr>
          <w:rFonts w:hAnsi="Times New Roman"/>
          <w:color w:val="000000" w:themeColor="text1"/>
          <w:highlight w:val="none"/>
          <w:lang w:val="zh-CN"/>
          <w14:textFill>
            <w14:solidFill>
              <w14:schemeClr w14:val="tx1"/>
            </w14:solidFill>
          </w14:textFill>
        </w:rPr>
        <w:t>2</w:t>
      </w:r>
      <w:r>
        <w:rPr>
          <w:rFonts w:hint="eastAsia" w:hAnsi="Times New Roman"/>
          <w:color w:val="000000" w:themeColor="text1"/>
          <w:highlight w:val="none"/>
          <w:lang w:val="zh-CN"/>
          <w14:textFill>
            <w14:solidFill>
              <w14:schemeClr w14:val="tx1"/>
            </w14:solidFill>
          </w14:textFill>
        </w:rPr>
        <w:t xml:space="preserve"> 为保障企业入驻工作顺利开展，承包人应无条件配合发包人做好项目移交使用等相关工作，并不得因此增加除工程建设本身所需费用之外的其他工作经费等费用。</w:t>
      </w:r>
    </w:p>
    <w:p>
      <w:pPr>
        <w:pStyle w:val="168"/>
        <w:spacing w:before="156"/>
        <w:ind w:firstLine="480"/>
        <w:jc w:val="both"/>
        <w:rPr>
          <w:rFonts w:hAnsi="Times New Roman"/>
          <w:color w:val="000000" w:themeColor="text1"/>
          <w:highlight w:val="none"/>
          <w:lang w:val="zh-CN"/>
          <w14:textFill>
            <w14:solidFill>
              <w14:schemeClr w14:val="tx1"/>
            </w14:solidFill>
          </w14:textFill>
        </w:rPr>
      </w:pPr>
      <w:r>
        <w:rPr>
          <w:rFonts w:hint="eastAsia" w:hAnsi="Times New Roman"/>
          <w:color w:val="000000" w:themeColor="text1"/>
          <w:highlight w:val="none"/>
          <w:lang w:val="zh-CN"/>
          <w14:textFill>
            <w14:solidFill>
              <w14:schemeClr w14:val="tx1"/>
            </w14:solidFill>
          </w14:textFill>
        </w:rPr>
        <w:t>4.1.3</w:t>
      </w:r>
      <w:r>
        <w:rPr>
          <w:rFonts w:hAnsi="Times New Roman"/>
          <w:color w:val="000000" w:themeColor="text1"/>
          <w:highlight w:val="none"/>
          <w:lang w:val="zh-CN"/>
          <w14:textFill>
            <w14:solidFill>
              <w14:schemeClr w14:val="tx1"/>
            </w14:solidFill>
          </w14:textFill>
        </w:rPr>
        <w:t>3</w:t>
      </w:r>
      <w:r>
        <w:rPr>
          <w:rFonts w:hint="eastAsia" w:hAnsi="Times New Roman"/>
          <w:color w:val="000000" w:themeColor="text1"/>
          <w:highlight w:val="none"/>
          <w:lang w:val="zh-CN"/>
          <w14:textFill>
            <w14:solidFill>
              <w14:schemeClr w14:val="tx1"/>
            </w14:solidFill>
          </w14:textFill>
        </w:rPr>
        <w:t xml:space="preserve"> 承包人应根据各（子）项目的性质和关系，合理安排各（子）项目的实施时序。</w:t>
      </w:r>
    </w:p>
    <w:p>
      <w:pPr>
        <w:pStyle w:val="168"/>
        <w:spacing w:before="156"/>
        <w:ind w:firstLine="480"/>
        <w:jc w:val="both"/>
        <w:rPr>
          <w:rFonts w:hAnsi="Times New Roman"/>
          <w:color w:val="000000" w:themeColor="text1"/>
          <w:highlight w:val="none"/>
          <w:lang w:val="zh-CN"/>
          <w14:textFill>
            <w14:solidFill>
              <w14:schemeClr w14:val="tx1"/>
            </w14:solidFill>
          </w14:textFill>
        </w:rPr>
      </w:pPr>
      <w:r>
        <w:rPr>
          <w:rFonts w:hint="eastAsia" w:hAnsi="Times New Roman"/>
          <w:color w:val="000000" w:themeColor="text1"/>
          <w:highlight w:val="none"/>
          <w:lang w:val="zh-CN"/>
          <w14:textFill>
            <w14:solidFill>
              <w14:schemeClr w14:val="tx1"/>
            </w14:solidFill>
          </w14:textFill>
        </w:rPr>
        <w:t>4.1.3</w:t>
      </w:r>
      <w:r>
        <w:rPr>
          <w:rFonts w:hAnsi="Times New Roman"/>
          <w:color w:val="000000" w:themeColor="text1"/>
          <w:highlight w:val="none"/>
          <w:lang w:val="zh-CN"/>
          <w14:textFill>
            <w14:solidFill>
              <w14:schemeClr w14:val="tx1"/>
            </w14:solidFill>
          </w14:textFill>
        </w:rPr>
        <w:t>4</w:t>
      </w:r>
      <w:r>
        <w:rPr>
          <w:rFonts w:hint="eastAsia" w:hAnsi="Times New Roman"/>
          <w:color w:val="000000" w:themeColor="text1"/>
          <w:highlight w:val="none"/>
          <w:lang w:val="zh-CN"/>
          <w14:textFill>
            <w14:solidFill>
              <w14:schemeClr w14:val="tx1"/>
            </w14:solidFill>
          </w14:textFill>
        </w:rPr>
        <w:t xml:space="preserve"> 为保障项目资金安全、合理使用，确保专款专用，承包人同意本合同的相关资金使用需服从发包人的资金监管工作。承包人应安全合理的使用有关政府财政资金，如相关款项是使用专项资金的，如发包人发现承包人存在高估冒算等违规行为，则承包人除需承担本合同约定的相应违约责任之外，同时视为其严重违约3次并承担相应责任；如承包人被政府等职能部门（机构）发现存在高估冒算等违规行为，则承包人除需承担本合同约定的相应违约责任之外，同时视为其严重违约5次并承担相应责任。</w:t>
      </w:r>
    </w:p>
    <w:p>
      <w:pPr>
        <w:pStyle w:val="168"/>
        <w:spacing w:before="156"/>
        <w:ind w:firstLine="480"/>
        <w:rPr>
          <w:color w:val="000000" w:themeColor="text1"/>
          <w:highlight w:val="none"/>
          <w:lang w:val="zh-CN"/>
          <w14:textFill>
            <w14:solidFill>
              <w14:schemeClr w14:val="tx1"/>
            </w14:solidFill>
          </w14:textFill>
        </w:rPr>
      </w:pPr>
      <w:r>
        <w:rPr>
          <w:rFonts w:hAnsi="Times New Roman"/>
          <w:color w:val="000000" w:themeColor="text1"/>
          <w:highlight w:val="none"/>
          <w:lang w:val="zh-CN"/>
          <w14:textFill>
            <w14:solidFill>
              <w14:schemeClr w14:val="tx1"/>
            </w14:solidFill>
          </w14:textFill>
        </w:rPr>
        <w:t xml:space="preserve">4.1.35 </w:t>
      </w:r>
      <w:r>
        <w:rPr>
          <w:rFonts w:hAnsi="Times New Roman"/>
          <w:color w:val="000000" w:themeColor="text1"/>
          <w:highlight w:val="none"/>
          <w14:textFill>
            <w14:solidFill>
              <w14:schemeClr w14:val="tx1"/>
            </w14:solidFill>
          </w14:textFill>
        </w:rPr>
        <w:t xml:space="preserve"> </w:t>
      </w:r>
      <w:r>
        <w:rPr>
          <w:rFonts w:hint="eastAsia"/>
          <w:color w:val="000000" w:themeColor="text1"/>
          <w:highlight w:val="none"/>
          <w:lang w:val="zh-CN"/>
          <w14:textFill>
            <w14:solidFill>
              <w14:schemeClr w14:val="tx1"/>
            </w14:solidFill>
          </w14:textFill>
        </w:rPr>
        <w:t>本合同有关条款和补充协议中规定承包人应负的其它责任。</w:t>
      </w:r>
    </w:p>
    <w:p>
      <w:pPr>
        <w:pStyle w:val="196"/>
        <w:spacing w:before="156"/>
        <w:ind w:firstLine="241"/>
        <w:rPr>
          <w:color w:val="000000" w:themeColor="text1"/>
          <w:highlight w:val="none"/>
          <w14:textFill>
            <w14:solidFill>
              <w14:schemeClr w14:val="tx1"/>
            </w14:solidFill>
          </w14:textFill>
        </w:rPr>
      </w:pPr>
      <w:bookmarkStart w:id="1198" w:name="_Toc102746063"/>
      <w:r>
        <w:rPr>
          <w:rFonts w:hint="eastAsia"/>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履约担保</w:t>
      </w:r>
      <w:bookmarkEnd w:id="1198"/>
    </w:p>
    <w:p>
      <w:pPr>
        <w:snapToGrid w:val="0"/>
        <w:spacing w:line="360" w:lineRule="auto"/>
        <w:ind w:firstLine="480" w:firstLineChars="200"/>
        <w:rPr>
          <w:rFonts w:ascii="宋体" w:cs="Microsoft JhengHei Light"/>
          <w:color w:val="000000" w:themeColor="text1"/>
          <w:kern w:val="0"/>
          <w:sz w:val="24"/>
          <w:szCs w:val="28"/>
          <w:highlight w:val="non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 xml:space="preserve">承包人是否提供履约担保： </w:t>
      </w:r>
      <w:r>
        <w:rPr>
          <w:rFonts w:hint="eastAsia" w:ascii="宋体" w:cs="Microsoft JhengHei Light"/>
          <w:color w:val="000000" w:themeColor="text1"/>
          <w:kern w:val="0"/>
          <w:sz w:val="24"/>
          <w:szCs w:val="28"/>
          <w:highlight w:val="none"/>
          <w:u w:val="single"/>
          <w:lang w:val="zh-CN"/>
          <w14:textFill>
            <w14:solidFill>
              <w14:schemeClr w14:val="tx1"/>
            </w14:solidFill>
          </w14:textFill>
        </w:rPr>
        <w:t xml:space="preserve">  </w:t>
      </w:r>
      <w:r>
        <w:rPr>
          <w:rFonts w:hint="eastAsia" w:ascii="宋体" w:cs="Microsoft JhengHei Light"/>
          <w:color w:val="000000" w:themeColor="text1"/>
          <w:kern w:val="0"/>
          <w:sz w:val="24"/>
          <w:szCs w:val="28"/>
          <w:highlight w:val="none"/>
          <w:u w:val="single"/>
          <w14:textFill>
            <w14:solidFill>
              <w14:schemeClr w14:val="tx1"/>
            </w14:solidFill>
          </w14:textFill>
        </w:rPr>
        <w:t xml:space="preserve">是  </w:t>
      </w:r>
      <w:r>
        <w:rPr>
          <w:rFonts w:hint="eastAsia" w:ascii="宋体" w:cs="Microsoft JhengHei Light"/>
          <w:color w:val="000000" w:themeColor="text1"/>
          <w:kern w:val="0"/>
          <w:sz w:val="24"/>
          <w:szCs w:val="28"/>
          <w:highlight w:val="none"/>
          <w:lang w:val="zh-CN"/>
          <w14:textFill>
            <w14:solidFill>
              <w14:schemeClr w14:val="tx1"/>
            </w14:solidFill>
          </w14:textFill>
        </w:rPr>
        <w:t>。</w:t>
      </w:r>
    </w:p>
    <w:p>
      <w:pPr>
        <w:pStyle w:val="23"/>
        <w:snapToGrid w:val="0"/>
        <w:spacing w:line="360" w:lineRule="auto"/>
        <w:ind w:firstLine="480" w:firstLineChars="200"/>
        <w:rPr>
          <w:rFonts w:hAnsi="Times New Roman" w:cs="Microsoft JhengHei Light"/>
          <w:color w:val="000000" w:themeColor="text1"/>
          <w:kern w:val="0"/>
          <w:sz w:val="24"/>
          <w:szCs w:val="28"/>
          <w:highlight w:val="none"/>
          <w:u w:val="single"/>
          <w:lang w:val="zh-CN"/>
          <w14:textFill>
            <w14:solidFill>
              <w14:schemeClr w14:val="tx1"/>
            </w14:solidFill>
          </w14:textFill>
        </w:rPr>
      </w:pPr>
      <w:r>
        <w:rPr>
          <w:rFonts w:hint="eastAsia" w:hAnsi="Times New Roman" w:cs="Microsoft JhengHei Light"/>
          <w:color w:val="000000" w:themeColor="text1"/>
          <w:kern w:val="0"/>
          <w:sz w:val="24"/>
          <w:szCs w:val="28"/>
          <w:highlight w:val="none"/>
          <w:lang w:val="zh-CN"/>
          <w14:textFill>
            <w14:solidFill>
              <w14:schemeClr w14:val="tx1"/>
            </w14:solidFill>
          </w14:textFill>
        </w:rPr>
        <w:t>履约担保的方式、金额及期限:</w:t>
      </w:r>
      <w:r>
        <w:rPr>
          <w:rFonts w:hint="eastAsia" w:hAnsi="Times New Roman" w:cs="Microsoft JhengHei Light"/>
          <w:color w:val="000000" w:themeColor="text1"/>
          <w:kern w:val="0"/>
          <w:sz w:val="24"/>
          <w:szCs w:val="28"/>
          <w:highlight w:val="none"/>
          <w:u w:val="single"/>
          <w:lang w:val="zh-CN"/>
          <w14:textFill>
            <w14:solidFill>
              <w14:schemeClr w14:val="tx1"/>
            </w14:solidFill>
          </w14:textFill>
        </w:rPr>
        <w:t xml:space="preserve">   约定如下  </w:t>
      </w:r>
      <w:r>
        <w:rPr>
          <w:rFonts w:hint="eastAsia" w:hAnsi="Times New Roman" w:cs="Microsoft JhengHei Light"/>
          <w:color w:val="000000" w:themeColor="text1"/>
          <w:kern w:val="0"/>
          <w:sz w:val="24"/>
          <w:szCs w:val="28"/>
          <w:highlight w:val="none"/>
          <w:lang w:val="zh-CN"/>
          <w14:textFill>
            <w14:solidFill>
              <w14:schemeClr w14:val="tx1"/>
            </w14:solidFill>
          </w14:textFill>
        </w:rPr>
        <w:t>。</w:t>
      </w:r>
    </w:p>
    <w:p>
      <w:pPr>
        <w:snapToGrid w:val="0"/>
        <w:spacing w:line="360" w:lineRule="auto"/>
        <w:ind w:firstLine="480" w:firstLineChars="200"/>
        <w:rPr>
          <w:rFonts w:ascii="宋体" w:hAnsi="黑体"/>
          <w:color w:val="000000" w:themeColor="text1"/>
          <w:sz w:val="24"/>
          <w:highlight w:val="none"/>
          <w14:textFill>
            <w14:solidFill>
              <w14:schemeClr w14:val="tx1"/>
            </w14:solidFill>
          </w14:textFill>
        </w:rPr>
      </w:pPr>
      <w:r>
        <w:rPr>
          <w:rFonts w:hint="eastAsia" w:ascii="宋体" w:hAnsi="黑体"/>
          <w:color w:val="000000" w:themeColor="text1"/>
          <w:sz w:val="24"/>
          <w:szCs w:val="28"/>
          <w:highlight w:val="none"/>
          <w14:textFill>
            <w14:solidFill>
              <w14:schemeClr w14:val="tx1"/>
            </w14:solidFill>
          </w14:textFill>
        </w:rPr>
        <w:t>（1）</w:t>
      </w:r>
      <w:r>
        <w:rPr>
          <w:rFonts w:hint="eastAsia" w:ascii="宋体" w:hAnsi="黑体"/>
          <w:color w:val="000000" w:themeColor="text1"/>
          <w:sz w:val="24"/>
          <w:highlight w:val="none"/>
          <w14:textFill>
            <w14:solidFill>
              <w14:schemeClr w14:val="tx1"/>
            </w14:solidFill>
          </w14:textFill>
        </w:rPr>
        <w:t>承包人应按中标价的</w:t>
      </w:r>
      <w:r>
        <w:rPr>
          <w:rFonts w:ascii="宋体" w:hAnsi="黑体"/>
          <w:color w:val="000000" w:themeColor="text1"/>
          <w:sz w:val="24"/>
          <w:highlight w:val="none"/>
          <w14:textFill>
            <w14:solidFill>
              <w14:schemeClr w14:val="tx1"/>
            </w14:solidFill>
          </w14:textFill>
        </w:rPr>
        <w:t>10%</w:t>
      </w:r>
      <w:r>
        <w:rPr>
          <w:rFonts w:hint="eastAsia" w:ascii="宋体" w:hAnsi="黑体"/>
          <w:color w:val="000000" w:themeColor="text1"/>
          <w:sz w:val="24"/>
          <w:highlight w:val="none"/>
          <w14:textFill>
            <w14:solidFill>
              <w14:schemeClr w14:val="tx1"/>
            </w14:solidFill>
          </w14:textFill>
        </w:rPr>
        <w:t>向发包人递交履约担保；</w:t>
      </w:r>
      <w:r>
        <w:rPr>
          <w:rFonts w:hint="eastAsia" w:ascii="宋体" w:hAnsi="黑体"/>
          <w:color w:val="000000" w:themeColor="text1"/>
          <w:sz w:val="24"/>
          <w:szCs w:val="28"/>
          <w:highlight w:val="none"/>
          <w14:textFill>
            <w14:solidFill>
              <w14:schemeClr w14:val="tx1"/>
            </w14:solidFill>
          </w14:textFill>
        </w:rPr>
        <w:t>如果</w:t>
      </w:r>
      <w:r>
        <w:rPr>
          <w:rFonts w:hint="eastAsia" w:ascii="宋体" w:hAnsi="黑体"/>
          <w:color w:val="000000" w:themeColor="text1"/>
          <w:sz w:val="24"/>
          <w:highlight w:val="none"/>
          <w14:textFill>
            <w14:solidFill>
              <w14:schemeClr w14:val="tx1"/>
            </w14:solidFill>
          </w14:textFill>
        </w:rPr>
        <w:t>承包人的履约担保</w:t>
      </w:r>
      <w:r>
        <w:rPr>
          <w:rFonts w:hint="eastAsia" w:ascii="宋体" w:hAnsi="黑体"/>
          <w:color w:val="000000" w:themeColor="text1"/>
          <w:sz w:val="24"/>
          <w:szCs w:val="28"/>
          <w:highlight w:val="none"/>
          <w14:textFill>
            <w14:solidFill>
              <w14:schemeClr w14:val="tx1"/>
            </w14:solidFill>
          </w14:textFill>
        </w:rPr>
        <w:t>是</w:t>
      </w:r>
      <w:r>
        <w:rPr>
          <w:rFonts w:hint="eastAsia" w:ascii="宋体" w:hAnsi="黑体"/>
          <w:color w:val="000000" w:themeColor="text1"/>
          <w:sz w:val="24"/>
          <w:highlight w:val="none"/>
          <w14:textFill>
            <w14:solidFill>
              <w14:schemeClr w14:val="tx1"/>
            </w14:solidFill>
          </w14:textFill>
        </w:rPr>
        <w:t>以银行保函的形式提供，</w:t>
      </w:r>
      <w:r>
        <w:rPr>
          <w:rFonts w:hint="eastAsia" w:ascii="宋体" w:hAnsi="黑体"/>
          <w:color w:val="000000" w:themeColor="text1"/>
          <w:sz w:val="24"/>
          <w:szCs w:val="28"/>
          <w:highlight w:val="none"/>
          <w14:textFill>
            <w14:solidFill>
              <w14:schemeClr w14:val="tx1"/>
            </w14:solidFill>
          </w14:textFill>
        </w:rPr>
        <w:t>则</w:t>
      </w:r>
      <w:r>
        <w:rPr>
          <w:rFonts w:hint="eastAsia" w:ascii="宋体" w:hAnsi="黑体"/>
          <w:color w:val="000000" w:themeColor="text1"/>
          <w:sz w:val="24"/>
          <w:highlight w:val="none"/>
          <w14:textFill>
            <w14:solidFill>
              <w14:schemeClr w14:val="tx1"/>
            </w14:solidFill>
          </w14:textFill>
        </w:rPr>
        <w:t>该银行保函应由在中国注册的国有商业银行开具</w:t>
      </w:r>
      <w:r>
        <w:rPr>
          <w:rFonts w:hint="eastAsia" w:ascii="宋体" w:hAnsi="黑体"/>
          <w:color w:val="000000" w:themeColor="text1"/>
          <w:sz w:val="24"/>
          <w:szCs w:val="28"/>
          <w:highlight w:val="none"/>
          <w14:textFill>
            <w14:solidFill>
              <w14:schemeClr w14:val="tx1"/>
            </w14:solidFill>
          </w14:textFill>
        </w:rPr>
        <w:t>并符合要求</w:t>
      </w:r>
      <w:r>
        <w:rPr>
          <w:rFonts w:hint="eastAsia" w:ascii="宋体" w:hAnsi="黑体"/>
          <w:color w:val="000000" w:themeColor="text1"/>
          <w:sz w:val="24"/>
          <w:highlight w:val="none"/>
          <w14:textFill>
            <w14:solidFill>
              <w14:schemeClr w14:val="tx1"/>
            </w14:solidFill>
          </w14:textFill>
        </w:rPr>
        <w:t>，如承包人提供虚假银行保函</w:t>
      </w:r>
      <w:r>
        <w:rPr>
          <w:rFonts w:hint="eastAsia" w:ascii="宋体" w:hAnsi="黑体"/>
          <w:color w:val="000000" w:themeColor="text1"/>
          <w:sz w:val="24"/>
          <w:szCs w:val="28"/>
          <w:highlight w:val="none"/>
          <w14:textFill>
            <w14:solidFill>
              <w14:schemeClr w14:val="tx1"/>
            </w14:solidFill>
          </w14:textFill>
        </w:rPr>
        <w:t>或未经发包人同意前提下不符合前述要求</w:t>
      </w:r>
      <w:r>
        <w:rPr>
          <w:rFonts w:hint="eastAsia" w:ascii="宋体" w:hAnsi="黑体"/>
          <w:color w:val="000000" w:themeColor="text1"/>
          <w:sz w:val="24"/>
          <w:highlight w:val="none"/>
          <w14:textFill>
            <w14:solidFill>
              <w14:schemeClr w14:val="tx1"/>
            </w14:solidFill>
          </w14:textFill>
        </w:rPr>
        <w:t>，发包人将取消其中标资格，并追究法律责任。</w:t>
      </w:r>
    </w:p>
    <w:p>
      <w:pPr>
        <w:snapToGrid w:val="0"/>
        <w:spacing w:line="360" w:lineRule="auto"/>
        <w:ind w:firstLine="480" w:firstLineChars="200"/>
        <w:rPr>
          <w:rFonts w:ascii="宋体" w:hAnsi="黑体"/>
          <w:color w:val="000000" w:themeColor="text1"/>
          <w:sz w:val="24"/>
          <w:highlight w:val="none"/>
          <w14:textFill>
            <w14:solidFill>
              <w14:schemeClr w14:val="tx1"/>
            </w14:solidFill>
          </w14:textFill>
        </w:rPr>
      </w:pPr>
      <w:r>
        <w:rPr>
          <w:rFonts w:hint="eastAsia" w:ascii="宋体" w:hAnsi="黑体"/>
          <w:color w:val="000000" w:themeColor="text1"/>
          <w:sz w:val="24"/>
          <w:highlight w:val="none"/>
          <w14:textFill>
            <w14:solidFill>
              <w14:schemeClr w14:val="tx1"/>
            </w14:solidFill>
          </w14:textFill>
        </w:rPr>
        <w:t>（</w:t>
      </w:r>
      <w:r>
        <w:rPr>
          <w:rFonts w:ascii="宋体" w:hAnsi="黑体"/>
          <w:color w:val="000000" w:themeColor="text1"/>
          <w:sz w:val="24"/>
          <w:highlight w:val="none"/>
          <w14:textFill>
            <w14:solidFill>
              <w14:schemeClr w14:val="tx1"/>
            </w14:solidFill>
          </w14:textFill>
        </w:rPr>
        <w:t>2</w:t>
      </w:r>
      <w:r>
        <w:rPr>
          <w:rFonts w:hint="eastAsia" w:ascii="宋体" w:hAnsi="黑体"/>
          <w:color w:val="000000" w:themeColor="text1"/>
          <w:sz w:val="24"/>
          <w:highlight w:val="none"/>
          <w14:textFill>
            <w14:solidFill>
              <w14:schemeClr w14:val="tx1"/>
            </w14:solidFill>
          </w14:textFill>
        </w:rPr>
        <w:t>）承包人应在合同签订当天提交《承诺函》，承诺最晚不超过合同签订之日起</w:t>
      </w:r>
      <w:r>
        <w:rPr>
          <w:rFonts w:ascii="宋体" w:hAnsi="黑体"/>
          <w:color w:val="000000" w:themeColor="text1"/>
          <w:sz w:val="24"/>
          <w:highlight w:val="none"/>
          <w14:textFill>
            <w14:solidFill>
              <w14:schemeClr w14:val="tx1"/>
            </w14:solidFill>
          </w14:textFill>
        </w:rPr>
        <w:t>60</w:t>
      </w:r>
      <w:r>
        <w:rPr>
          <w:rFonts w:hint="eastAsia" w:ascii="宋体" w:hAnsi="黑体"/>
          <w:color w:val="000000" w:themeColor="text1"/>
          <w:sz w:val="24"/>
          <w:highlight w:val="none"/>
          <w14:textFill>
            <w14:solidFill>
              <w14:schemeClr w14:val="tx1"/>
            </w14:solidFill>
          </w14:textFill>
        </w:rPr>
        <w:t>天内向发包人提交满足要求的</w:t>
      </w:r>
      <w:r>
        <w:rPr>
          <w:rFonts w:hint="eastAsia" w:ascii="宋体" w:hAnsi="黑体"/>
          <w:color w:val="000000" w:themeColor="text1"/>
          <w:sz w:val="24"/>
          <w:szCs w:val="28"/>
          <w:highlight w:val="none"/>
          <w14:textFill>
            <w14:solidFill>
              <w14:schemeClr w14:val="tx1"/>
            </w14:solidFill>
          </w14:textFill>
        </w:rPr>
        <w:t>不可撤销及见索即付《银行履约保函》</w:t>
      </w:r>
      <w:r>
        <w:rPr>
          <w:rFonts w:hint="eastAsia" w:ascii="宋体" w:hAnsi="黑体"/>
          <w:color w:val="000000" w:themeColor="text1"/>
          <w:sz w:val="24"/>
          <w:highlight w:val="none"/>
          <w14:textFill>
            <w14:solidFill>
              <w14:schemeClr w14:val="tx1"/>
            </w14:solidFill>
          </w14:textFill>
        </w:rPr>
        <w:t>，否则承包人同意每延误</w:t>
      </w:r>
      <w:r>
        <w:rPr>
          <w:rFonts w:ascii="宋体" w:hAnsi="黑体"/>
          <w:color w:val="000000" w:themeColor="text1"/>
          <w:sz w:val="24"/>
          <w:highlight w:val="none"/>
          <w14:textFill>
            <w14:solidFill>
              <w14:schemeClr w14:val="tx1"/>
            </w14:solidFill>
          </w14:textFill>
        </w:rPr>
        <w:t>1</w:t>
      </w:r>
      <w:r>
        <w:rPr>
          <w:rFonts w:hint="eastAsia" w:ascii="宋体" w:hAnsi="黑体"/>
          <w:color w:val="000000" w:themeColor="text1"/>
          <w:sz w:val="24"/>
          <w:highlight w:val="none"/>
          <w14:textFill>
            <w14:solidFill>
              <w14:schemeClr w14:val="tx1"/>
            </w14:solidFill>
          </w14:textFill>
        </w:rPr>
        <w:t>天，按</w:t>
      </w:r>
      <w:r>
        <w:rPr>
          <w:rFonts w:ascii="宋体" w:hAnsi="黑体"/>
          <w:color w:val="000000" w:themeColor="text1"/>
          <w:sz w:val="24"/>
          <w:highlight w:val="none"/>
          <w14:textFill>
            <w14:solidFill>
              <w14:schemeClr w14:val="tx1"/>
            </w14:solidFill>
          </w14:textFill>
        </w:rPr>
        <w:t>5000</w:t>
      </w:r>
      <w:r>
        <w:rPr>
          <w:rFonts w:hint="eastAsia" w:ascii="宋体" w:hAnsi="黑体"/>
          <w:color w:val="000000" w:themeColor="text1"/>
          <w:sz w:val="24"/>
          <w:highlight w:val="none"/>
          <w14:textFill>
            <w14:solidFill>
              <w14:schemeClr w14:val="tx1"/>
            </w14:solidFill>
          </w14:textFill>
        </w:rPr>
        <w:t>元</w:t>
      </w:r>
      <w:r>
        <w:rPr>
          <w:rFonts w:ascii="宋体" w:hAnsi="黑体"/>
          <w:color w:val="000000" w:themeColor="text1"/>
          <w:sz w:val="24"/>
          <w:highlight w:val="none"/>
          <w14:textFill>
            <w14:solidFill>
              <w14:schemeClr w14:val="tx1"/>
            </w14:solidFill>
          </w14:textFill>
        </w:rPr>
        <w:t>/</w:t>
      </w:r>
      <w:r>
        <w:rPr>
          <w:rFonts w:hint="eastAsia" w:ascii="宋体" w:hAnsi="黑体"/>
          <w:color w:val="000000" w:themeColor="text1"/>
          <w:sz w:val="24"/>
          <w:highlight w:val="none"/>
          <w14:textFill>
            <w14:solidFill>
              <w14:schemeClr w14:val="tx1"/>
            </w14:solidFill>
          </w14:textFill>
        </w:rPr>
        <w:t>天向发包人支付违约金，发包人有权从应支付的费用中直接扣除。</w:t>
      </w:r>
    </w:p>
    <w:p>
      <w:pPr>
        <w:snapToGrid w:val="0"/>
        <w:spacing w:line="360" w:lineRule="auto"/>
        <w:ind w:firstLine="480" w:firstLineChars="200"/>
        <w:rPr>
          <w:rFonts w:ascii="宋体" w:hAnsi="黑体"/>
          <w:color w:val="000000" w:themeColor="text1"/>
          <w:sz w:val="24"/>
          <w:highlight w:val="none"/>
          <w14:textFill>
            <w14:solidFill>
              <w14:schemeClr w14:val="tx1"/>
            </w14:solidFill>
          </w14:textFill>
        </w:rPr>
      </w:pPr>
      <w:r>
        <w:rPr>
          <w:rFonts w:hint="eastAsia" w:ascii="宋体" w:hAnsi="黑体"/>
          <w:color w:val="000000" w:themeColor="text1"/>
          <w:sz w:val="24"/>
          <w:highlight w:val="none"/>
          <w14:textFill>
            <w14:solidFill>
              <w14:schemeClr w14:val="tx1"/>
            </w14:solidFill>
          </w14:textFill>
        </w:rPr>
        <w:t>（</w:t>
      </w:r>
      <w:r>
        <w:rPr>
          <w:rFonts w:ascii="宋体" w:hAnsi="黑体"/>
          <w:color w:val="000000" w:themeColor="text1"/>
          <w:sz w:val="24"/>
          <w:highlight w:val="none"/>
          <w14:textFill>
            <w14:solidFill>
              <w14:schemeClr w14:val="tx1"/>
            </w14:solidFill>
          </w14:textFill>
        </w:rPr>
        <w:t>3</w:t>
      </w:r>
      <w:r>
        <w:rPr>
          <w:rFonts w:hint="eastAsia" w:ascii="宋体" w:hAnsi="黑体"/>
          <w:color w:val="000000" w:themeColor="text1"/>
          <w:sz w:val="24"/>
          <w:highlight w:val="none"/>
          <w14:textFill>
            <w14:solidFill>
              <w14:schemeClr w14:val="tx1"/>
            </w14:solidFill>
          </w14:textFill>
        </w:rPr>
        <w:t>）履约保证金的有效期</w:t>
      </w:r>
    </w:p>
    <w:p>
      <w:pPr>
        <w:snapToGrid w:val="0"/>
        <w:spacing w:line="360" w:lineRule="auto"/>
        <w:ind w:firstLine="480" w:firstLineChars="200"/>
        <w:rPr>
          <w:rFonts w:ascii="宋体" w:hAnsi="黑体"/>
          <w:color w:val="000000" w:themeColor="text1"/>
          <w:sz w:val="24"/>
          <w:highlight w:val="none"/>
          <w14:textFill>
            <w14:solidFill>
              <w14:schemeClr w14:val="tx1"/>
            </w14:solidFill>
          </w14:textFill>
        </w:rPr>
      </w:pPr>
      <w:bookmarkStart w:id="1199" w:name="_Hlk525894557"/>
      <w:r>
        <w:rPr>
          <w:rFonts w:hint="eastAsia" w:ascii="宋体" w:hAnsi="黑体"/>
          <w:color w:val="000000" w:themeColor="text1"/>
          <w:sz w:val="24"/>
          <w:highlight w:val="none"/>
          <w14:textFill>
            <w14:solidFill>
              <w14:schemeClr w14:val="tx1"/>
            </w14:solidFill>
          </w14:textFill>
        </w:rPr>
        <w:t>履约保证金的有效期限从合同签订直至项目竣工验收合格之日止</w:t>
      </w:r>
      <w:r>
        <w:rPr>
          <w:rFonts w:hint="eastAsia" w:ascii="宋体" w:hAnsi="黑体"/>
          <w:color w:val="000000" w:themeColor="text1"/>
          <w:sz w:val="24"/>
          <w:szCs w:val="28"/>
          <w:highlight w:val="none"/>
          <w14:textFill>
            <w14:solidFill>
              <w14:schemeClr w14:val="tx1"/>
            </w14:solidFill>
          </w14:textFill>
        </w:rPr>
        <w:t>；如果所提交的履约保函期限不能满足前述规定，承包人须在履约保函到期前一个月提前办理续保手续，发包人不为此支付任何费用</w:t>
      </w:r>
      <w:r>
        <w:rPr>
          <w:rFonts w:hint="eastAsia" w:ascii="宋体" w:hAnsi="黑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黑体"/>
          <w:color w:val="000000" w:themeColor="text1"/>
          <w:sz w:val="24"/>
          <w:highlight w:val="none"/>
          <w14:textFill>
            <w14:solidFill>
              <w14:schemeClr w14:val="tx1"/>
            </w14:solidFill>
          </w14:textFill>
        </w:rPr>
      </w:pPr>
      <w:r>
        <w:rPr>
          <w:rFonts w:hint="eastAsia" w:ascii="宋体" w:hAnsi="黑体"/>
          <w:color w:val="000000" w:themeColor="text1"/>
          <w:sz w:val="24"/>
          <w:highlight w:val="none"/>
          <w14:textFill>
            <w14:solidFill>
              <w14:schemeClr w14:val="tx1"/>
            </w14:solidFill>
          </w14:textFill>
        </w:rPr>
        <w:t>（</w:t>
      </w:r>
      <w:r>
        <w:rPr>
          <w:rFonts w:ascii="宋体" w:hAnsi="黑体"/>
          <w:color w:val="000000" w:themeColor="text1"/>
          <w:sz w:val="24"/>
          <w:highlight w:val="none"/>
          <w14:textFill>
            <w14:solidFill>
              <w14:schemeClr w14:val="tx1"/>
            </w14:solidFill>
          </w14:textFill>
        </w:rPr>
        <w:t>4</w:t>
      </w:r>
      <w:r>
        <w:rPr>
          <w:rFonts w:hint="eastAsia" w:ascii="宋体" w:hAnsi="黑体"/>
          <w:color w:val="000000" w:themeColor="text1"/>
          <w:sz w:val="24"/>
          <w:highlight w:val="none"/>
          <w14:textFill>
            <w14:solidFill>
              <w14:schemeClr w14:val="tx1"/>
            </w14:solidFill>
          </w14:textFill>
        </w:rPr>
        <w:t>）承包人未按本条规定递交履约担保且未经发包人同意，发包人将有权解除合同，承包人的投标担保不予退还，且依法承担相应法律责任。承包人给发包人造成的损失超过投标担保数额的，还应当对超过部分予以赔偿。承包人有异议的，可以向工程所在地向人民法院起诉。</w:t>
      </w:r>
    </w:p>
    <w:bookmarkEnd w:id="1199"/>
    <w:p>
      <w:pPr>
        <w:snapToGrid w:val="0"/>
        <w:spacing w:line="360" w:lineRule="auto"/>
        <w:ind w:firstLine="480" w:firstLineChars="200"/>
        <w:rPr>
          <w:rFonts w:ascii="宋体" w:hAnsi="黑体"/>
          <w:color w:val="000000" w:themeColor="text1"/>
          <w:sz w:val="24"/>
          <w:highlight w:val="none"/>
          <w14:textFill>
            <w14:solidFill>
              <w14:schemeClr w14:val="tx1"/>
            </w14:solidFill>
          </w14:textFill>
        </w:rPr>
      </w:pPr>
      <w:bookmarkStart w:id="1200" w:name="_Hlk525894572"/>
      <w:r>
        <w:rPr>
          <w:rFonts w:hint="eastAsia" w:ascii="宋体" w:hAnsi="黑体"/>
          <w:color w:val="000000" w:themeColor="text1"/>
          <w:sz w:val="24"/>
          <w:highlight w:val="none"/>
          <w14:textFill>
            <w14:solidFill>
              <w14:schemeClr w14:val="tx1"/>
            </w14:solidFill>
          </w14:textFill>
        </w:rPr>
        <w:t>（</w:t>
      </w:r>
      <w:r>
        <w:rPr>
          <w:rFonts w:ascii="宋体" w:hAnsi="黑体"/>
          <w:color w:val="000000" w:themeColor="text1"/>
          <w:sz w:val="24"/>
          <w:highlight w:val="none"/>
          <w14:textFill>
            <w14:solidFill>
              <w14:schemeClr w14:val="tx1"/>
            </w14:solidFill>
          </w14:textFill>
        </w:rPr>
        <w:t>5</w:t>
      </w:r>
      <w:r>
        <w:rPr>
          <w:rFonts w:hint="eastAsia" w:ascii="宋体" w:hAnsi="黑体"/>
          <w:color w:val="000000" w:themeColor="text1"/>
          <w:sz w:val="24"/>
          <w:highlight w:val="none"/>
          <w14:textFill>
            <w14:solidFill>
              <w14:schemeClr w14:val="tx1"/>
            </w14:solidFill>
          </w14:textFill>
        </w:rPr>
        <w:t>）履约保证金管理具体按照南沙开发区有关规定执行</w:t>
      </w:r>
      <w:bookmarkEnd w:id="1200"/>
      <w:r>
        <w:rPr>
          <w:rFonts w:hint="eastAsia" w:ascii="宋体" w:hAnsi="黑体"/>
          <w:color w:val="000000" w:themeColor="text1"/>
          <w:sz w:val="24"/>
          <w:highlight w:val="none"/>
          <w14:textFill>
            <w14:solidFill>
              <w14:schemeClr w14:val="tx1"/>
            </w14:solidFill>
          </w14:textFill>
        </w:rPr>
        <w:t>，如有最新的按照最新的规定执行。</w:t>
      </w:r>
    </w:p>
    <w:p>
      <w:pPr>
        <w:pStyle w:val="196"/>
        <w:spacing w:before="156"/>
        <w:ind w:firstLine="241"/>
        <w:rPr>
          <w:i/>
          <w:iCs/>
          <w:color w:val="000000" w:themeColor="text1"/>
          <w:highlight w:val="none"/>
          <w14:textFill>
            <w14:solidFill>
              <w14:schemeClr w14:val="tx1"/>
            </w14:solidFill>
          </w14:textFill>
        </w:rPr>
      </w:pPr>
      <w:bookmarkStart w:id="1201" w:name="_Toc102746064"/>
      <w:r>
        <w:rPr>
          <w:rFonts w:hint="eastAsia"/>
          <w:color w:val="000000" w:themeColor="text1"/>
          <w:highlight w:val="none"/>
          <w14:textFill>
            <w14:solidFill>
              <w14:schemeClr w14:val="tx1"/>
            </w14:solidFill>
          </w14:textFill>
        </w:rPr>
        <w:t>4.3 施工总承包项目经理、项目技术负责人及其他</w:t>
      </w:r>
      <w:bookmarkEnd w:id="1201"/>
    </w:p>
    <w:p>
      <w:pPr>
        <w:pStyle w:val="168"/>
        <w:spacing w:before="156"/>
        <w:ind w:firstLine="480"/>
        <w:rPr>
          <w:i/>
          <w:iCs/>
          <w:color w:val="000000" w:themeColor="text1"/>
          <w:highlight w:val="none"/>
          <w14:textFill>
            <w14:solidFill>
              <w14:schemeClr w14:val="tx1"/>
            </w14:solidFill>
          </w14:textFill>
        </w:rPr>
      </w:pPr>
      <w:bookmarkStart w:id="1202" w:name="_Hlk102736077"/>
      <w:r>
        <w:rPr>
          <w:rFonts w:hint="eastAsia"/>
          <w:color w:val="000000" w:themeColor="text1"/>
          <w:highlight w:val="none"/>
          <w14:textFill>
            <w14:solidFill>
              <w14:schemeClr w14:val="tx1"/>
            </w14:solidFill>
          </w14:textFill>
        </w:rPr>
        <w:t>4.3.1 施工总承包项目经理姓名：</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r>
        <w:rPr>
          <w:rFonts w:hint="eastAsia"/>
          <w:i/>
          <w:iCs/>
          <w:color w:val="000000" w:themeColor="text1"/>
          <w:highlight w:val="none"/>
          <w14:textFill>
            <w14:solidFill>
              <w14:schemeClr w14:val="tx1"/>
            </w14:solidFill>
          </w14:textFill>
        </w:rPr>
        <w:t>[同项目负责人]</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执业资格或职称类型：</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执业资格证或职称证号码：</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联系电话：</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电子邮箱：</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通信地址：</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bookmarkEnd w:id="1202"/>
    <w:p>
      <w:pPr>
        <w:pStyle w:val="2"/>
        <w:rPr>
          <w:color w:val="000000" w:themeColor="text1"/>
          <w:highlight w:val="none"/>
          <w14:textFill>
            <w14:solidFill>
              <w14:schemeClr w14:val="tx1"/>
            </w14:solidFill>
          </w14:textFill>
        </w:rPr>
      </w:pP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承包人未提交劳动合同，以及没有为工程总承包项目经理缴纳社会保险证明的违约责任：项目经理无权履行职责，由此影响工程进度或发生其它问题的，由承包人承担责任；同时发包人有权要求更换工程总承包项目经理，承包人需按“15.2.3 承包人违约的责任”承担违约责任。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如果在本合同履行期间，承包人连续七日内未任命项目经理，每发生该情形一次，承包人应向发包人承担支付人民币</w:t>
      </w:r>
      <w:r>
        <w:rPr>
          <w:rFonts w:hint="eastAsia" w:ascii="宋体" w:hAnsi="宋体"/>
          <w:color w:val="000000" w:themeColor="text1"/>
          <w:sz w:val="24"/>
          <w:szCs w:val="28"/>
          <w:highlight w:val="none"/>
          <w:u w:val="single"/>
          <w14:textFill>
            <w14:solidFill>
              <w14:schemeClr w14:val="tx1"/>
            </w14:solidFill>
          </w14:textFill>
        </w:rPr>
        <w:t>10</w:t>
      </w:r>
      <w:r>
        <w:rPr>
          <w:rFonts w:hint="eastAsia" w:ascii="宋体" w:hAnsi="宋体"/>
          <w:color w:val="000000" w:themeColor="text1"/>
          <w:sz w:val="24"/>
          <w:szCs w:val="28"/>
          <w:highlight w:val="none"/>
          <w14:textFill>
            <w14:solidFill>
              <w14:schemeClr w14:val="tx1"/>
            </w14:solidFill>
          </w14:textFill>
        </w:rPr>
        <w:t>万元的违约金，并且发包人有权解除本合同，如果本款约定的违约金不足以赔偿发包人的损失，发包人可以另行要求赔偿；如果发包人没有解除本合同，发包人可在工程结算时扣除本款约定的违约金。</w:t>
      </w:r>
    </w:p>
    <w:p>
      <w:pPr>
        <w:snapToGrid w:val="0"/>
        <w:spacing w:line="360" w:lineRule="auto"/>
        <w:ind w:firstLine="48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（3）承包人如需更换项目经理，应具备下列条件：</w:t>
      </w:r>
    </w:p>
    <w:p>
      <w:pPr>
        <w:snapToGrid w:val="0"/>
        <w:spacing w:line="360" w:lineRule="auto"/>
        <w:ind w:firstLine="48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a、新更换的项目经理必须与投标时所报项目经理的专业一致且资格等级一致或高于，资历与工程经验应等于或高于前任代表，且应继续行使合同规定的前任承包人代表的职权和履行相应的义务；②不能同时在其他工程项目中服务；③至少提前7天以书面形式通知发包人，并征得发包人书面同意。</w:t>
      </w:r>
    </w:p>
    <w:p>
      <w:pPr>
        <w:snapToGrid w:val="0"/>
        <w:spacing w:line="360" w:lineRule="auto"/>
        <w:ind w:firstLine="48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b、前任项目经理应与后任项目经理做好交接工作，后任项目经理继续行使合同规定的项目经理的职权和履行相应的义务，承包人应督促做好前述工作，如发现由于项目经理的更换令发包人受到影响，发包人有权扣除罚金最高</w:t>
      </w:r>
      <w:r>
        <w:rPr>
          <w:rFonts w:hint="eastAsia" w:ascii="宋体"/>
          <w:color w:val="000000" w:themeColor="text1"/>
          <w:sz w:val="24"/>
          <w:szCs w:val="28"/>
          <w:highlight w:val="none"/>
          <w:u w:val="single"/>
          <w14:textFill>
            <w14:solidFill>
              <w14:schemeClr w14:val="tx1"/>
            </w14:solidFill>
          </w14:textFill>
        </w:rPr>
        <w:t>5</w:t>
      </w:r>
      <w:r>
        <w:rPr>
          <w:rFonts w:hint="eastAsia" w:ascii="宋体"/>
          <w:color w:val="000000" w:themeColor="text1"/>
          <w:sz w:val="24"/>
          <w:szCs w:val="28"/>
          <w:highlight w:val="none"/>
          <w14:textFill>
            <w14:solidFill>
              <w14:schemeClr w14:val="tx1"/>
            </w14:solidFill>
          </w14:textFill>
        </w:rPr>
        <w:t>万元/每人次（以发包人通知金额为准）。</w:t>
      </w:r>
    </w:p>
    <w:p>
      <w:pPr>
        <w:pStyle w:val="168"/>
        <w:spacing w:before="156"/>
        <w:ind w:firstLine="480"/>
        <w:rPr>
          <w:i/>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项目技术负责人姓名：</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执业资格或职称类型：</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执业资格证或职称证号码：</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联系电话：</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i/>
          <w:i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专职安全员姓名：</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执业资格或职称类型：</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执业资格证或职称证号码：</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left="1189" w:leftChars="566" w:firstLine="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联系电话：</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w:t>
      </w:r>
    </w:p>
    <w:p>
      <w:pPr>
        <w:pStyle w:val="2"/>
        <w:rPr>
          <w:color w:val="000000" w:themeColor="text1"/>
          <w:highlight w:val="none"/>
          <w14:textFill>
            <w14:solidFill>
              <w14:schemeClr w14:val="tx1"/>
            </w14:solidFill>
          </w14:textFill>
        </w:rPr>
      </w:pP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工程总承包项目经理每月在现场的时间要求：项目经理每月在现场时间不得少于 24 日。项目经理每月在现场时间未达到合同约定天数的（经发包人同意的除外），每少一天应向发包人支付违约金</w:t>
      </w:r>
      <w:r>
        <w:rPr>
          <w:rFonts w:hint="eastAsia" w:hAnsi="宋体"/>
          <w:color w:val="000000" w:themeColor="text1"/>
          <w:highlight w:val="none"/>
          <w14:textFill>
            <w14:solidFill>
              <w14:schemeClr w14:val="tx1"/>
            </w14:solidFill>
          </w14:textFill>
        </w:rPr>
        <w:t>2万</w:t>
      </w:r>
      <w:r>
        <w:rPr>
          <w:rFonts w:hint="eastAsia"/>
          <w:color w:val="000000" w:themeColor="text1"/>
          <w:highlight w:val="none"/>
          <w14:textFill>
            <w14:solidFill>
              <w14:schemeClr w14:val="tx1"/>
            </w14:solidFill>
          </w14:textFill>
        </w:rPr>
        <w:t>元 。</w:t>
      </w:r>
    </w:p>
    <w:p>
      <w:pPr>
        <w:snapToGrid w:val="0"/>
        <w:spacing w:line="360" w:lineRule="auto"/>
        <w:ind w:firstLine="48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工程总承包项目经理未经批准擅自离开施工现场的违约责任：</w:t>
      </w:r>
      <w:r>
        <w:rPr>
          <w:rFonts w:hint="eastAsia" w:ascii="宋体" w:hAnsi="宋体"/>
          <w:color w:val="000000" w:themeColor="text1"/>
          <w:sz w:val="24"/>
          <w:szCs w:val="28"/>
          <w:highlight w:val="none"/>
          <w:u w:val="single"/>
          <w14:textFill>
            <w14:solidFill>
              <w14:schemeClr w14:val="tx1"/>
            </w14:solidFill>
          </w14:textFill>
        </w:rPr>
        <w:t>项目经理擅离项目现场（包括项目未经发包人事先同意离开项目现场，或者项目经理离开项目现场已事先取得发包人同意但未指定一名有经验的人员临时代行其职责），承包人应就项目经理的每次行为向发包人支付人民币</w:t>
      </w:r>
      <w:r>
        <w:rPr>
          <w:rFonts w:hint="eastAsia" w:ascii="宋体" w:hAnsi="宋体"/>
          <w:color w:val="000000" w:themeColor="text1"/>
          <w:sz w:val="24"/>
          <w:szCs w:val="28"/>
          <w:highlight w:val="none"/>
          <w:u w:val="single"/>
          <w:lang w:val="en-US" w:eastAsia="zh-CN"/>
          <w14:textFill>
            <w14:solidFill>
              <w14:schemeClr w14:val="tx1"/>
            </w14:solidFill>
          </w14:textFill>
        </w:rPr>
        <w:t>2</w:t>
      </w:r>
      <w:r>
        <w:rPr>
          <w:rFonts w:hint="eastAsia" w:ascii="宋体" w:hAnsi="宋体"/>
          <w:color w:val="000000" w:themeColor="text1"/>
          <w:sz w:val="24"/>
          <w:szCs w:val="28"/>
          <w:highlight w:val="none"/>
          <w:u w:val="single"/>
          <w14:textFill>
            <w14:solidFill>
              <w14:schemeClr w14:val="tx1"/>
            </w14:solidFill>
          </w14:textFill>
        </w:rPr>
        <w:t>万元的违约金。如果项目经理每次擅离项目现场连续超过24小时，或者在一个月内擅离现场累计超过48小时，承包人应向发包人支付人民币</w:t>
      </w:r>
      <w:r>
        <w:rPr>
          <w:rFonts w:hint="eastAsia" w:ascii="宋体" w:hAnsi="宋体"/>
          <w:color w:val="000000" w:themeColor="text1"/>
          <w:sz w:val="24"/>
          <w:szCs w:val="28"/>
          <w:highlight w:val="none"/>
          <w:u w:val="single"/>
          <w:lang w:val="en-US" w:eastAsia="zh-CN"/>
          <w14:textFill>
            <w14:solidFill>
              <w14:schemeClr w14:val="tx1"/>
            </w14:solidFill>
          </w14:textFill>
        </w:rPr>
        <w:t>2</w:t>
      </w:r>
      <w:r>
        <w:rPr>
          <w:rFonts w:hint="eastAsia" w:ascii="宋体" w:hAnsi="宋体"/>
          <w:color w:val="000000" w:themeColor="text1"/>
          <w:sz w:val="24"/>
          <w:szCs w:val="28"/>
          <w:highlight w:val="none"/>
          <w:u w:val="single"/>
          <w14:textFill>
            <w14:solidFill>
              <w14:schemeClr w14:val="tx1"/>
            </w14:solidFill>
          </w14:textFill>
        </w:rPr>
        <w:t>万元</w:t>
      </w:r>
      <w:r>
        <w:rPr>
          <w:rFonts w:hint="eastAsia" w:ascii="宋体" w:hAnsi="宋体"/>
          <w:strike/>
          <w:color w:val="000000" w:themeColor="text1"/>
          <w:sz w:val="24"/>
          <w:szCs w:val="28"/>
          <w:highlight w:val="none"/>
          <w:u w:val="single"/>
          <w14:textFill>
            <w14:solidFill>
              <w14:schemeClr w14:val="tx1"/>
            </w14:solidFill>
          </w14:textFill>
        </w:rPr>
        <w:t>/次</w:t>
      </w:r>
      <w:r>
        <w:rPr>
          <w:rFonts w:hint="eastAsia" w:ascii="宋体" w:hAnsi="宋体"/>
          <w:color w:val="000000" w:themeColor="text1"/>
          <w:sz w:val="24"/>
          <w:szCs w:val="28"/>
          <w:highlight w:val="none"/>
          <w:u w:val="single"/>
          <w14:textFill>
            <w14:solidFill>
              <w14:schemeClr w14:val="tx1"/>
            </w14:solidFill>
          </w14:textFill>
        </w:rPr>
        <w:t>的违约金，发包人可在工程结算时扣除本款约定的违约金，而且发包人有权要求承包人无条件更换项目经理，承包人应在收到发包人要求更换项目经理的通知后7天内更换完毕并派驻现场。</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 xml:space="preserve"> 承包人对工程总承包项目经理的授权范围:</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（1）全面主持项目经营管理工作，统筹协调项目进度、质量、安全文明施工等工作，负责组织施工实施过程中政府相关部门的协调工作，并根据合同要求落实各项目标；</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（2）项目经理是本项目安全生产第一责任人；</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（3）接受发包人委托的工程师、设计咨询及施工图审查机构、造价咨询机构或其他授权人员在发包人的授权范围内按合同约定对项目进行监督管理工作；</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（4）负责按照合同约定时间组建项目部，负责督促、保证项目部依据本合同约定按期完成项目建设，确保工程交工后向发包人移交项目部所完成的全部项目，并在质量保修期内按照合同规定承担质量保修责任；</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（5）全面负责本工程计划的实施和检查工作；</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（6）负责对施工人员的合理安排、任用，确保工程按合同要求如期竣工；</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（7）负责工程的资金调配使用，保证工程顺利进行；</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（8）负责整个工程的经济责任制的制定和落实；</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（9）根据项目制管理方法，对工程的全过程进行计划、组织、协调和控制；</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（10）负责组织实施质量、安全、文明施工等管理制度，明确职责和权限，并监督运行。</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（11）在合同约定和公司授权的范围内行使职责权限，决策本工程的各项重大事宜。</w:t>
      </w:r>
    </w:p>
    <w:p>
      <w:pPr>
        <w:pStyle w:val="168"/>
        <w:spacing w:before="156"/>
        <w:ind w:firstLine="480"/>
        <w:rPr>
          <w:rFonts w:hAnsi="宋体"/>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 xml:space="preserve"> 承包人擅自更换工程总承包项目经理的违约责任：</w:t>
      </w:r>
      <w:r>
        <w:rPr>
          <w:rFonts w:hint="eastAsia"/>
          <w:color w:val="000000" w:themeColor="text1"/>
          <w:highlight w:val="none"/>
          <w:u w:val="single"/>
          <w14:textFill>
            <w14:solidFill>
              <w14:schemeClr w14:val="tx1"/>
            </w14:solidFill>
          </w14:textFill>
        </w:rPr>
        <w:t>按“15.2.3 承包人违约的责任”承担违约责任。</w:t>
      </w:r>
    </w:p>
    <w:p>
      <w:pPr>
        <w:pStyle w:val="168"/>
        <w:spacing w:before="156"/>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 xml:space="preserve"> 承包人无正当理由拒绝更换工程总承包项目经理的违约责任:</w:t>
      </w:r>
      <w:r>
        <w:rPr>
          <w:rFonts w:hint="eastAsia"/>
          <w:color w:val="000000" w:themeColor="text1"/>
          <w:highlight w:val="none"/>
          <w:u w:val="single"/>
          <w14:textFill>
            <w14:solidFill>
              <w14:schemeClr w14:val="tx1"/>
            </w14:solidFill>
          </w14:textFill>
        </w:rPr>
        <w:t>按“15.2.3 承包人违约的责任”承担违约责任。</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 xml:space="preserve">8 </w:t>
      </w:r>
      <w:r>
        <w:rPr>
          <w:rFonts w:hint="eastAsia"/>
          <w:color w:val="000000" w:themeColor="text1"/>
          <w:highlight w:val="none"/>
          <w14:textFill>
            <w14:solidFill>
              <w14:schemeClr w14:val="tx1"/>
            </w14:solidFill>
          </w14:textFill>
        </w:rPr>
        <w:t>除本合同其他条款另有约定外，如果项目经理、</w:t>
      </w:r>
      <w:bookmarkStart w:id="1203" w:name="_Hlk102735984"/>
      <w:r>
        <w:rPr>
          <w:rFonts w:hint="eastAsia"/>
          <w:color w:val="000000" w:themeColor="text1"/>
          <w:highlight w:val="none"/>
          <w14:textFill>
            <w14:solidFill>
              <w14:schemeClr w14:val="tx1"/>
            </w14:solidFill>
          </w14:textFill>
        </w:rPr>
        <w:t>项目技术负责人或承包人的现场管理机构主要部门负责人</w:t>
      </w:r>
      <w:bookmarkEnd w:id="1203"/>
      <w:r>
        <w:rPr>
          <w:rFonts w:hint="eastAsia"/>
          <w:color w:val="000000" w:themeColor="text1"/>
          <w:highlight w:val="none"/>
          <w14:textFill>
            <w14:solidFill>
              <w14:schemeClr w14:val="tx1"/>
            </w14:solidFill>
          </w14:textFill>
        </w:rPr>
        <w:t>的实际工作能力和工作表现达不到招标文件明确要求或者工作态度存在严重不足，不适应现场工作需要，发包人有权向承包人提出更换。承包人在收到发包人要求更换的通知后3天内可以向发包人提出整改意见，如发包人不予接受，则承包人必须在收到包人要求更换的通知后7天内无条件更换，所调换来相关人员的资质、资历、学历、职称、业绩、实际工作能力不低于投标书中所承诺的相应人员的综合素质。同时</w:t>
      </w:r>
      <w:r>
        <w:rPr>
          <w:rFonts w:hint="eastAsia"/>
          <w:color w:val="000000" w:themeColor="text1"/>
          <w:highlight w:val="none"/>
          <w:u w:val="single"/>
          <w14:textFill>
            <w14:solidFill>
              <w14:schemeClr w14:val="tx1"/>
            </w14:solidFill>
          </w14:textFill>
        </w:rPr>
        <w:t>承包人需按“15.2.3 承包人违约的责任”承担违约责任。</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color w:val="000000" w:themeColor="text1"/>
          <w:highlight w:val="none"/>
          <w14:textFill>
            <w14:solidFill>
              <w14:schemeClr w14:val="tx1"/>
            </w14:solidFill>
          </w14:textFill>
        </w:rPr>
        <w:t xml:space="preserve">9 </w:t>
      </w:r>
      <w:r>
        <w:rPr>
          <w:rFonts w:hint="eastAsia"/>
          <w:color w:val="000000" w:themeColor="text1"/>
          <w:highlight w:val="none"/>
          <w14:textFill>
            <w14:solidFill>
              <w14:schemeClr w14:val="tx1"/>
            </w14:solidFill>
          </w14:textFill>
        </w:rPr>
        <w:t>由发包人组织的工程会议或工程师组织的每周工地例会，项目经理和项目技术负责人必须出席（经发包人批准除外）。每缺席一次，承包人应按每人每次</w:t>
      </w:r>
      <w:r>
        <w:rPr>
          <w:rFonts w:hint="eastAsia"/>
          <w:color w:val="000000" w:themeColor="text1"/>
          <w:highlight w:val="none"/>
          <w:u w:val="single"/>
          <w14:textFill>
            <w14:solidFill>
              <w14:schemeClr w14:val="tx1"/>
            </w14:solidFill>
          </w14:textFill>
        </w:rPr>
        <w:t>1</w:t>
      </w:r>
      <w:r>
        <w:rPr>
          <w:rFonts w:hint="eastAsia"/>
          <w:color w:val="000000" w:themeColor="text1"/>
          <w:highlight w:val="none"/>
          <w14:textFill>
            <w14:solidFill>
              <w14:schemeClr w14:val="tx1"/>
            </w14:solidFill>
          </w14:textFill>
        </w:rPr>
        <w:t>万元向发包人支付违约金，发包人可在工程结算时扣除本款约定的违约金。如果项目经理或项目技术负责人每人在一个月内累计缺席工地例会二次，发包人有权要求承包人无条件更换项目经理或（和）项目技术负责人，承包人应在收到发包人要求更换项目经理或（和）项目技术负责人的通知后7天内更换完毕并派驻现场。</w:t>
      </w:r>
    </w:p>
    <w:p>
      <w:pPr>
        <w:pStyle w:val="196"/>
        <w:spacing w:before="156"/>
        <w:ind w:firstLine="241"/>
        <w:rPr>
          <w:color w:val="000000" w:themeColor="text1"/>
          <w:highlight w:val="none"/>
          <w14:textFill>
            <w14:solidFill>
              <w14:schemeClr w14:val="tx1"/>
            </w14:solidFill>
          </w14:textFill>
        </w:rPr>
      </w:pPr>
      <w:bookmarkStart w:id="1204" w:name="_Toc102746065"/>
      <w:r>
        <w:rPr>
          <w:rFonts w:hint="eastAsia"/>
          <w:color w:val="000000" w:themeColor="text1"/>
          <w:highlight w:val="none"/>
          <w14:textFill>
            <w14:solidFill>
              <w14:schemeClr w14:val="tx1"/>
            </w14:solidFill>
          </w14:textFill>
        </w:rPr>
        <w:t>4.4 承包人人员</w:t>
      </w:r>
      <w:bookmarkEnd w:id="1204"/>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 人员安排</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承包人提交项目管理机构及施工现场人员安排的报告的期限：</w:t>
      </w:r>
      <w:r>
        <w:rPr>
          <w:rFonts w:hint="eastAsia" w:ascii="宋体"/>
          <w:color w:val="000000" w:themeColor="text1"/>
          <w:sz w:val="24"/>
          <w:szCs w:val="28"/>
          <w:highlight w:val="none"/>
          <w:u w:val="single"/>
          <w14:textFill>
            <w14:solidFill>
              <w14:schemeClr w14:val="tx1"/>
            </w14:solidFill>
          </w14:textFill>
        </w:rPr>
        <w:t>“按合同通用条件4.4.1”</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承包人提交关键人员信息及注册执业资格等证明其具备担任关键人员能力的相关文件的期限：</w:t>
      </w:r>
      <w:r>
        <w:rPr>
          <w:rFonts w:hint="eastAsia" w:ascii="宋体"/>
          <w:color w:val="000000" w:themeColor="text1"/>
          <w:sz w:val="24"/>
          <w:szCs w:val="28"/>
          <w:highlight w:val="none"/>
          <w:u w:val="single"/>
          <w14:textFill>
            <w14:solidFill>
              <w14:schemeClr w14:val="tx1"/>
            </w14:solidFill>
          </w14:textFill>
        </w:rPr>
        <w:t>“按合同通用条件4.4.1”</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4.4.2 关键人员更换</w:t>
      </w:r>
    </w:p>
    <w:p>
      <w:pPr>
        <w:snapToGrid w:val="0"/>
        <w:spacing w:line="360" w:lineRule="auto"/>
        <w:ind w:firstLine="601"/>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承包人擅自更换关键人员的违约责任：</w:t>
      </w:r>
      <w:r>
        <w:rPr>
          <w:rFonts w:hint="eastAsia" w:ascii="宋体"/>
          <w:color w:val="000000" w:themeColor="text1"/>
          <w:sz w:val="24"/>
          <w:szCs w:val="28"/>
          <w:highlight w:val="none"/>
          <w:u w:val="single"/>
          <w14:textFill>
            <w14:solidFill>
              <w14:schemeClr w14:val="tx1"/>
            </w14:solidFill>
          </w14:textFill>
        </w:rPr>
        <w:t>按“15.2.3 承包人违约的责任”承担违约责任。</w:t>
      </w:r>
    </w:p>
    <w:p>
      <w:pPr>
        <w:snapToGrid w:val="0"/>
        <w:spacing w:line="36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承包人无正当理由拒绝撤换关键人员的违约责任：</w:t>
      </w:r>
      <w:r>
        <w:rPr>
          <w:rFonts w:hint="eastAsia" w:ascii="宋体"/>
          <w:color w:val="000000" w:themeColor="text1"/>
          <w:sz w:val="24"/>
          <w:szCs w:val="28"/>
          <w:highlight w:val="none"/>
          <w:u w:val="single"/>
          <w14:textFill>
            <w14:solidFill>
              <w14:schemeClr w14:val="tx1"/>
            </w14:solidFill>
          </w14:textFill>
        </w:rPr>
        <w:t>按“15.2.3 承包人违约的责任”承担违约责任。</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 现场管理关键人员在岗要求</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承包人现场管理关键人员离开施工现场的批准要求：</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承包人现场管理关键人员擅自离开施工现场的违约责任：</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hAnsi="宋体"/>
          <w:color w:val="000000" w:themeColor="text1"/>
          <w:sz w:val="24"/>
          <w:szCs w:val="28"/>
          <w:highlight w:val="none"/>
          <w:u w:val="single"/>
          <w14:textFill>
            <w14:solidFill>
              <w14:schemeClr w14:val="tx1"/>
            </w14:solidFill>
          </w14:textFill>
        </w:rPr>
        <w:t>承包人现场管理关键人员擅离项目现场（包括项目未经发包人事先同意离开项目现场，或者离开项目现场已事先取得发包人同意但未指定一名有经验的人员临时代行其职责），承包人应就现场管理关键人员的每次行为向发包人支付人民币0.2万元的违约金。如果每次擅离项目现场连续超过24小时，或者在一个月内擅离现场累计超过48小时，承包人应向发包人支付人民币1万元的违约金，发包人可在工程结算时扣除本款约定的违约金，而且发包人有权要求承包人无条件更换该关键人员，承包人应在收到发包人要求更换关键人员的通知后7天内更换完毕并派驻现场。</w:t>
      </w:r>
    </w:p>
    <w:p>
      <w:pPr>
        <w:pStyle w:val="196"/>
        <w:spacing w:before="156"/>
        <w:ind w:firstLine="241"/>
        <w:rPr>
          <w:color w:val="000000" w:themeColor="text1"/>
          <w:highlight w:val="none"/>
          <w14:textFill>
            <w14:solidFill>
              <w14:schemeClr w14:val="tx1"/>
            </w14:solidFill>
          </w14:textFill>
        </w:rPr>
      </w:pPr>
      <w:bookmarkStart w:id="1205" w:name="_Toc102746066"/>
      <w:r>
        <w:rPr>
          <w:rFonts w:hint="eastAsia"/>
          <w:color w:val="000000" w:themeColor="text1"/>
          <w:highlight w:val="none"/>
          <w14:textFill>
            <w14:solidFill>
              <w14:schemeClr w14:val="tx1"/>
            </w14:solidFill>
          </w14:textFill>
        </w:rPr>
        <w:t>4.5 分包</w:t>
      </w:r>
      <w:bookmarkEnd w:id="1205"/>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4.5.1 一般约定</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禁止分包的工程包括：</w:t>
      </w:r>
      <w:r>
        <w:rPr>
          <w:rFonts w:hint="eastAsia" w:ascii="宋体"/>
          <w:color w:val="000000" w:themeColor="text1"/>
          <w:sz w:val="24"/>
          <w:szCs w:val="28"/>
          <w:highlight w:val="none"/>
          <w:u w:val="single"/>
          <w14:textFill>
            <w14:solidFill>
              <w14:schemeClr w14:val="tx1"/>
            </w14:solidFill>
          </w14:textFill>
        </w:rPr>
        <w:t>“按合同通用条件4.5.1”</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4.5.2 分包的确定</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允许分包的工程包括：</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其他关于分包的约定：</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w:t>
      </w:r>
      <w:r>
        <w:rPr>
          <w:rFonts w:hint="eastAsia" w:ascii="宋体" w:hAnsi="宋体"/>
          <w:color w:val="000000" w:themeColor="text1"/>
          <w:sz w:val="24"/>
          <w:szCs w:val="28"/>
          <w:highlight w:val="none"/>
          <w14:textFill>
            <w14:solidFill>
              <w14:schemeClr w14:val="tx1"/>
            </w14:solidFill>
          </w14:textFill>
        </w:rPr>
        <w:t>本工程严禁分包单位将工程再分包，分包单位将工程再分包的，一经发现，发包人有权将再分包单位驱逐出场，所造成的经济损失，由承包人负责。情节严重或屡禁再犯时，发包人有权对承包人作违约处置。</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根据省、市有关规定，本合同工程严禁转包。凡属二、三层分包的，都属非法经营。但承包人从有利于保证质量或保证工期的需要出发，可在征得发包人同意下，依法依规将部分工程依法分包，主体工程不能分包，否则发包人不予承认，对其完成的工程量，拒绝验收，不支付费用，并有权解除与承包人的合同关系。因此造成的一切后果概由承包人负责。</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w:t>
      </w:r>
      <w:r>
        <w:rPr>
          <w:rFonts w:hint="eastAsia" w:ascii="宋体" w:hAnsi="宋体"/>
          <w:color w:val="000000" w:themeColor="text1"/>
          <w:sz w:val="24"/>
          <w:szCs w:val="28"/>
          <w:highlight w:val="none"/>
          <w14:textFill>
            <w14:solidFill>
              <w14:schemeClr w14:val="tx1"/>
            </w14:solidFill>
          </w14:textFill>
        </w:rPr>
        <w:t>即使发包人同意分包，并不免除承包人在本合同规定所应承担的全部责任和义务。对分包单位违约及疏忽造成的一切经济损失和责任，均由承包人负责。</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w:t>
      </w:r>
      <w:r>
        <w:rPr>
          <w:rFonts w:hint="eastAsia" w:ascii="宋体" w:hAnsi="宋体"/>
          <w:color w:val="000000" w:themeColor="text1"/>
          <w:sz w:val="24"/>
          <w:szCs w:val="28"/>
          <w:highlight w:val="none"/>
          <w14:textFill>
            <w14:solidFill>
              <w14:schemeClr w14:val="tx1"/>
            </w14:solidFill>
          </w14:textFill>
        </w:rPr>
        <w:t>在承包人承包施工的范围内，若发包人认为有属特殊要求的部分项目工程，承包人不宜承担施工时，双方应本着“质量第一”的原则，选择他人分包来完成。负责分包的施工队伍，可首先由承包人自行选定，但须报经发包人审查同意认为符合条件；否则，发包人有权推荐合适的施工单位与承包人进行协商分包该项工程，其所增加或减少的工程费用、施工期限等有关问题，按原合同文件执行，概由承包人自行处理解决，发包人不承担任何责任。</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5</w:t>
      </w:r>
      <w:r>
        <w:rPr>
          <w:rFonts w:hint="eastAsia" w:hAnsi="Times New Roman" w:cs="Microsoft JhengHei Light"/>
          <w:color w:val="000000" w:themeColor="text1"/>
          <w:sz w:val="24"/>
          <w:szCs w:val="28"/>
          <w:highlight w:val="none"/>
          <w:lang w:val="zh-CN"/>
          <w14:textFill>
            <w14:solidFill>
              <w14:schemeClr w14:val="tx1"/>
            </w14:solidFill>
          </w14:textFill>
        </w:rPr>
        <w:t>）本合同工程的主体及关键性工作必须由承包人自行完成，不得分包。对于非主体、非关键性工程，承包人不具备相应资质的，需经发包人审核批准后分包给具有相应资质和能力的专业单位实施。</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6</w:t>
      </w:r>
      <w:r>
        <w:rPr>
          <w:rFonts w:hint="eastAsia" w:hAnsi="Times New Roman" w:cs="Microsoft JhengHei Light"/>
          <w:color w:val="000000" w:themeColor="text1"/>
          <w:sz w:val="24"/>
          <w:szCs w:val="28"/>
          <w:highlight w:val="none"/>
          <w:lang w:val="zh-CN"/>
          <w14:textFill>
            <w14:solidFill>
              <w14:schemeClr w14:val="tx1"/>
            </w14:solidFill>
          </w14:textFill>
        </w:rPr>
        <w:t>）承包人应严格按照《房屋建筑和市政基础设施工程施工分包管理办法》（建设部令第124号）等相关法律法规规定和本合同的约定做好分包管理工作，禁止将承包的工程进行转包或违法分包，禁止转让、出借企业资质证书或者以其他方式允许他人以本企业名义承揽工程，严禁个人承揽分包工程业务。</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7</w:t>
      </w:r>
      <w:r>
        <w:rPr>
          <w:rFonts w:hint="eastAsia" w:hAnsi="Times New Roman" w:cs="Microsoft JhengHei Light"/>
          <w:color w:val="000000" w:themeColor="text1"/>
          <w:sz w:val="24"/>
          <w:szCs w:val="28"/>
          <w:highlight w:val="none"/>
          <w:lang w:val="zh-CN"/>
          <w14:textFill>
            <w14:solidFill>
              <w14:schemeClr w14:val="tx1"/>
            </w14:solidFill>
          </w14:textFill>
        </w:rPr>
        <w:t>）承包人选择的专业分包单位，应提前30天以上，报请总监理工程师、发包人同意。承包人由于专业分包而产生的费用已包含在本工程合同价款中。如承包人违反本条款第（</w:t>
      </w:r>
      <w:r>
        <w:rPr>
          <w:rFonts w:hint="eastAsia" w:hAnsi="Times New Roman" w:cs="Microsoft JhengHei Light"/>
          <w:color w:val="000000" w:themeColor="text1"/>
          <w:sz w:val="24"/>
          <w:szCs w:val="28"/>
          <w:highlight w:val="none"/>
          <w14:textFill>
            <w14:solidFill>
              <w14:schemeClr w14:val="tx1"/>
            </w14:solidFill>
          </w14:textFill>
        </w:rPr>
        <w:t>4）、（5）</w:t>
      </w:r>
      <w:r>
        <w:rPr>
          <w:rFonts w:hint="eastAsia" w:hAnsi="Times New Roman" w:cs="Microsoft JhengHei Light"/>
          <w:color w:val="000000" w:themeColor="text1"/>
          <w:sz w:val="24"/>
          <w:szCs w:val="28"/>
          <w:highlight w:val="none"/>
          <w:lang w:val="zh-CN"/>
          <w14:textFill>
            <w14:solidFill>
              <w14:schemeClr w14:val="tx1"/>
            </w14:solidFill>
          </w14:textFill>
        </w:rPr>
        <w:t>点的要求承包人须按合同的约定承担违约责任。</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8</w:t>
      </w:r>
      <w:r>
        <w:rPr>
          <w:rFonts w:hint="eastAsia" w:hAnsi="Times New Roman" w:cs="Microsoft JhengHei Light"/>
          <w:color w:val="000000" w:themeColor="text1"/>
          <w:sz w:val="24"/>
          <w:szCs w:val="28"/>
          <w:highlight w:val="none"/>
          <w:lang w:val="zh-CN"/>
          <w14:textFill>
            <w14:solidFill>
              <w14:schemeClr w14:val="tx1"/>
            </w14:solidFill>
          </w14:textFill>
        </w:rPr>
        <w:t>）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9</w:t>
      </w:r>
      <w:r>
        <w:rPr>
          <w:rFonts w:hint="eastAsia" w:hAnsi="Times New Roman" w:cs="Microsoft JhengHei Light"/>
          <w:color w:val="000000" w:themeColor="text1"/>
          <w:sz w:val="24"/>
          <w:szCs w:val="28"/>
          <w:highlight w:val="none"/>
          <w:lang w:val="zh-CN"/>
          <w14:textFill>
            <w14:solidFill>
              <w14:schemeClr w14:val="tx1"/>
            </w14:solidFill>
          </w14:textFill>
        </w:rPr>
        <w:t>）承包人虽然没有将其承包的工程进行分包，但在施工现场所设项目管理机构的项目经理、技术管理人员、核算管理人员、质量管理人员、安全管理人员不是承包人本单位人员的，视同允许他人以本企业名义承揽工程。</w:t>
      </w:r>
    </w:p>
    <w:p>
      <w:pPr>
        <w:pStyle w:val="158"/>
        <w:shd w:val="clear" w:color="auto" w:fill="auto"/>
        <w:snapToGrid w:val="0"/>
        <w:spacing w:before="0" w:line="360" w:lineRule="auto"/>
        <w:ind w:firstLine="620"/>
        <w:jc w:val="both"/>
        <w:rPr>
          <w:rFonts w:hAnsi="Times New Roman" w:cs="Microsoft JhengHei Light"/>
          <w:color w:val="000000" w:themeColor="text1"/>
          <w:sz w:val="24"/>
          <w:szCs w:val="28"/>
          <w:highlight w:val="none"/>
          <w:lang w:val="zh-CN"/>
          <w14:textFill>
            <w14:solidFill>
              <w14:schemeClr w14:val="tx1"/>
            </w14:solidFill>
          </w14:textFill>
        </w:rPr>
      </w:pPr>
      <w:r>
        <w:rPr>
          <w:rFonts w:hint="eastAsia" w:hAnsi="Times New Roman" w:cs="Microsoft JhengHei Light"/>
          <w:color w:val="000000" w:themeColor="text1"/>
          <w:sz w:val="24"/>
          <w:szCs w:val="28"/>
          <w:highlight w:val="none"/>
          <w:lang w:val="zh-CN"/>
          <w14:textFill>
            <w14:solidFill>
              <w14:schemeClr w14:val="tx1"/>
            </w14:solidFill>
          </w14:textFill>
        </w:rPr>
        <w:t>（</w:t>
      </w:r>
      <w:r>
        <w:rPr>
          <w:rFonts w:hint="eastAsia" w:hAnsi="Times New Roman" w:cs="Microsoft JhengHei Light"/>
          <w:color w:val="000000" w:themeColor="text1"/>
          <w:sz w:val="24"/>
          <w:szCs w:val="28"/>
          <w:highlight w:val="none"/>
          <w14:textFill>
            <w14:solidFill>
              <w14:schemeClr w14:val="tx1"/>
            </w14:solidFill>
          </w14:textFill>
        </w:rPr>
        <w:t>10</w:t>
      </w:r>
      <w:r>
        <w:rPr>
          <w:rFonts w:hint="eastAsia" w:hAnsi="Times New Roman" w:cs="Microsoft JhengHei Light"/>
          <w:color w:val="000000" w:themeColor="text1"/>
          <w:sz w:val="24"/>
          <w:szCs w:val="28"/>
          <w:highlight w:val="none"/>
          <w:lang w:val="zh-CN"/>
          <w14:textFill>
            <w14:solidFill>
              <w14:schemeClr w14:val="tx1"/>
            </w14:solidFill>
          </w14:textFill>
        </w:rPr>
        <w:t>）承包人应参照有关约定，在发包人批准分包后5天内将分包单位工程技术管理人员名单及劳动力、施工机械设备投入计划报送发包人且负责落实到位，并接受总监理工程师和发包人代表的查验。</w:t>
      </w:r>
    </w:p>
    <w:p>
      <w:pPr>
        <w:snapToGrid w:val="0"/>
        <w:spacing w:line="360" w:lineRule="auto"/>
        <w:ind w:firstLine="600" w:firstLineChars="25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w:t>
      </w:r>
      <w:r>
        <w:rPr>
          <w:rFonts w:hint="eastAsia" w:ascii="宋体" w:hAnsi="宋体"/>
          <w:color w:val="000000" w:themeColor="text1"/>
          <w:sz w:val="24"/>
          <w:szCs w:val="28"/>
          <w:highlight w:val="none"/>
          <w14:textFill>
            <w14:solidFill>
              <w14:schemeClr w14:val="tx1"/>
            </w14:solidFill>
          </w14:textFill>
        </w:rPr>
        <w:t>下列情况，不应视为分包：</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1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①</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按计件办法提供劳务；</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2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②</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按合同规定的标准购置材料、半成品；</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3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③</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横向联合进行技术攻关，科学试验。</w:t>
      </w:r>
    </w:p>
    <w:p>
      <w:pPr>
        <w:snapToGrid w:val="0"/>
        <w:spacing w:line="360" w:lineRule="auto"/>
        <w:ind w:firstLine="360" w:firstLineChars="15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（12）下列行为，属于违法分包：</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①承包人将专业工程分包给不具备相应资质条件的分包人的；</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②本合同中未有约定，又未经发包人认可，承包人将承包工程中的部分专业工程分包给他人的。</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4.5.5 分包合同价款支付</w:t>
      </w:r>
    </w:p>
    <w:p>
      <w:pPr>
        <w:snapToGrid w:val="0"/>
        <w:spacing w:line="360" w:lineRule="auto"/>
        <w:ind w:firstLine="60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关于分包合同价款支付的约定：</w:t>
      </w:r>
      <w:r>
        <w:rPr>
          <w:rFonts w:hint="eastAsia" w:ascii="宋体"/>
          <w:color w:val="000000" w:themeColor="text1"/>
          <w:sz w:val="24"/>
          <w:szCs w:val="28"/>
          <w:highlight w:val="none"/>
          <w:u w:val="single"/>
          <w14:textFill>
            <w14:solidFill>
              <w14:schemeClr w14:val="tx1"/>
            </w14:solidFill>
          </w14:textFill>
        </w:rPr>
        <w:t>分包合同价款由承包人与分包人结算；承包人应按分包合同约定，按时向分包人支付合同价款。</w:t>
      </w:r>
    </w:p>
    <w:p>
      <w:pPr>
        <w:pStyle w:val="196"/>
        <w:spacing w:before="156"/>
        <w:ind w:firstLine="241"/>
        <w:rPr>
          <w:color w:val="000000" w:themeColor="text1"/>
          <w:highlight w:val="none"/>
          <w14:textFill>
            <w14:solidFill>
              <w14:schemeClr w14:val="tx1"/>
            </w14:solidFill>
          </w14:textFill>
        </w:rPr>
      </w:pPr>
      <w:bookmarkStart w:id="1206" w:name="_Toc102746067"/>
      <w:r>
        <w:rPr>
          <w:rFonts w:hint="eastAsia"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4.6 联合体</w:t>
      </w:r>
      <w:bookmarkEnd w:id="1206"/>
    </w:p>
    <w:p>
      <w:pPr>
        <w:pStyle w:val="168"/>
        <w:spacing w:before="156"/>
        <w:ind w:firstLine="480"/>
        <w:rPr>
          <w:color w:val="000000" w:themeColor="text1"/>
          <w:highlight w:val="none"/>
          <w:u w:val="single"/>
          <w14:textFill>
            <w14:solidFill>
              <w14:schemeClr w14:val="tx1"/>
            </w14:solidFill>
          </w14:textFill>
        </w:rPr>
      </w:pPr>
      <w:r>
        <w:rPr>
          <w:rFonts w:hint="eastAsia"/>
          <w:color w:val="000000" w:themeColor="text1"/>
          <w:szCs w:val="28"/>
          <w:highlight w:val="none"/>
          <w14:textFill>
            <w14:solidFill>
              <w14:schemeClr w14:val="tx1"/>
            </w14:solidFill>
          </w14:textFill>
        </w:rPr>
        <w:t xml:space="preserve">4.6.2 </w:t>
      </w:r>
      <w:r>
        <w:rPr>
          <w:rFonts w:hint="eastAsia"/>
          <w:color w:val="000000" w:themeColor="text1"/>
          <w:highlight w:val="none"/>
          <w14:textFill>
            <w14:solidFill>
              <w14:schemeClr w14:val="tx1"/>
            </w14:solidFill>
          </w14:textFill>
        </w:rPr>
        <w:t>联合体各成员的分工、费用收取、发票开具等事项</w:t>
      </w:r>
    </w:p>
    <w:p>
      <w:pPr>
        <w:snapToGrid w:val="0"/>
        <w:spacing w:line="360" w:lineRule="auto"/>
        <w:ind w:firstLine="480"/>
        <w:rPr>
          <w:rFonts w:ascii="宋体"/>
          <w:color w:val="000000" w:themeColor="text1"/>
          <w:sz w:val="24"/>
          <w:szCs w:val="28"/>
          <w:highlight w:val="none"/>
          <w:u w:val="single"/>
          <w14:textFill>
            <w14:solidFill>
              <w14:schemeClr w14:val="tx1"/>
            </w14:solidFill>
          </w14:textFill>
        </w:rPr>
      </w:pPr>
      <w:r>
        <w:rPr>
          <w:rFonts w:ascii="宋体"/>
          <w:color w:val="000000" w:themeColor="text1"/>
          <w:sz w:val="24"/>
          <w:szCs w:val="28"/>
          <w:highlight w:val="none"/>
          <w14:textFill>
            <w14:solidFill>
              <w14:schemeClr w14:val="tx1"/>
            </w14:solidFill>
          </w14:textFill>
        </w:rPr>
        <w:t>4.6.2.1</w:t>
      </w:r>
      <w:r>
        <w:rPr>
          <w:rFonts w:hint="eastAsia" w:ascii="宋体"/>
          <w:color w:val="000000" w:themeColor="text1"/>
          <w:sz w:val="24"/>
          <w:szCs w:val="28"/>
          <w:highlight w:val="none"/>
          <w14:textFill>
            <w14:solidFill>
              <w14:schemeClr w14:val="tx1"/>
            </w14:solidFill>
          </w14:textFill>
        </w:rPr>
        <w:t>联合体成员分工：</w:t>
      </w:r>
    </w:p>
    <w:p>
      <w:pPr>
        <w:pStyle w:val="2"/>
        <w:ind w:firstLine="480" w:firstLineChars="200"/>
        <w:rPr>
          <w:rFonts w:ascii="宋体"/>
          <w:color w:val="000000" w:themeColor="text1"/>
          <w:kern w:val="2"/>
          <w:sz w:val="24"/>
          <w:szCs w:val="28"/>
          <w:highlight w:val="none"/>
          <w:u w:val="single"/>
          <w14:textFill>
            <w14:solidFill>
              <w14:schemeClr w14:val="tx1"/>
            </w14:solidFill>
          </w14:textFill>
        </w:rPr>
      </w:pPr>
      <w:r>
        <w:rPr>
          <w:rFonts w:hint="eastAsia" w:ascii="宋体"/>
          <w:color w:val="000000" w:themeColor="text1"/>
          <w:kern w:val="2"/>
          <w:sz w:val="24"/>
          <w:szCs w:val="28"/>
          <w:highlight w:val="none"/>
          <w:u w:val="single"/>
          <w14:textFill>
            <w14:solidFill>
              <w14:schemeClr w14:val="tx1"/>
            </w14:solidFill>
          </w14:textFill>
        </w:rPr>
        <w:t>【    】（联合体主办方名称）：负责           ，还应负责施工总承包管理的职责。联合体其他相关方违约时，主办方应承担连带责任。</w:t>
      </w:r>
    </w:p>
    <w:p>
      <w:pPr>
        <w:pStyle w:val="2"/>
        <w:ind w:firstLine="480" w:firstLineChars="200"/>
        <w:rPr>
          <w:rFonts w:ascii="宋体"/>
          <w:color w:val="000000" w:themeColor="text1"/>
          <w:kern w:val="2"/>
          <w:sz w:val="24"/>
          <w:szCs w:val="28"/>
          <w:highlight w:val="none"/>
          <w:u w:val="single"/>
          <w14:textFill>
            <w14:solidFill>
              <w14:schemeClr w14:val="tx1"/>
            </w14:solidFill>
          </w14:textFill>
        </w:rPr>
      </w:pPr>
      <w:r>
        <w:rPr>
          <w:rFonts w:hint="eastAsia" w:ascii="宋体"/>
          <w:color w:val="000000" w:themeColor="text1"/>
          <w:kern w:val="2"/>
          <w:sz w:val="24"/>
          <w:szCs w:val="28"/>
          <w:highlight w:val="none"/>
          <w:u w:val="single"/>
          <w14:textFill>
            <w14:solidFill>
              <w14:schemeClr w14:val="tx1"/>
            </w14:solidFill>
          </w14:textFill>
        </w:rPr>
        <w:t>【    】（成员方单位名称）：负责           ，配合联合体主办方的相关工作及响应招标公告、招标文件、合同约定的条款。联合体其他相关方违约时，成员方应承担连带责任。</w:t>
      </w:r>
    </w:p>
    <w:p>
      <w:pPr>
        <w:snapToGrid w:val="0"/>
        <w:spacing w:line="360" w:lineRule="auto"/>
        <w:ind w:firstLine="48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4.6.2.2费用收取及发票开具：</w:t>
      </w:r>
      <w:r>
        <w:rPr>
          <w:rFonts w:hint="eastAsia" w:ascii="宋体"/>
          <w:color w:val="000000" w:themeColor="text1"/>
          <w:sz w:val="24"/>
          <w:szCs w:val="28"/>
          <w:highlight w:val="none"/>
          <w:u w:val="single"/>
          <w14:textFill>
            <w14:solidFill>
              <w14:schemeClr w14:val="tx1"/>
            </w14:solidFill>
          </w14:textFill>
        </w:rPr>
        <w:t>建安工程费由联合体成员中承担施工职责的一方收取，同时必须提供合同履行地或项目所在地税务部门认可的等值、合法、有效的发票。</w:t>
      </w:r>
    </w:p>
    <w:p>
      <w:pPr>
        <w:snapToGrid w:val="0"/>
        <w:spacing w:line="360" w:lineRule="auto"/>
        <w:ind w:firstLine="48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u w:val="single"/>
          <w14:textFill>
            <w14:solidFill>
              <w14:schemeClr w14:val="tx1"/>
            </w14:solidFill>
          </w14:textFill>
        </w:rPr>
        <w:t>4.6.2.3其他：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w:t>
      </w:r>
      <w:r>
        <w:rPr>
          <w:rFonts w:hint="eastAsia" w:ascii="宋体"/>
          <w:color w:val="000000" w:themeColor="text1"/>
          <w:sz w:val="24"/>
          <w:szCs w:val="28"/>
          <w:highlight w:val="none"/>
          <w14:textFill>
            <w14:solidFill>
              <w14:schemeClr w14:val="tx1"/>
            </w14:solidFill>
          </w14:textFill>
        </w:rPr>
        <w:t>。各承包人为其承包人联合体的其它成员履行本合同的责任向发包人承担连带责任。</w:t>
      </w:r>
    </w:p>
    <w:p>
      <w:pPr>
        <w:pStyle w:val="196"/>
        <w:spacing w:before="156"/>
        <w:ind w:firstLine="241"/>
        <w:rPr>
          <w:color w:val="000000" w:themeColor="text1"/>
          <w:highlight w:val="none"/>
          <w14:textFill>
            <w14:solidFill>
              <w14:schemeClr w14:val="tx1"/>
            </w14:solidFill>
          </w14:textFill>
        </w:rPr>
      </w:pPr>
      <w:bookmarkStart w:id="1207" w:name="_Toc102746068"/>
      <w:r>
        <w:rPr>
          <w:rFonts w:hint="eastAsia"/>
          <w:color w:val="000000" w:themeColor="text1"/>
          <w:highlight w:val="none"/>
          <w14:textFill>
            <w14:solidFill>
              <w14:schemeClr w14:val="tx1"/>
            </w14:solidFill>
          </w14:textFill>
        </w:rPr>
        <w:t>4.7 承包人现场查勘</w:t>
      </w:r>
      <w:bookmarkEnd w:id="1207"/>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4.7.1 双方当事人对现场查勘的责任承担的约定：承包人提交投标文件，视为承包人已对施工现场及周围环境进行了踏勘，并已充分了解评估施工现场及周围环境对工程可能产生的影响，自愿承担相应风险与责任；承包人须慎重使用发包人提供的基础资料，根据实际需要做必要的复核，并自行承担因使用相关基础资料的风险与责任。</w:t>
      </w:r>
    </w:p>
    <w:p>
      <w:pPr>
        <w:pStyle w:val="196"/>
        <w:spacing w:before="156"/>
        <w:ind w:firstLine="241"/>
        <w:rPr>
          <w:color w:val="000000" w:themeColor="text1"/>
          <w:highlight w:val="none"/>
          <w14:textFill>
            <w14:solidFill>
              <w14:schemeClr w14:val="tx1"/>
            </w14:solidFill>
          </w14:textFill>
        </w:rPr>
      </w:pPr>
      <w:bookmarkStart w:id="1208" w:name="_Toc102746069"/>
      <w:r>
        <w:rPr>
          <w:rFonts w:hint="eastAsia"/>
          <w:color w:val="000000" w:themeColor="text1"/>
          <w:highlight w:val="none"/>
          <w14:textFill>
            <w14:solidFill>
              <w14:schemeClr w14:val="tx1"/>
            </w14:solidFill>
          </w14:textFill>
        </w:rPr>
        <w:t>4.8 不可预见的困难</w:t>
      </w:r>
      <w:bookmarkEnd w:id="1208"/>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不可预见的困难包括：</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200"/>
        <w:rPr>
          <w:color w:val="000000" w:themeColor="text1"/>
          <w:highlight w:val="none"/>
          <w14:textFill>
            <w14:solidFill>
              <w14:schemeClr w14:val="tx1"/>
            </w14:solidFill>
          </w14:textFill>
        </w:rPr>
      </w:pPr>
      <w:bookmarkStart w:id="1209" w:name="_Toc31511"/>
      <w:bookmarkStart w:id="1210" w:name="_Toc2409"/>
      <w:bookmarkStart w:id="1211" w:name="_Toc19996"/>
      <w:bookmarkStart w:id="1212" w:name="_Toc13804"/>
      <w:bookmarkStart w:id="1213" w:name="_Toc21371"/>
      <w:bookmarkStart w:id="1214" w:name="_Toc20864"/>
      <w:bookmarkStart w:id="1215" w:name="_Toc20411"/>
      <w:bookmarkStart w:id="1216" w:name="_Toc16288"/>
      <w:bookmarkStart w:id="1217" w:name="_Toc102746070"/>
      <w:bookmarkStart w:id="1218" w:name="_Toc54862336"/>
      <w:bookmarkStart w:id="1219" w:name="bookmark343"/>
      <w:bookmarkStart w:id="1220" w:name="bookmark342"/>
      <w:r>
        <w:rPr>
          <w:rFonts w:hint="eastAsia"/>
          <w:color w:val="000000" w:themeColor="text1"/>
          <w:highlight w:val="none"/>
          <w14:textFill>
            <w14:solidFill>
              <w14:schemeClr w14:val="tx1"/>
            </w14:solidFill>
          </w14:textFill>
        </w:rPr>
        <w:t>第5条 设计</w:t>
      </w:r>
      <w:bookmarkEnd w:id="1209"/>
      <w:bookmarkEnd w:id="1210"/>
      <w:bookmarkEnd w:id="1211"/>
      <w:bookmarkEnd w:id="1212"/>
      <w:bookmarkEnd w:id="1213"/>
      <w:bookmarkEnd w:id="1214"/>
      <w:bookmarkEnd w:id="1215"/>
      <w:bookmarkEnd w:id="1216"/>
      <w:bookmarkEnd w:id="1217"/>
      <w:bookmarkEnd w:id="1218"/>
    </w:p>
    <w:p>
      <w:pPr>
        <w:pStyle w:val="196"/>
        <w:spacing w:before="156"/>
        <w:ind w:firstLine="241"/>
        <w:rPr>
          <w:color w:val="000000" w:themeColor="text1"/>
          <w:highlight w:val="none"/>
          <w14:textFill>
            <w14:solidFill>
              <w14:schemeClr w14:val="tx1"/>
            </w14:solidFill>
          </w14:textFill>
        </w:rPr>
      </w:pPr>
      <w:bookmarkStart w:id="1221" w:name="_Toc102746071"/>
      <w:r>
        <w:rPr>
          <w:rFonts w:hint="eastAsia"/>
          <w:color w:val="000000" w:themeColor="text1"/>
          <w:highlight w:val="none"/>
          <w14:textFill>
            <w14:solidFill>
              <w14:schemeClr w14:val="tx1"/>
            </w14:solidFill>
          </w14:textFill>
        </w:rPr>
        <w:t>5.1 承包人的设计义务</w:t>
      </w:r>
      <w:bookmarkEnd w:id="1221"/>
    </w:p>
    <w:p>
      <w:pPr>
        <w:snapToGrid w:val="0"/>
        <w:spacing w:line="360" w:lineRule="auto"/>
        <w:ind w:firstLine="360" w:firstLineChars="15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u w:val="single"/>
          <w14:textFill>
            <w14:solidFill>
              <w14:schemeClr w14:val="tx1"/>
            </w14:solidFill>
          </w14:textFill>
        </w:rPr>
        <w:t>本条款不适应，全部删除。</w:t>
      </w:r>
    </w:p>
    <w:p>
      <w:pPr>
        <w:pStyle w:val="196"/>
        <w:spacing w:before="156"/>
        <w:ind w:firstLine="241"/>
        <w:rPr>
          <w:color w:val="000000" w:themeColor="text1"/>
          <w:highlight w:val="none"/>
          <w14:textFill>
            <w14:solidFill>
              <w14:schemeClr w14:val="tx1"/>
            </w14:solidFill>
          </w14:textFill>
        </w:rPr>
      </w:pPr>
      <w:bookmarkStart w:id="1222" w:name="_Toc102746072"/>
      <w:r>
        <w:rPr>
          <w:rFonts w:hint="eastAsia"/>
          <w:color w:val="000000" w:themeColor="text1"/>
          <w:highlight w:val="none"/>
          <w14:textFill>
            <w14:solidFill>
              <w14:schemeClr w14:val="tx1"/>
            </w14:solidFill>
          </w14:textFill>
        </w:rPr>
        <w:t>5.2 承包人文件审查</w:t>
      </w:r>
      <w:bookmarkEnd w:id="1222"/>
    </w:p>
    <w:p>
      <w:pPr>
        <w:snapToGrid w:val="0"/>
        <w:spacing w:line="360" w:lineRule="auto"/>
        <w:ind w:firstLine="360" w:firstLineChars="15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u w:val="single"/>
          <w14:textFill>
            <w14:solidFill>
              <w14:schemeClr w14:val="tx1"/>
            </w14:solidFill>
          </w14:textFill>
        </w:rPr>
        <w:t>本条款不适应，全部删除。</w:t>
      </w:r>
    </w:p>
    <w:p>
      <w:pPr>
        <w:pStyle w:val="196"/>
        <w:spacing w:before="156"/>
        <w:ind w:firstLine="241"/>
        <w:rPr>
          <w:color w:val="000000" w:themeColor="text1"/>
          <w:highlight w:val="none"/>
          <w14:textFill>
            <w14:solidFill>
              <w14:schemeClr w14:val="tx1"/>
            </w14:solidFill>
          </w14:textFill>
        </w:rPr>
      </w:pPr>
      <w:bookmarkStart w:id="1223" w:name="_Toc102746073"/>
      <w:r>
        <w:rPr>
          <w:rFonts w:hint="eastAsia"/>
          <w:color w:val="000000" w:themeColor="text1"/>
          <w:highlight w:val="none"/>
          <w14:textFill>
            <w14:solidFill>
              <w14:schemeClr w14:val="tx1"/>
            </w14:solidFill>
          </w14:textFill>
        </w:rPr>
        <w:t>5.3 培训</w:t>
      </w:r>
      <w:bookmarkEnd w:id="1223"/>
    </w:p>
    <w:p>
      <w:pPr>
        <w:snapToGrid w:val="0"/>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培训的时长为</w:t>
      </w:r>
      <w:r>
        <w:rPr>
          <w:rFonts w:ascii="宋体"/>
          <w:color w:val="000000" w:themeColor="text1"/>
          <w:sz w:val="24"/>
          <w:highlight w:val="none"/>
          <w:u w:val="single"/>
          <w14:textFill>
            <w14:solidFill>
              <w14:schemeClr w14:val="tx1"/>
            </w14:solidFill>
          </w14:textFill>
        </w:rPr>
        <w:t xml:space="preserve">       /      </w:t>
      </w:r>
      <w:r>
        <w:rPr>
          <w:rFonts w:hint="eastAsia" w:ascii="宋体"/>
          <w:color w:val="000000" w:themeColor="text1"/>
          <w:sz w:val="24"/>
          <w:highlight w:val="none"/>
          <w14:textFill>
            <w14:solidFill>
              <w14:schemeClr w14:val="tx1"/>
            </w14:solidFill>
          </w14:textFill>
        </w:rPr>
        <w:t>，承包人应为培训提供的人员、设施和其它必要条件为</w:t>
      </w:r>
      <w:r>
        <w:rPr>
          <w:rFonts w:ascii="宋体"/>
          <w:color w:val="000000" w:themeColor="text1"/>
          <w:sz w:val="24"/>
          <w:highlight w:val="none"/>
          <w:u w:val="single"/>
          <w14:textFill>
            <w14:solidFill>
              <w14:schemeClr w14:val="tx1"/>
            </w14:solidFill>
          </w14:textFill>
        </w:rPr>
        <w:t xml:space="preserve">           /            </w:t>
      </w:r>
      <w:r>
        <w:rPr>
          <w:rFonts w:hint="eastAsia" w:ascii="宋体"/>
          <w:color w:val="000000" w:themeColor="text1"/>
          <w:sz w:val="24"/>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24" w:name="_Toc102746074"/>
      <w:r>
        <w:rPr>
          <w:rFonts w:hint="eastAsia"/>
          <w:color w:val="000000" w:themeColor="text1"/>
          <w:highlight w:val="none"/>
          <w14:textFill>
            <w14:solidFill>
              <w14:schemeClr w14:val="tx1"/>
            </w14:solidFill>
          </w14:textFill>
        </w:rPr>
        <w:t>5.4 竣工文件</w:t>
      </w:r>
      <w:bookmarkEnd w:id="1224"/>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5.4.1 竣工文件的形式、提供的份数、技术标准以及其它相关要求：</w:t>
      </w:r>
      <w:r>
        <w:rPr>
          <w:rFonts w:hint="eastAsia"/>
          <w:color w:val="000000" w:themeColor="text1"/>
          <w:highlight w:val="none"/>
          <w:u w:val="single"/>
          <w14:textFill>
            <w14:solidFill>
              <w14:schemeClr w14:val="tx1"/>
            </w14:solidFill>
          </w14:textFill>
        </w:rPr>
        <w:t>按“合同条件10.3.2”</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5.4.3 关于竣工文件的其他约定：</w:t>
      </w:r>
      <w:r>
        <w:rPr>
          <w:rFonts w:hint="eastAsia"/>
          <w:color w:val="000000" w:themeColor="text1"/>
          <w:highlight w:val="none"/>
          <w:u w:val="single"/>
          <w14:textFill>
            <w14:solidFill>
              <w14:schemeClr w14:val="tx1"/>
            </w14:solidFill>
          </w14:textFill>
        </w:rPr>
        <w:t xml:space="preserve"> 按专用合同条件10.3.2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25" w:name="_Toc102746075"/>
      <w:r>
        <w:rPr>
          <w:rFonts w:hint="eastAsia"/>
          <w:color w:val="000000" w:themeColor="text1"/>
          <w:highlight w:val="none"/>
          <w14:textFill>
            <w14:solidFill>
              <w14:schemeClr w14:val="tx1"/>
            </w14:solidFill>
          </w14:textFill>
        </w:rPr>
        <w:t>5.5 操作和维修手册</w:t>
      </w:r>
      <w:bookmarkEnd w:id="1225"/>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5.5.3 对最终操作和维修手册的约定：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26" w:name="_Toc15649"/>
      <w:bookmarkStart w:id="1227" w:name="_Toc23449"/>
      <w:bookmarkStart w:id="1228" w:name="_Toc11730"/>
      <w:bookmarkStart w:id="1229" w:name="_Toc535952369"/>
      <w:bookmarkStart w:id="1230" w:name="_Toc22605"/>
      <w:bookmarkStart w:id="1231" w:name="_Toc32551"/>
      <w:bookmarkStart w:id="1232" w:name="_Toc18139"/>
      <w:bookmarkStart w:id="1233" w:name="_Toc3400"/>
      <w:bookmarkStart w:id="1234" w:name="_Toc25017"/>
      <w:bookmarkStart w:id="1235" w:name="_Toc102746076"/>
      <w:r>
        <w:rPr>
          <w:rFonts w:hint="eastAsia"/>
          <w:color w:val="000000" w:themeColor="text1"/>
          <w:highlight w:val="none"/>
          <w14:textFill>
            <w14:solidFill>
              <w14:schemeClr w14:val="tx1"/>
            </w14:solidFill>
          </w14:textFill>
        </w:rPr>
        <w:t>5.6  知识产权</w:t>
      </w:r>
      <w:bookmarkEnd w:id="1226"/>
      <w:bookmarkEnd w:id="1227"/>
      <w:bookmarkEnd w:id="1228"/>
      <w:bookmarkEnd w:id="1229"/>
      <w:bookmarkEnd w:id="1230"/>
      <w:bookmarkEnd w:id="1231"/>
      <w:bookmarkEnd w:id="1232"/>
      <w:bookmarkEnd w:id="1233"/>
      <w:bookmarkEnd w:id="1234"/>
      <w:bookmarkEnd w:id="1235"/>
    </w:p>
    <w:p>
      <w:pPr>
        <w:snapToGrid w:val="0"/>
        <w:spacing w:before="156" w:beforeLines="50" w:after="156" w:afterLines="50"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双方可就本合同涉及的合同一方、或合同双方（含一方或双方相关的专利商、第三方设计单位或设计</w:t>
      </w:r>
      <w:r>
        <w:rPr>
          <w:rFonts w:hint="eastAsia" w:ascii="宋体" w:hAnsi="宋体"/>
          <w:color w:val="000000" w:themeColor="text1"/>
          <w:sz w:val="24"/>
          <w:szCs w:val="28"/>
          <w:highlight w:val="none"/>
          <w14:textFill>
            <w14:solidFill>
              <w14:schemeClr w14:val="tx1"/>
            </w14:solidFill>
          </w14:textFill>
        </w:rPr>
        <w:t>人)的技</w:t>
      </w:r>
      <w:r>
        <w:rPr>
          <w:rFonts w:hint="eastAsia" w:ascii="宋体"/>
          <w:color w:val="000000" w:themeColor="text1"/>
          <w:sz w:val="24"/>
          <w:szCs w:val="28"/>
          <w:highlight w:val="none"/>
          <w14:textFill>
            <w14:solidFill>
              <w14:schemeClr w14:val="tx1"/>
            </w14:solidFill>
          </w14:textFill>
        </w:rPr>
        <w:t>术专利、建筑设计方案、专有技术、设计文件著作权等知识产权，签订知识产权及保密协议，作为本合同的组成部分。</w:t>
      </w:r>
    </w:p>
    <w:bookmarkEnd w:id="1219"/>
    <w:bookmarkEnd w:id="1220"/>
    <w:p>
      <w:pPr>
        <w:pStyle w:val="200"/>
        <w:rPr>
          <w:color w:val="000000" w:themeColor="text1"/>
          <w:highlight w:val="none"/>
          <w14:textFill>
            <w14:solidFill>
              <w14:schemeClr w14:val="tx1"/>
            </w14:solidFill>
          </w14:textFill>
        </w:rPr>
      </w:pPr>
      <w:bookmarkStart w:id="1236" w:name="_Toc102746077"/>
      <w:bookmarkStart w:id="1237" w:name="_Toc31007"/>
      <w:bookmarkStart w:id="1238" w:name="_Toc4513"/>
      <w:bookmarkStart w:id="1239" w:name="_Toc14518"/>
      <w:bookmarkStart w:id="1240" w:name="_Toc11460"/>
      <w:bookmarkStart w:id="1241" w:name="_Toc12434"/>
      <w:bookmarkStart w:id="1242" w:name="_Toc30064"/>
      <w:bookmarkStart w:id="1243" w:name="_Toc16912"/>
      <w:bookmarkStart w:id="1244" w:name="_Toc54862337"/>
      <w:bookmarkStart w:id="1245" w:name="_Toc23818"/>
      <w:bookmarkStart w:id="1246" w:name="bookmark344"/>
      <w:bookmarkStart w:id="1247" w:name="bookmark345"/>
      <w:r>
        <w:rPr>
          <w:rFonts w:hint="eastAsia"/>
          <w:color w:val="000000" w:themeColor="text1"/>
          <w:highlight w:val="none"/>
          <w14:textFill>
            <w14:solidFill>
              <w14:schemeClr w14:val="tx1"/>
            </w14:solidFill>
          </w14:textFill>
        </w:rPr>
        <w:t>第6条 材料、工程设备</w:t>
      </w:r>
      <w:bookmarkEnd w:id="1236"/>
      <w:bookmarkEnd w:id="1237"/>
      <w:bookmarkEnd w:id="1238"/>
      <w:bookmarkEnd w:id="1239"/>
      <w:bookmarkEnd w:id="1240"/>
      <w:bookmarkEnd w:id="1241"/>
      <w:bookmarkEnd w:id="1242"/>
      <w:bookmarkEnd w:id="1243"/>
      <w:bookmarkEnd w:id="1244"/>
      <w:bookmarkEnd w:id="1245"/>
    </w:p>
    <w:p>
      <w:pPr>
        <w:pStyle w:val="196"/>
        <w:spacing w:before="156"/>
        <w:ind w:firstLine="241"/>
        <w:rPr>
          <w:color w:val="000000" w:themeColor="text1"/>
          <w:highlight w:val="none"/>
          <w14:textFill>
            <w14:solidFill>
              <w14:schemeClr w14:val="tx1"/>
            </w14:solidFill>
          </w14:textFill>
        </w:rPr>
      </w:pPr>
      <w:bookmarkStart w:id="1248" w:name="_Toc102746078"/>
      <w:r>
        <w:rPr>
          <w:rFonts w:hint="eastAsia"/>
          <w:color w:val="000000" w:themeColor="text1"/>
          <w:highlight w:val="none"/>
          <w14:textFill>
            <w14:solidFill>
              <w14:schemeClr w14:val="tx1"/>
            </w14:solidFill>
          </w14:textFill>
        </w:rPr>
        <w:t>6.1 实施方法</w:t>
      </w:r>
      <w:bookmarkEnd w:id="1248"/>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双方当事人约定的实施方法、设备、设施和材料：</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49" w:name="_Toc102746079"/>
      <w:r>
        <w:rPr>
          <w:rFonts w:hint="eastAsia"/>
          <w:color w:val="000000" w:themeColor="text1"/>
          <w:highlight w:val="none"/>
          <w14:textFill>
            <w14:solidFill>
              <w14:schemeClr w14:val="tx1"/>
            </w14:solidFill>
          </w14:textFill>
        </w:rPr>
        <w:t>6.2 材料和工程设备</w:t>
      </w:r>
      <w:bookmarkEnd w:id="1249"/>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6.2.1 发包人提供的材料和工程设备：</w:t>
      </w:r>
      <w:r>
        <w:rPr>
          <w:rFonts w:hint="eastAsia"/>
          <w:color w:val="000000" w:themeColor="text1"/>
          <w:highlight w:val="none"/>
          <w:u w:val="single"/>
          <w14:textFill>
            <w14:solidFill>
              <w14:schemeClr w14:val="tx1"/>
            </w14:solidFill>
          </w14:textFill>
        </w:rPr>
        <w:t>发包人不提供。</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6.2.2 承包人提供的材料和工程设备</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材料和工程设备的类别、估算数量的具体要求如下。</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（1）本合同工程内所需的所有材料由承包人</w:t>
      </w:r>
      <w:r>
        <w:rPr>
          <w:rFonts w:hint="eastAsia" w:ascii="宋体" w:hAnsi="宋体"/>
          <w:color w:val="000000" w:themeColor="text1"/>
          <w:sz w:val="24"/>
          <w:szCs w:val="28"/>
          <w:highlight w:val="none"/>
          <w:u w:val="single"/>
          <w14:textFill>
            <w14:solidFill>
              <w14:schemeClr w14:val="tx1"/>
            </w14:solidFill>
          </w14:textFill>
        </w:rPr>
        <w:t>依照国家有关法律法规规范</w:t>
      </w:r>
      <w:r>
        <w:rPr>
          <w:rFonts w:hint="eastAsia" w:ascii="宋体" w:hAnsi="宋体"/>
          <w:color w:val="000000" w:themeColor="text1"/>
          <w:sz w:val="24"/>
          <w:szCs w:val="28"/>
          <w:highlight w:val="none"/>
          <w14:textFill>
            <w14:solidFill>
              <w14:schemeClr w14:val="tx1"/>
            </w14:solidFill>
          </w14:textFill>
        </w:rPr>
        <w:t>自行组织购买供应，并按照发包人有关工程材料供应管理规定执行。</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1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①</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承包人自行采购供应的材料，质量必须符合现行国家及有关部委颁布的标准要求。</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2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②</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承包人在采购每一种类的主要材料前，须将拟定采购供应的材料生产或供应产品的厂家的企业概况（包括名称、注册资金、生产许可证、年产量和近三年服务于类似工程业绩等）、产品质量合格证书以及反映厂家实力的证明材料交给发包人审核，待考察批准后才能采购使用。发包人有权拒绝接受使用不符合要求的材料的权利。发包人认为其提供不合格材料，按以下第</w:t>
      </w: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6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⑥</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点予以处理。</w:t>
      </w:r>
    </w:p>
    <w:p>
      <w:pPr>
        <w:snapToGrid w:val="0"/>
        <w:spacing w:line="360" w:lineRule="auto"/>
        <w:ind w:firstLine="482"/>
        <w:rPr>
          <w:rFonts w:ascii="宋体"/>
          <w:color w:val="000000" w:themeColor="text1"/>
          <w:sz w:val="24"/>
          <w:szCs w:val="28"/>
          <w:highlight w:val="none"/>
          <w:shd w:val="pct10" w:color="auto" w:fill="FFFFFF"/>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3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③</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在使用前，承包人应对材料的规格型号、质量、技术性能、数量、外观等进行详细而全面的检验，并向监理单位提交一份质量检验合格证书，质量检验合格证书是支付工程进度款时所必需的文件，如无证明资料，须经监理试验合格后方可使用，此检验试验费应由承包人承担；常规检测、试验费由发包人委托第三方完成（注：水务工程常规检测试验费用由承包人自行承担，综合考虑在合同价格中；水务工程第三方对比检测由发包人承担），用</w:t>
      </w:r>
      <w:r>
        <w:rPr>
          <w:rFonts w:hint="eastAsia" w:ascii="宋体"/>
          <w:color w:val="000000" w:themeColor="text1"/>
          <w:sz w:val="24"/>
          <w:szCs w:val="28"/>
          <w:highlight w:val="none"/>
          <w14:textFill>
            <w14:solidFill>
              <w14:schemeClr w14:val="tx1"/>
            </w14:solidFill>
          </w14:textFill>
        </w:rPr>
        <w:t>在理论计算量内的有关费用由发包人承担，超出部分应由承包人承担。</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4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④</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政府质量安全监督部门和发包人、监理单位有权安排抽检，承包人应积极配合。政府质量安全监督部门出具的检验报告书作为工程竣工验收所需要文件的组成部分。</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5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⑤</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工程所需材料，如因供应部门的规格品种或材质不能满足工程所需要求，必须以其他规格品种代替或加工处理时，应事先取得监理单位和设计单位同意后，在办理有关变更手续后实行。由于代用或加工而发生价差、加工费、量差等由承包人承担。</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fldChar w:fldCharType="begin"/>
      </w:r>
      <w:r>
        <w:rPr>
          <w:rFonts w:hint="eastAsia" w:ascii="宋体" w:hAnsi="宋体"/>
          <w:color w:val="000000" w:themeColor="text1"/>
          <w:sz w:val="24"/>
          <w:szCs w:val="28"/>
          <w:highlight w:val="none"/>
          <w14:textFill>
            <w14:solidFill>
              <w14:schemeClr w14:val="tx1"/>
            </w14:solidFill>
          </w14:textFill>
        </w:rPr>
        <w:instrText xml:space="preserve"> = 6 \* GB3 </w:instrText>
      </w:r>
      <w:r>
        <w:rPr>
          <w:rFonts w:hint="eastAsia" w:ascii="宋体" w:hAnsi="宋体"/>
          <w:color w:val="000000" w:themeColor="text1"/>
          <w:sz w:val="24"/>
          <w:szCs w:val="28"/>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⑥</w:t>
      </w:r>
      <w:r>
        <w:rPr>
          <w:rFonts w:hint="eastAsia" w:ascii="宋体" w:hAnsi="宋体"/>
          <w:color w:val="000000" w:themeColor="text1"/>
          <w:sz w:val="24"/>
          <w:szCs w:val="28"/>
          <w:highlight w:val="none"/>
          <w14:textFill>
            <w14:solidFill>
              <w14:schemeClr w14:val="tx1"/>
            </w14:solidFill>
          </w14:textFill>
        </w:rPr>
        <w:fldChar w:fldCharType="end"/>
      </w:r>
      <w:r>
        <w:rPr>
          <w:rFonts w:hint="eastAsia" w:ascii="宋体" w:hAnsi="宋体"/>
          <w:color w:val="000000" w:themeColor="text1"/>
          <w:sz w:val="24"/>
          <w:szCs w:val="28"/>
          <w:highlight w:val="none"/>
          <w14:textFill>
            <w14:solidFill>
              <w14:schemeClr w14:val="tx1"/>
            </w14:solidFill>
          </w14:textFill>
        </w:rPr>
        <w:t>如果发生以下情况的之一，则视为违约，承包人应立即停止使用，并按合同相关约定执行。同时为了确保工程的质量和进度，承包人应无条件接受发包人推荐的不少于三家同等档次品牌或厂家的材料，所发生的材料价差均由承包人承担。若造成某一分项工程或构件不符合技术规范要求，则承包人必须按发包人和监理工程师的指令将这些工程拆除，并重新建造，由此产生的一切质量、安全、费用等后果均由承包人承担。</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a．政府质量安全监督部门或发包人或监理单位抽检的材料的检验报告显示的质量有问题的；</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b．在施工过程中，发包人或工程师发现工程所用的材料与发包人批准使用的材料，货不对版的；</w:t>
      </w:r>
    </w:p>
    <w:p>
      <w:pPr>
        <w:snapToGrid w:val="0"/>
        <w:spacing w:line="360" w:lineRule="auto"/>
        <w:ind w:firstLine="482"/>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c．承包人提供了虚假供应材料生产厂家的证明资料。</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fldChar w:fldCharType="begin"/>
      </w:r>
      <w:r>
        <w:rPr>
          <w:rFonts w:hint="eastAsia" w:ascii="宋体"/>
          <w:color w:val="000000" w:themeColor="text1"/>
          <w:sz w:val="24"/>
          <w:szCs w:val="28"/>
          <w:highlight w:val="none"/>
          <w14:textFill>
            <w14:solidFill>
              <w14:schemeClr w14:val="tx1"/>
            </w14:solidFill>
          </w14:textFill>
        </w:rPr>
        <w:instrText xml:space="preserve"> = 7 \* GB3 </w:instrText>
      </w:r>
      <w:r>
        <w:rPr>
          <w:rFonts w:hint="eastAsia" w:ascii="宋体"/>
          <w:color w:val="000000" w:themeColor="text1"/>
          <w:sz w:val="24"/>
          <w:szCs w:val="28"/>
          <w:highlight w:val="none"/>
          <w14:textFill>
            <w14:solidFill>
              <w14:schemeClr w14:val="tx1"/>
            </w14:solidFill>
          </w14:textFill>
        </w:rPr>
        <w:fldChar w:fldCharType="separate"/>
      </w:r>
      <w:r>
        <w:rPr>
          <w:rFonts w:hint="eastAsia" w:ascii="宋体"/>
          <w:color w:val="000000" w:themeColor="text1"/>
          <w:sz w:val="24"/>
          <w:szCs w:val="28"/>
          <w:highlight w:val="none"/>
          <w14:textFill>
            <w14:solidFill>
              <w14:schemeClr w14:val="tx1"/>
            </w14:solidFill>
          </w14:textFill>
        </w:rPr>
        <w:t>⑦</w:t>
      </w:r>
      <w:r>
        <w:rPr>
          <w:rFonts w:hint="eastAsia" w:ascii="宋体"/>
          <w:color w:val="000000" w:themeColor="text1"/>
          <w:sz w:val="24"/>
          <w:szCs w:val="28"/>
          <w:highlight w:val="none"/>
          <w14:textFill>
            <w14:solidFill>
              <w14:schemeClr w14:val="tx1"/>
            </w14:solidFill>
          </w14:textFill>
        </w:rPr>
        <w:fldChar w:fldCharType="end"/>
      </w:r>
      <w:r>
        <w:rPr>
          <w:rFonts w:hint="eastAsia" w:ascii="宋体"/>
          <w:color w:val="000000" w:themeColor="text1"/>
          <w:sz w:val="24"/>
          <w:szCs w:val="28"/>
          <w:highlight w:val="none"/>
          <w14:textFill>
            <w14:solidFill>
              <w14:schemeClr w14:val="tx1"/>
            </w14:solidFill>
          </w14:textFill>
        </w:rPr>
        <w:t>承包人应采取有效的措施保证材料供应，确保工程按期按质完成，不能因货物供应紧张、价格变动、资金紧缺等原因，影响工程进度，并将其风险考虑在合同价格中，发包人均不承担此类的供应风险和可能发生的差价。若发包人发现承包人由于材料供应缓慢而影响工程进度，发包人有权要求承包人无条件接受发包人</w:t>
      </w:r>
      <w:r>
        <w:rPr>
          <w:rFonts w:hint="eastAsia" w:ascii="宋体" w:hAnsi="宋体"/>
          <w:color w:val="000000" w:themeColor="text1"/>
          <w:sz w:val="24"/>
          <w:szCs w:val="28"/>
          <w:highlight w:val="none"/>
          <w14:textFill>
            <w14:solidFill>
              <w14:schemeClr w14:val="tx1"/>
            </w14:solidFill>
          </w14:textFill>
        </w:rPr>
        <w:t>推荐的不少于三家同等档次品牌或厂家的材料</w:t>
      </w:r>
      <w:r>
        <w:rPr>
          <w:rFonts w:hint="eastAsia" w:ascii="宋体"/>
          <w:color w:val="000000" w:themeColor="text1"/>
          <w:sz w:val="24"/>
          <w:szCs w:val="28"/>
          <w:highlight w:val="none"/>
          <w14:textFill>
            <w14:solidFill>
              <w14:schemeClr w14:val="tx1"/>
            </w14:solidFill>
          </w14:textFill>
        </w:rPr>
        <w:t>，所发生的材料价差均由承包人承担，由承包人负责办理材料采购的相关手续。</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fldChar w:fldCharType="begin"/>
      </w:r>
      <w:r>
        <w:rPr>
          <w:rFonts w:hint="eastAsia" w:ascii="宋体"/>
          <w:color w:val="000000" w:themeColor="text1"/>
          <w:sz w:val="24"/>
          <w:szCs w:val="28"/>
          <w:highlight w:val="none"/>
          <w14:textFill>
            <w14:solidFill>
              <w14:schemeClr w14:val="tx1"/>
            </w14:solidFill>
          </w14:textFill>
        </w:rPr>
        <w:instrText xml:space="preserve"> = 8 \* GB3 </w:instrText>
      </w:r>
      <w:r>
        <w:rPr>
          <w:rFonts w:hint="eastAsia" w:ascii="宋体"/>
          <w:color w:val="000000" w:themeColor="text1"/>
          <w:sz w:val="24"/>
          <w:szCs w:val="28"/>
          <w:highlight w:val="none"/>
          <w14:textFill>
            <w14:solidFill>
              <w14:schemeClr w14:val="tx1"/>
            </w14:solidFill>
          </w14:textFill>
        </w:rPr>
        <w:fldChar w:fldCharType="separate"/>
      </w:r>
      <w:r>
        <w:rPr>
          <w:rFonts w:hint="eastAsia" w:ascii="宋体"/>
          <w:color w:val="000000" w:themeColor="text1"/>
          <w:sz w:val="24"/>
          <w:szCs w:val="28"/>
          <w:highlight w:val="none"/>
          <w14:textFill>
            <w14:solidFill>
              <w14:schemeClr w14:val="tx1"/>
            </w14:solidFill>
          </w14:textFill>
        </w:rPr>
        <w:t>⑧</w:t>
      </w:r>
      <w:r>
        <w:rPr>
          <w:rFonts w:hint="eastAsia" w:ascii="宋体"/>
          <w:color w:val="000000" w:themeColor="text1"/>
          <w:sz w:val="24"/>
          <w:szCs w:val="28"/>
          <w:highlight w:val="none"/>
          <w14:textFill>
            <w14:solidFill>
              <w14:schemeClr w14:val="tx1"/>
            </w14:solidFill>
          </w14:textFill>
        </w:rPr>
        <w:fldChar w:fldCharType="end"/>
      </w:r>
      <w:r>
        <w:rPr>
          <w:rFonts w:hint="eastAsia" w:ascii="宋体"/>
          <w:color w:val="000000" w:themeColor="text1"/>
          <w:sz w:val="24"/>
          <w:szCs w:val="28"/>
          <w:highlight w:val="none"/>
          <w14:textFill>
            <w14:solidFill>
              <w14:schemeClr w14:val="tx1"/>
            </w14:solidFill>
          </w14:textFill>
        </w:rPr>
        <w:t>工程所需全部施工设备（包括安全设备等），均由承包人自行解决，不论其设备属承包人原有、新购或租用，其台班费用或折旧费用，均由承包人按其自身情况计入标书单价内，不得以任何原因或借口，要求结算机械台班差价。</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（2）承包人采购的材料设备与设计或标准要求不符时，承包应按监理工程师要求的时间运出施工场地，重新采购符合要求的产品，承担由此发生的费用，由此延误的工期不予顺延。</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（3）在施工中，承包人工程所需的全部安全设备及施工人员的安全设施，均应按国家的有关规定自行配备解决，其费用已包含在承包价内，发包人不承担任何补偿。</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承包人必须建立满足施工技术管理要求的试验室和现场配备必要的小型试验室，其试验设备及操作人员，对监理工程师都应提供方便，给予无偿服务。</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（4）工程师发现承包人采购并使用不符合设计或标准要求的材料设备时，应要求由承包人负责修复、拆除或重新采购，并承担发生的费用，由此延误的工期不予顺延。</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材料检验均应附有合格的证明资料，在进入施工现场时必须按国家有关规定进行材料试验，并由监理单位验证；承包人应使本合同范围内的所有工程在合同规定的总工期内完成，且全部达到设计的功能和标准，工程顺利通过验收。</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承包人应保证所购设备是全新的、未使用过的，并完全符合合同规定的质量、规格型号和技术性能的要求。承包人应保证其设备在正常使用和保养条件下，在其使用寿命期内具有满意的性能。在设备安装调试完成，并验收合格后的质量保证期内，承包人应对由于材料工艺的缺陷而产生的事故负责。</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（7）承包人所购设备在抵达施工现场时，必须是满足使用条件的。设备安装后的使用性能必须是符合国家相关标准及规定。承包人必须对其所购设备及安装承担相应法律责任。</w:t>
      </w:r>
    </w:p>
    <w:p>
      <w:pPr>
        <w:snapToGrid w:val="0"/>
        <w:spacing w:line="360" w:lineRule="auto"/>
        <w:ind w:firstLine="482"/>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（8）工程材料、设备等的施工及管理按照发包人相关管理规定执行。</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竣工后试验的生产性材料的类别或（和）清单：</w:t>
      </w:r>
      <w:r>
        <w:rPr>
          <w:rFonts w:hint="eastAsia" w:ascii="宋体"/>
          <w:color w:val="000000" w:themeColor="text1"/>
          <w:sz w:val="24"/>
          <w:szCs w:val="28"/>
          <w:highlight w:val="none"/>
          <w:u w:val="single"/>
          <w14:textFill>
            <w14:solidFill>
              <w14:schemeClr w14:val="tx1"/>
            </w14:solidFill>
          </w14:textFill>
        </w:rPr>
        <w:t>按上述要求确定</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6.2.3 材料和工程设备的保管</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发包人供应的材料和工程设备的保管费用由</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承担。</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承包人提交保管、维护方案的时间：</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发包人提供的库房、堆场、设施和设备：</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50" w:name="_Toc102746080"/>
      <w:r>
        <w:rPr>
          <w:rFonts w:hint="eastAsia"/>
          <w:color w:val="000000" w:themeColor="text1"/>
          <w:highlight w:val="none"/>
          <w14:textFill>
            <w14:solidFill>
              <w14:schemeClr w14:val="tx1"/>
            </w14:solidFill>
          </w14:textFill>
        </w:rPr>
        <w:t>6.3 样品</w:t>
      </w:r>
      <w:bookmarkEnd w:id="1250"/>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6.3.1 样品的报送与封存</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需要承包人报送样品的材料或工程设备，样品种类、名称、规格、数量：</w:t>
      </w:r>
      <w:r>
        <w:rPr>
          <w:rFonts w:hint="eastAsia" w:ascii="宋体"/>
          <w:color w:val="000000" w:themeColor="text1"/>
          <w:sz w:val="24"/>
          <w:szCs w:val="28"/>
          <w:highlight w:val="none"/>
          <w:u w:val="single"/>
          <w14:textFill>
            <w14:solidFill>
              <w14:schemeClr w14:val="tx1"/>
            </w14:solidFill>
          </w14:textFill>
        </w:rPr>
        <w:t xml:space="preserve">按发包人、工程师等相关管理办法执行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51" w:name="_Toc102746081"/>
      <w:r>
        <w:rPr>
          <w:rFonts w:hint="eastAsia"/>
          <w:color w:val="000000" w:themeColor="text1"/>
          <w:highlight w:val="none"/>
          <w14:textFill>
            <w14:solidFill>
              <w14:schemeClr w14:val="tx1"/>
            </w14:solidFill>
          </w14:textFill>
        </w:rPr>
        <w:t>6.4 质量检查</w:t>
      </w:r>
      <w:bookmarkEnd w:id="1251"/>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6.4.1 工程质量要求</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工程质量的特殊标准或要求：</w:t>
      </w:r>
      <w:r>
        <w:rPr>
          <w:rFonts w:hint="eastAsia" w:ascii="宋体"/>
          <w:color w:val="000000" w:themeColor="text1"/>
          <w:sz w:val="24"/>
          <w:szCs w:val="28"/>
          <w:highlight w:val="none"/>
          <w:u w:val="single"/>
          <w14:textFill>
            <w14:solidFill>
              <w14:schemeClr w14:val="tx1"/>
            </w14:solidFill>
          </w14:textFill>
        </w:rPr>
        <w:t xml:space="preserve"> 见</w:t>
      </w:r>
      <w:r>
        <w:rPr>
          <w:rFonts w:hint="eastAsia" w:ascii="宋体" w:hAnsi="Calibri"/>
          <w:color w:val="000000" w:themeColor="text1"/>
          <w:sz w:val="24"/>
          <w:szCs w:val="28"/>
          <w:highlight w:val="none"/>
          <w:u w:val="single"/>
          <w14:textFill>
            <w14:solidFill>
              <w14:schemeClr w14:val="tx1"/>
            </w14:solidFill>
          </w14:textFill>
        </w:rPr>
        <w:t>“合同协议书”</w:t>
      </w:r>
      <w:r>
        <w:rPr>
          <w:rFonts w:hint="eastAsia" w:ascii="宋体"/>
          <w:color w:val="000000" w:themeColor="text1"/>
          <w:sz w:val="24"/>
          <w:szCs w:val="28"/>
          <w:highlight w:val="none"/>
          <w:u w:val="single"/>
          <w14:textFill>
            <w14:solidFill>
              <w14:schemeClr w14:val="tx1"/>
            </w14:solidFill>
          </w14:textFill>
        </w:rPr>
        <w:t xml:space="preserve"> 及《发包人要求》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6.4.2 质量检查</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除通用合同条件已列明的质量检查的地点外，发包人有权进行质量检查的其他地点：</w:t>
      </w:r>
      <w:r>
        <w:rPr>
          <w:rFonts w:hint="eastAsia" w:ascii="宋体"/>
          <w:color w:val="000000" w:themeColor="text1"/>
          <w:sz w:val="24"/>
          <w:szCs w:val="28"/>
          <w:highlight w:val="none"/>
          <w:u w:val="single"/>
          <w14:textFill>
            <w14:solidFill>
              <w14:schemeClr w14:val="tx1"/>
            </w14:solidFill>
          </w14:textFill>
        </w:rPr>
        <w:t xml:space="preserve"> 按项目实际情况执行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）承包人及其分包人随时接受发包人、工程师所进行的安全、质量的监督和检查。承包人应为此类监督、检查提供方便。</w:t>
      </w:r>
    </w:p>
    <w:p>
      <w:pPr>
        <w:snapToGrid w:val="0"/>
        <w:spacing w:line="360" w:lineRule="auto"/>
        <w:ind w:firstLine="480" w:firstLineChars="200"/>
        <w:rPr>
          <w:rFonts w:ascii="宋体"/>
          <w:strike/>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2</w:t>
      </w:r>
      <w:r>
        <w:rPr>
          <w:rFonts w:hint="eastAsia" w:ascii="宋体"/>
          <w:color w:val="000000" w:themeColor="text1"/>
          <w:sz w:val="24"/>
          <w:highlight w:val="none"/>
          <w14:textFill>
            <w14:solidFill>
              <w14:schemeClr w14:val="tx1"/>
            </w14:solidFill>
          </w14:textFill>
        </w:rPr>
        <w:t>）发包人委托第三方对施工质量进行检查、检验、检测和试验时，应以书面形式通知承包人。</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3</w:t>
      </w:r>
      <w:r>
        <w:rPr>
          <w:rFonts w:hint="eastAsia" w:ascii="宋体"/>
          <w:color w:val="000000" w:themeColor="text1"/>
          <w:sz w:val="24"/>
          <w:highlight w:val="none"/>
          <w14:textFill>
            <w14:solidFill>
              <w14:schemeClr w14:val="tx1"/>
            </w14:solidFill>
          </w14:textFill>
        </w:rPr>
        <w:t>）承包人应遵守施工质量管理的有关规定，负有对其操作人员进行培训、考核、图纸交底、技术交底、操作规程交底、安全程序交底和质量标准交底，及消除事故隐患的责任。</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4</w:t>
      </w:r>
      <w:r>
        <w:rPr>
          <w:rFonts w:hint="eastAsia" w:ascii="宋体"/>
          <w:color w:val="000000" w:themeColor="text1"/>
          <w:sz w:val="24"/>
          <w:highlight w:val="none"/>
          <w14:textFill>
            <w14:solidFill>
              <w14:schemeClr w14:val="tx1"/>
            </w14:solidFill>
          </w14:textFill>
        </w:rPr>
        <w:t>）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5</w:t>
      </w:r>
      <w:r>
        <w:rPr>
          <w:rFonts w:hint="eastAsia" w:ascii="宋体"/>
          <w:color w:val="000000" w:themeColor="text1"/>
          <w:sz w:val="24"/>
          <w:highlight w:val="none"/>
          <w14:textFill>
            <w14:solidFill>
              <w14:schemeClr w14:val="tx1"/>
            </w14:solidFill>
          </w14:textFill>
        </w:rPr>
        <w:t>）承包人的施工应符合合同约定的质量标准。施工质量评定以合同中约定的质量检验评定标准为依据。对不符合质量标准的施工部位，承包人应自费修复、返工、更换等。因此造成竣工日期延误的，由承包人负责。</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6</w:t>
      </w:r>
      <w:r>
        <w:rPr>
          <w:rFonts w:hint="eastAsia" w:ascii="宋体"/>
          <w:color w:val="000000" w:themeColor="text1"/>
          <w:sz w:val="24"/>
          <w:highlight w:val="none"/>
          <w14:textFill>
            <w14:solidFill>
              <w14:schemeClr w14:val="tx1"/>
            </w14:solidFill>
          </w14:textFill>
        </w:rPr>
        <w:t>）质检部位与参检方。质检部位分为：发包人、监理人与承包人三方参检的部位；监理人与承包人两方参检的部位；第三方和（或）承包人一方参检的部位。对施工质量进行检查的部位、检查标准及验收的表格格式</w:t>
      </w:r>
      <w:r>
        <w:rPr>
          <w:rFonts w:hint="eastAsia" w:ascii="宋体" w:hAnsi="宋体"/>
          <w:color w:val="000000" w:themeColor="text1"/>
          <w:sz w:val="24"/>
          <w:highlight w:val="none"/>
          <w:u w:val="single"/>
          <w14:textFill>
            <w14:solidFill>
              <w14:schemeClr w14:val="tx1"/>
            </w14:solidFill>
          </w14:textFill>
        </w:rPr>
        <w:t>按相关质量监督部门要求执行</w:t>
      </w:r>
      <w:r>
        <w:rPr>
          <w:rFonts w:hint="eastAsia" w:ascii="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承包人应将按上述约定，经其一方检查合格的部位报发包人或工程师备案。发包人和工程师有权随时对备案的部位进行抽查或全面检查。</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7</w:t>
      </w:r>
      <w:r>
        <w:rPr>
          <w:rFonts w:hint="eastAsia" w:ascii="宋体"/>
          <w:color w:val="000000" w:themeColor="text1"/>
          <w:sz w:val="24"/>
          <w:highlight w:val="none"/>
          <w14:textFill>
            <w14:solidFill>
              <w14:schemeClr w14:val="tx1"/>
            </w14:solidFill>
          </w14:textFill>
        </w:rPr>
        <w:t>）通知参检方的参检。承包人自行检查、检验、检测和试验合格的，按约定的质检部位和参检方，通知相关参检单位在</w:t>
      </w:r>
      <w:r>
        <w:rPr>
          <w:rFonts w:ascii="宋体"/>
          <w:color w:val="000000" w:themeColor="text1"/>
          <w:sz w:val="24"/>
          <w:highlight w:val="none"/>
          <w14:textFill>
            <w14:solidFill>
              <w14:schemeClr w14:val="tx1"/>
            </w14:solidFill>
          </w14:textFill>
        </w:rPr>
        <w:t>24</w:t>
      </w:r>
      <w:r>
        <w:rPr>
          <w:rFonts w:hint="eastAsia" w:ascii="宋体"/>
          <w:color w:val="000000" w:themeColor="text1"/>
          <w:sz w:val="24"/>
          <w:highlight w:val="none"/>
          <w14:textFill>
            <w14:solidFill>
              <w14:schemeClr w14:val="tx1"/>
            </w14:solidFill>
          </w14:textFill>
        </w:rPr>
        <w:t>小时内参加检查。参检方未能按时参加的，承包人应将自检合格的结果于其后的</w:t>
      </w:r>
      <w:r>
        <w:rPr>
          <w:rFonts w:ascii="宋体"/>
          <w:color w:val="000000" w:themeColor="text1"/>
          <w:sz w:val="24"/>
          <w:highlight w:val="none"/>
          <w14:textFill>
            <w14:solidFill>
              <w14:schemeClr w14:val="tx1"/>
            </w14:solidFill>
          </w14:textFill>
        </w:rPr>
        <w:t>24</w:t>
      </w:r>
      <w:r>
        <w:rPr>
          <w:rFonts w:hint="eastAsia" w:ascii="宋体"/>
          <w:color w:val="000000" w:themeColor="text1"/>
          <w:sz w:val="24"/>
          <w:highlight w:val="none"/>
          <w14:textFill>
            <w14:solidFill>
              <w14:schemeClr w14:val="tx1"/>
            </w14:solidFill>
          </w14:textFill>
        </w:rPr>
        <w:t>小时内送交发包人和（或）监理人签字。</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8</w:t>
      </w:r>
      <w:r>
        <w:rPr>
          <w:rFonts w:hint="eastAsia" w:ascii="宋体"/>
          <w:color w:val="000000" w:themeColor="text1"/>
          <w:sz w:val="24"/>
          <w:highlight w:val="none"/>
          <w14:textFill>
            <w14:solidFill>
              <w14:schemeClr w14:val="tx1"/>
            </w14:solidFill>
          </w14:textFill>
        </w:rPr>
        <w:t>）质量检查的权利。发包人及工程师或其授权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迟。</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9</w:t>
      </w:r>
      <w:r>
        <w:rPr>
          <w:rFonts w:hint="eastAsia" w:ascii="宋体"/>
          <w:color w:val="000000" w:themeColor="text1"/>
          <w:sz w:val="24"/>
          <w:highlight w:val="none"/>
          <w14:textFill>
            <w14:solidFill>
              <w14:schemeClr w14:val="tx1"/>
            </w14:solidFill>
          </w14:textFill>
        </w:rPr>
        <w:t>）重新进行质量检查。按合同约定，经质量检查合格的工程部位，发包人有权在不影响工程正常施工的条件下，重新进行质量检查。检查、检验、检测、试验结果不合格时，因此发生的费用由承包人承担，造成工程关键路径延误的，竣工日期不予顺延；检查、检验、检测、试验的结果合格时，承包人增加的费用由发包人承担，工程关键路径延误的，竣工日期相应顺延。</w:t>
      </w:r>
    </w:p>
    <w:p>
      <w:pPr>
        <w:snapToGrid w:val="0"/>
        <w:spacing w:line="360" w:lineRule="auto"/>
        <w:ind w:firstLine="481"/>
        <w:rPr>
          <w:rFonts w:ascii="宋体" w:hAns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10</w:t>
      </w:r>
      <w:r>
        <w:rPr>
          <w:rFonts w:hint="eastAsia" w:asci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因发包人代表和（或）工程师的指令失误，</w:t>
      </w:r>
      <w:r>
        <w:rPr>
          <w:rFonts w:hint="eastAsia" w:ascii="宋体"/>
          <w:color w:val="000000" w:themeColor="text1"/>
          <w:sz w:val="24"/>
          <w:highlight w:val="none"/>
          <w14:textFill>
            <w14:solidFill>
              <w14:schemeClr w14:val="tx1"/>
            </w14:solidFill>
          </w14:textFill>
        </w:rPr>
        <w:t>或其它非承包人原因</w:t>
      </w:r>
      <w:r>
        <w:rPr>
          <w:rFonts w:hint="eastAsia" w:ascii="宋体" w:hAnsi="宋体"/>
          <w:color w:val="000000" w:themeColor="text1"/>
          <w:sz w:val="24"/>
          <w:highlight w:val="none"/>
          <w14:textFill>
            <w14:solidFill>
              <w14:schemeClr w14:val="tx1"/>
            </w14:solidFill>
          </w14:textFill>
        </w:rPr>
        <w:t>发生的追加施工费用，</w:t>
      </w:r>
      <w:r>
        <w:rPr>
          <w:rFonts w:hint="eastAsia" w:ascii="宋体"/>
          <w:color w:val="000000" w:themeColor="text1"/>
          <w:sz w:val="24"/>
          <w:highlight w:val="none"/>
          <w14:textFill>
            <w14:solidFill>
              <w14:schemeClr w14:val="tx1"/>
            </w14:solidFill>
          </w14:textFill>
        </w:rPr>
        <w:t>发包人应组织参建各方召开专题会议，讨论、研究、分析造成施工费用增加原因，追究相关责任方责任，杜绝类似事件的再次发生。</w:t>
      </w:r>
      <w:r>
        <w:rPr>
          <w:rFonts w:hint="eastAsia" w:ascii="宋体" w:hAnsi="宋体"/>
          <w:color w:val="000000" w:themeColor="text1"/>
          <w:sz w:val="24"/>
          <w:highlight w:val="none"/>
          <w14:textFill>
            <w14:solidFill>
              <w14:schemeClr w14:val="tx1"/>
            </w14:solidFill>
          </w14:textFill>
        </w:rPr>
        <w:t>由责任方承担由于指令失误或其他原因造成的施工增加费用，造成工期延误的，工期相应顺延。同时，承包人应提供当时书面的发包人代表和（或）工程师的指令失误</w:t>
      </w:r>
      <w:r>
        <w:rPr>
          <w:rFonts w:hint="eastAsia" w:ascii="宋体"/>
          <w:color w:val="000000" w:themeColor="text1"/>
          <w:sz w:val="24"/>
          <w:highlight w:val="none"/>
          <w14:textFill>
            <w14:solidFill>
              <w14:schemeClr w14:val="tx1"/>
            </w14:solidFill>
          </w14:textFill>
        </w:rPr>
        <w:t>或其它非承包人原因</w:t>
      </w:r>
      <w:r>
        <w:rPr>
          <w:rFonts w:hint="eastAsia" w:ascii="宋体" w:hAnsi="宋体"/>
          <w:color w:val="000000" w:themeColor="text1"/>
          <w:sz w:val="24"/>
          <w:highlight w:val="none"/>
          <w14:textFill>
            <w14:solidFill>
              <w14:schemeClr w14:val="tx1"/>
            </w14:solidFill>
          </w14:textFill>
        </w:rPr>
        <w:t>证明材料，否则由此产生的施工费用增加，由承包人承担，造成工期延误的，工期不顺延。</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6.4.3 隐蔽工程检查</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关于隐蔽工程和中间验收的特别约定：</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6.4.3.1 隐蔽工程和中间验收。</w:t>
      </w:r>
      <w:bookmarkStart w:id="1252" w:name="_Hlk525899640"/>
      <w:r>
        <w:rPr>
          <w:rFonts w:hint="eastAsia" w:ascii="宋体" w:hAnsi="宋体"/>
          <w:color w:val="000000" w:themeColor="text1"/>
          <w:sz w:val="24"/>
          <w:szCs w:val="28"/>
          <w:highlight w:val="none"/>
          <w14:textFill>
            <w14:solidFill>
              <w14:schemeClr w14:val="tx1"/>
            </w14:solidFill>
          </w14:textFill>
        </w:rPr>
        <w:t>工程隐蔽或中间验收前48小时以书面形式通知发包人和监理工程师验收的内容、时间、地点，承包人准备验收记录单（印制的表格）由双方签证。经发包人书面确认验收合格，承包人方可进行隐蔽和继续施工；验收不合格，双方商订时限内修改后按上述顺序重新验收，如不在发包人通知的时限内完成整改，每发现1处，由承包人向发包人支付违约金人民币3000元，且不得进入下一道工序施工。否则，若在上述约定通知的期限内，发包人有权采取返工重验等方式确保工程验收合格，所涉及的一切经济损失和责任由承包人承担，工期不予顺延。</w:t>
      </w:r>
    </w:p>
    <w:bookmarkEnd w:id="1252"/>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6.4.3.2验收通知和验收。承包人对自检合格的隐蔽工程或中间验收部位，应在隐蔽工程或中间验收前的48小时以书面形式通知发包人和（或）工程师验收。通知应包括隐蔽和中间验收的内容、验收时间和地点。验收合格，双方在验收记录上签字后，方可覆盖、进行紧后作业，编制并提交隐蔽工程竣工资料以及发包人或监理人要求提供的相关资料。验收不合格的，承包人需在发包人和（或）监理人限定的时间内修正，重新通知发包人和（或）监理人验收。</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6.4.3.3  未能按时参加验收。发包人和（或）监理人不能按时参加隐蔽工程或中间验收部位验收的，应向承包人提出延期要求。</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6.4.3.4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顺延；经检验合格时，承包人因此增加的费用由发包人承担、工程关键路径的延误，竣工日期相应顺延。</w:t>
      </w:r>
    </w:p>
    <w:p>
      <w:pPr>
        <w:pStyle w:val="196"/>
        <w:spacing w:before="156"/>
        <w:ind w:firstLine="241"/>
        <w:rPr>
          <w:color w:val="000000" w:themeColor="text1"/>
          <w:highlight w:val="none"/>
          <w14:textFill>
            <w14:solidFill>
              <w14:schemeClr w14:val="tx1"/>
            </w14:solidFill>
          </w14:textFill>
        </w:rPr>
      </w:pPr>
      <w:bookmarkStart w:id="1253" w:name="_Toc102746082"/>
      <w:r>
        <w:rPr>
          <w:rFonts w:hint="eastAsia"/>
          <w:color w:val="000000" w:themeColor="text1"/>
          <w:highlight w:val="none"/>
          <w14:textFill>
            <w14:solidFill>
              <w14:schemeClr w14:val="tx1"/>
            </w14:solidFill>
          </w14:textFill>
        </w:rPr>
        <w:t>6.5 由承包人试验和检验</w:t>
      </w:r>
      <w:bookmarkEnd w:id="1253"/>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6.5.1 试验设备与试验人员</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试验的内容、时间和地点：</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hAnsi="宋体"/>
          <w:color w:val="000000" w:themeColor="text1"/>
          <w:sz w:val="24"/>
          <w:szCs w:val="28"/>
          <w:highlight w:val="none"/>
          <w:u w:val="single"/>
          <w14:textFill>
            <w14:solidFill>
              <w14:schemeClr w14:val="tx1"/>
            </w14:solidFill>
          </w14:textFill>
        </w:rPr>
        <w:t>按相关质量监督部门要求</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试验所需要的试验设备、取样装置、试验场所和试验条件：</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试验和检验费用的计价原则：</w:t>
      </w:r>
      <w:r>
        <w:rPr>
          <w:rFonts w:hint="eastAsia" w:ascii="宋体"/>
          <w:color w:val="000000" w:themeColor="text1"/>
          <w:sz w:val="24"/>
          <w:szCs w:val="28"/>
          <w:highlight w:val="none"/>
          <w:u w:val="single"/>
          <w14:textFill>
            <w14:solidFill>
              <w14:schemeClr w14:val="tx1"/>
            </w14:solidFill>
          </w14:textFill>
        </w:rPr>
        <w:t xml:space="preserve">  承包人自行承担       </w:t>
      </w:r>
      <w:r>
        <w:rPr>
          <w:rFonts w:hint="eastAsia" w:ascii="宋体"/>
          <w:color w:val="000000" w:themeColor="text1"/>
          <w:sz w:val="24"/>
          <w:szCs w:val="28"/>
          <w:highlight w:val="none"/>
          <w14:textFill>
            <w14:solidFill>
              <w14:schemeClr w14:val="tx1"/>
            </w14:solidFill>
          </w14:textFill>
        </w:rPr>
        <w:t>。</w:t>
      </w:r>
    </w:p>
    <w:p>
      <w:pPr>
        <w:pStyle w:val="200"/>
        <w:rPr>
          <w:color w:val="000000" w:themeColor="text1"/>
          <w:highlight w:val="none"/>
          <w14:textFill>
            <w14:solidFill>
              <w14:schemeClr w14:val="tx1"/>
            </w14:solidFill>
          </w14:textFill>
        </w:rPr>
      </w:pPr>
      <w:bookmarkStart w:id="1254" w:name="_Toc102746083"/>
      <w:r>
        <w:rPr>
          <w:rFonts w:hint="eastAsia"/>
          <w:color w:val="000000" w:themeColor="text1"/>
          <w:highlight w:val="none"/>
          <w14:textFill>
            <w14:solidFill>
              <w14:schemeClr w14:val="tx1"/>
            </w14:solidFill>
          </w14:textFill>
        </w:rPr>
        <w:t>第7条 施工</w:t>
      </w:r>
      <w:bookmarkEnd w:id="1254"/>
    </w:p>
    <w:p>
      <w:pPr>
        <w:pStyle w:val="196"/>
        <w:spacing w:before="156"/>
        <w:ind w:firstLine="241"/>
        <w:rPr>
          <w:color w:val="000000" w:themeColor="text1"/>
          <w:highlight w:val="none"/>
          <w14:textFill>
            <w14:solidFill>
              <w14:schemeClr w14:val="tx1"/>
            </w14:solidFill>
          </w14:textFill>
        </w:rPr>
      </w:pPr>
      <w:bookmarkStart w:id="1255" w:name="_Toc102746084"/>
      <w:r>
        <w:rPr>
          <w:rFonts w:hint="eastAsia"/>
          <w:color w:val="000000" w:themeColor="text1"/>
          <w:highlight w:val="none"/>
          <w14:textFill>
            <w14:solidFill>
              <w14:schemeClr w14:val="tx1"/>
            </w14:solidFill>
          </w14:textFill>
        </w:rPr>
        <w:t>7.1 交通运输</w:t>
      </w:r>
      <w:bookmarkEnd w:id="1255"/>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 出入现场的权利</w:t>
      </w:r>
    </w:p>
    <w:p>
      <w:pPr>
        <w:pStyle w:val="158"/>
        <w:shd w:val="clear" w:color="auto" w:fill="auto"/>
        <w:snapToGrid w:val="0"/>
        <w:spacing w:before="0" w:line="360" w:lineRule="auto"/>
        <w:ind w:firstLine="620"/>
        <w:jc w:val="both"/>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关于出入现场的权利的约定：</w:t>
      </w:r>
      <w:r>
        <w:rPr>
          <w:rFonts w:hint="eastAsia" w:hAnsi="Times New Roman" w:cs="Microsoft JhengHei Light"/>
          <w:color w:val="000000" w:themeColor="text1"/>
          <w:sz w:val="24"/>
          <w:szCs w:val="28"/>
          <w:highlight w:val="none"/>
          <w:u w:val="single"/>
          <w:lang w:val="zh-CN"/>
          <w14:textFill>
            <w14:solidFill>
              <w14:schemeClr w14:val="tx1"/>
            </w14:solidFill>
          </w14:textFill>
        </w:rPr>
        <w:t>承包人取得出入施工现场所需的批准手续和全部权利，以及取得因工程实施所需修建道路、桥梁以及其他基础设施的权利，并承担相关手续费用和建设费用，发包人作必要的协助。</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7.1.2 场外交通</w:t>
      </w:r>
    </w:p>
    <w:p>
      <w:pPr>
        <w:snapToGrid w:val="0"/>
        <w:spacing w:line="360" w:lineRule="auto"/>
        <w:ind w:firstLine="600"/>
        <w:rPr>
          <w:rFonts w:ascii="宋体" w:cs="Microsoft JhengHei Light"/>
          <w:color w:val="000000" w:themeColor="text1"/>
          <w:kern w:val="0"/>
          <w:sz w:val="24"/>
          <w:szCs w:val="28"/>
          <w:highlight w:val="none"/>
          <w:u w:val="single"/>
          <w:lang w:val="zh-CN"/>
          <w14:textFill>
            <w14:solidFill>
              <w14:schemeClr w14:val="tx1"/>
            </w14:solidFill>
          </w14:textFill>
        </w:rPr>
      </w:pPr>
      <w:r>
        <w:rPr>
          <w:rFonts w:hint="eastAsia" w:ascii="宋体" w:cs="Microsoft JhengHei Light"/>
          <w:color w:val="000000" w:themeColor="text1"/>
          <w:kern w:val="0"/>
          <w:sz w:val="24"/>
          <w:szCs w:val="28"/>
          <w:highlight w:val="none"/>
          <w:lang w:val="zh-CN"/>
          <w14:textFill>
            <w14:solidFill>
              <w14:schemeClr w14:val="tx1"/>
            </w14:solidFill>
          </w14:textFill>
        </w:rPr>
        <w:t>关于场外交通的特别约定：</w:t>
      </w:r>
      <w:r>
        <w:rPr>
          <w:rFonts w:hint="eastAsia" w:ascii="宋体" w:cs="Microsoft JhengHei Light"/>
          <w:color w:val="000000" w:themeColor="text1"/>
          <w:kern w:val="0"/>
          <w:sz w:val="24"/>
          <w:szCs w:val="28"/>
          <w:highlight w:val="none"/>
          <w:u w:val="single"/>
          <w:lang w:val="zh-CN"/>
          <w14:textFill>
            <w14:solidFill>
              <w14:schemeClr w14:val="tx1"/>
            </w14:solidFill>
          </w14:textFill>
        </w:rPr>
        <w:t>承包人需确保场外交通设施满足工程施工需要的，并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发包人作必要的协助。</w:t>
      </w:r>
    </w:p>
    <w:p>
      <w:pPr>
        <w:pStyle w:val="168"/>
        <w:spacing w:before="156"/>
        <w:ind w:firstLine="48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7.1.3 场内交通</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关于场内交通的特别约定：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关于场内交通与场外交通边界的约定：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7.1.4 超大件和超重件的运输</w:t>
      </w:r>
    </w:p>
    <w:p>
      <w:pPr>
        <w:pStyle w:val="23"/>
        <w:snapToGrid w:val="0"/>
        <w:spacing w:line="360" w:lineRule="auto"/>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运输超大件或超重件所需的道路和桥梁临时加固改造费用和其他有关费用由</w:t>
      </w:r>
      <w:r>
        <w:rPr>
          <w:rFonts w:hint="eastAsia"/>
          <w:color w:val="000000" w:themeColor="text1"/>
          <w:sz w:val="24"/>
          <w:szCs w:val="28"/>
          <w:highlight w:val="none"/>
          <w:u w:val="single"/>
          <w14:textFill>
            <w14:solidFill>
              <w14:schemeClr w14:val="tx1"/>
            </w14:solidFill>
          </w14:textFill>
        </w:rPr>
        <w:t xml:space="preserve">  承包人 </w:t>
      </w:r>
      <w:r>
        <w:rPr>
          <w:rFonts w:hint="eastAsia"/>
          <w:color w:val="000000" w:themeColor="text1"/>
          <w:sz w:val="24"/>
          <w:szCs w:val="28"/>
          <w:highlight w:val="none"/>
          <w14:textFill>
            <w14:solidFill>
              <w14:schemeClr w14:val="tx1"/>
            </w14:solidFill>
          </w14:textFill>
        </w:rPr>
        <w:t>承担。</w:t>
      </w:r>
    </w:p>
    <w:p>
      <w:pPr>
        <w:pStyle w:val="196"/>
        <w:spacing w:before="156"/>
        <w:ind w:firstLine="241"/>
        <w:rPr>
          <w:color w:val="000000" w:themeColor="text1"/>
          <w:highlight w:val="none"/>
          <w14:textFill>
            <w14:solidFill>
              <w14:schemeClr w14:val="tx1"/>
            </w14:solidFill>
          </w14:textFill>
        </w:rPr>
      </w:pPr>
      <w:bookmarkStart w:id="1256" w:name="_Toc102746085"/>
      <w:r>
        <w:rPr>
          <w:rFonts w:hint="eastAsia"/>
          <w:color w:val="000000" w:themeColor="text1"/>
          <w:highlight w:val="none"/>
          <w14:textFill>
            <w14:solidFill>
              <w14:schemeClr w14:val="tx1"/>
            </w14:solidFill>
          </w14:textFill>
        </w:rPr>
        <w:t>7.2施工设备和临时设施</w:t>
      </w:r>
      <w:bookmarkEnd w:id="1246"/>
      <w:bookmarkEnd w:id="1247"/>
      <w:bookmarkEnd w:id="1256"/>
    </w:p>
    <w:p>
      <w:pPr>
        <w:pStyle w:val="168"/>
        <w:spacing w:before="156"/>
        <w:ind w:firstLine="480"/>
        <w:rPr>
          <w:color w:val="000000" w:themeColor="text1"/>
          <w:highlight w:val="none"/>
          <w14:textFill>
            <w14:solidFill>
              <w14:schemeClr w14:val="tx1"/>
            </w14:solidFill>
          </w14:textFill>
        </w:rPr>
      </w:pPr>
      <w:bookmarkStart w:id="1257" w:name="bookmark346"/>
      <w:bookmarkStart w:id="1258" w:name="bookmark347"/>
      <w:r>
        <w:rPr>
          <w:rFonts w:hint="eastAsia"/>
          <w:color w:val="000000" w:themeColor="text1"/>
          <w:highlight w:val="none"/>
          <w14:textFill>
            <w14:solidFill>
              <w14:schemeClr w14:val="tx1"/>
            </w14:solidFill>
          </w14:textFill>
        </w:rPr>
        <w:t>7.2.1 承包人提供的施工设备和临时设施</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临时设施的费用和临时占地手续和费用承担的特别约定</w:t>
      </w:r>
      <w:r>
        <w:rPr>
          <w:rFonts w:hint="eastAsia" w:ascii="宋体"/>
          <w:color w:val="000000" w:themeColor="text1"/>
          <w:sz w:val="24"/>
          <w:szCs w:val="28"/>
          <w:highlight w:val="none"/>
          <w:u w:val="single"/>
          <w14:textFill>
            <w14:solidFill>
              <w14:schemeClr w14:val="tx1"/>
            </w14:solidFill>
          </w14:textFill>
        </w:rPr>
        <w:t xml:space="preserve">：  由承包人负责相关手续并承担相应费用    </w:t>
      </w:r>
      <w:r>
        <w:rPr>
          <w:rFonts w:hint="eastAsia" w:ascii="宋体"/>
          <w:color w:val="000000" w:themeColor="text1"/>
          <w:sz w:val="24"/>
          <w:szCs w:val="28"/>
          <w:highlight w:val="none"/>
          <w14:textFill>
            <w14:solidFill>
              <w14:schemeClr w14:val="tx1"/>
            </w14:solidFill>
          </w14:textFill>
        </w:rPr>
        <w:t xml:space="preserve">  。</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7.2.2 发包人提供的施工设备和临时设施</w:t>
      </w:r>
    </w:p>
    <w:p>
      <w:pPr>
        <w:snapToGrid w:val="0"/>
        <w:spacing w:line="360" w:lineRule="auto"/>
        <w:ind w:firstLine="60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发包人提供的施工设备或临时设施范围：</w:t>
      </w:r>
      <w:r>
        <w:rPr>
          <w:rFonts w:hint="eastAsia" w:ascii="宋体"/>
          <w:color w:val="000000" w:themeColor="text1"/>
          <w:sz w:val="24"/>
          <w:szCs w:val="28"/>
          <w:highlight w:val="none"/>
          <w:u w:val="single"/>
          <w14:textFill>
            <w14:solidFill>
              <w14:schemeClr w14:val="tx1"/>
            </w14:solidFill>
          </w14:textFill>
        </w:rPr>
        <w:t>发包人不提供 。</w:t>
      </w:r>
    </w:p>
    <w:p>
      <w:pPr>
        <w:pStyle w:val="196"/>
        <w:spacing w:before="156"/>
        <w:ind w:firstLine="241"/>
        <w:rPr>
          <w:color w:val="000000" w:themeColor="text1"/>
          <w:highlight w:val="none"/>
          <w14:textFill>
            <w14:solidFill>
              <w14:schemeClr w14:val="tx1"/>
            </w14:solidFill>
          </w14:textFill>
        </w:rPr>
      </w:pPr>
      <w:bookmarkStart w:id="1259" w:name="_Toc102746086"/>
      <w:r>
        <w:rPr>
          <w:rFonts w:hint="eastAsia"/>
          <w:color w:val="000000" w:themeColor="text1"/>
          <w:highlight w:val="none"/>
          <w14:textFill>
            <w14:solidFill>
              <w14:schemeClr w14:val="tx1"/>
            </w14:solidFill>
          </w14:textFill>
        </w:rPr>
        <w:t>7.3 现场合作</w:t>
      </w:r>
      <w:bookmarkEnd w:id="1259"/>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关于现场合作费用的特别约定：</w:t>
      </w:r>
      <w:r>
        <w:rPr>
          <w:rFonts w:hint="eastAsia" w:ascii="宋体"/>
          <w:color w:val="000000" w:themeColor="text1"/>
          <w:sz w:val="24"/>
          <w:szCs w:val="28"/>
          <w:highlight w:val="none"/>
          <w:u w:val="single"/>
          <w14:textFill>
            <w14:solidFill>
              <w14:schemeClr w14:val="tx1"/>
            </w14:solidFill>
          </w14:textFill>
        </w:rPr>
        <w:t xml:space="preserve">相关费用由承包人承担，发包人不为此支付任何费用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60" w:name="_Toc102746087"/>
      <w:r>
        <w:rPr>
          <w:rFonts w:hint="eastAsia"/>
          <w:color w:val="000000" w:themeColor="text1"/>
          <w:highlight w:val="none"/>
          <w14:textFill>
            <w14:solidFill>
              <w14:schemeClr w14:val="tx1"/>
            </w14:solidFill>
          </w14:textFill>
        </w:rPr>
        <w:t>7.4 测量放线</w:t>
      </w:r>
      <w:bookmarkEnd w:id="1260"/>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7.4.1 关于测量放线的特别约定的技术规范：</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。施工控制网资料的告知期限：</w:t>
      </w:r>
      <w:r>
        <w:rPr>
          <w:rFonts w:hint="eastAsia"/>
          <w:color w:val="000000" w:themeColor="text1"/>
          <w:highlight w:val="none"/>
          <w:u w:val="single"/>
          <w14:textFill>
            <w14:solidFill>
              <w14:schemeClr w14:val="tx1"/>
            </w14:solidFill>
          </w14:textFill>
        </w:rPr>
        <w:t>开工通知后3天</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61" w:name="_Toc102746088"/>
      <w:r>
        <w:rPr>
          <w:rFonts w:hint="eastAsia"/>
          <w:color w:val="000000" w:themeColor="text1"/>
          <w:highlight w:val="none"/>
          <w14:textFill>
            <w14:solidFill>
              <w14:schemeClr w14:val="tx1"/>
            </w14:solidFill>
          </w14:textFill>
        </w:rPr>
        <w:t>7.5 现场劳动用工</w:t>
      </w:r>
      <w:bookmarkEnd w:id="1261"/>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7.5.2 合同当事人对建筑工人工资清偿事宜和违约责任的约定：如发生工人工资拖欠事宜，发包人有权采取在给承包人的应付款中扣除或提取履约担保的方式，直接先行支付所欠工人工资。发包人并保留追究承包人承担10万元~30万元的严重违约责任。如造成负面影响，承包人则需负责消除影响。</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7.5.4承包人应按监理单位、建设管理单位要求报备工人工资支付的有关证明材料，并按国家有关法律法规每月足额支付工人工资。</w:t>
      </w:r>
    </w:p>
    <w:p>
      <w:pPr>
        <w:pStyle w:val="196"/>
        <w:spacing w:before="156"/>
        <w:ind w:firstLine="241"/>
        <w:rPr>
          <w:color w:val="000000" w:themeColor="text1"/>
          <w:highlight w:val="none"/>
          <w14:textFill>
            <w14:solidFill>
              <w14:schemeClr w14:val="tx1"/>
            </w14:solidFill>
          </w14:textFill>
        </w:rPr>
      </w:pPr>
      <w:bookmarkStart w:id="1262" w:name="_Toc102746089"/>
      <w:r>
        <w:rPr>
          <w:rFonts w:hint="eastAsia"/>
          <w:color w:val="000000" w:themeColor="text1"/>
          <w:highlight w:val="none"/>
          <w14:textFill>
            <w14:solidFill>
              <w14:schemeClr w14:val="tx1"/>
            </w14:solidFill>
          </w14:textFill>
        </w:rPr>
        <w:t>7.6 安全文明施工</w:t>
      </w:r>
      <w:bookmarkEnd w:id="1262"/>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7.6.4</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事故处理</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如发生安全事故，除按法定程序办理有关事宜外，还必须按以下程序进行处理：</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7.6.4.1报告安全事故：安全事故发生后，承包人应在1小时内用最快的信息传递手段，将发生事故的时间、地点、伤亡人数、事故原因等情况，报监理工程师和发包人。</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7.6.4.2事故处理：承包人负责抢救伤员、排除险情，防止事故蔓延扩大，保护好现场，并做好标识；并启动保险理赔程序。</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7.6.4.3事故调查：承包人应组织内部技术安全、质量部门的人员组成调查组，开展调查，并配合做好发包人或政府有关部门组织的调查工作。</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7.6.4.5调查报告：承包人应把事故发生经过、原因、性质、损失、责任、处理意见、纠正和预防措施撰写成调查报告，送工程师会审后报发包人。</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7.6.4.6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7.6.6 安全与文明生产责任</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7.6.6.1承包人应对整个工地施工和施工方法的适用性，稳定性和安全性全面负责。</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7.6.6.2承包人必须在现场派驻工程档案资料员和安全员，负责从开工至竣工的工程竣工资料的整理、汇总、装订工作，并随时接受发包人及监理的检查。资料员必须接受过工程档案管理培训和安全培训，并取得上岗证书者。</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7.6.6.3施工期间，承包人必须遵守当地政府、部队及有关部门对施工现场、交通和施工环保管理规定，做好下列工作，如由于承包人处理不善，造成自身或他方损失，承包人应负法律和经济责任。</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（1）维护好施工范围及周边道路、河流，沟渠及市政排水系统的畅通。特别是河流上施工，必须维持该原有的通航标准，排洪的过水面积，并在洪水期间，做好洪水观测和防洪工作。</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维护好施工范围内的各种市政设施，包括地上和地下各种管线，管井、道路、排水等。对施工期间使用的道路、桥梁的承载能力进行调查。并合理使用运输工具，如运输工具荷载超过承载能力，应负责进行加固。</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（3）做好现场文明施工，妥善处理施工的弃土、废渣、废气、废水等废物，不得影响附近单位、居民的正常生产、生活。</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（4）安全保卫和环境保护</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本合同工程现场文明施工必须严格按照以下文件执行：</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1）广州市建设委关于修订并重新印发的《广州市建设工程现场文明施工管理办法》（穗建质[2008]937号）；</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2）南沙区建设和交通局《关于进一步完善南沙区建设工程施工围蔽管理要求的通知》（穗南建〔2016〕291号）；</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3）广州市质量技术监督局《广州市建筑工程绿色施工管理与评价标准》DBJ440100/T277-2016；</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4)《广州市建设工程文明施工管理规定》（广州市人民政府令第62号）；</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5)广州市住房和城乡建设委员会关于印发建设工程扬尘防治“6个100%”管理标准；</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6）广州市住房和城乡建设委员会关于印发广州市建设工程绿色施工围蔽指导图集（2.0试行版）的通知；</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7）国家、省市最新颁布的法律法规、规章制度及区建设行政主管部门最新发布的相关文件等。</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承包人必须按照《建筑法》、《安全生产法》、《建设工程质量管理条例》、《广州市建筑条例》、《建筑施工安全检查标准》等法规文件的规定，确保安全生产，其考核标准按《建筑工程安全防护、文明施工措施费用及使用管理规定》（建办〔2005〕89号）等相关规定执行（如有最新政策，则按该政策要求执行）。</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bookmarkStart w:id="1263" w:name="_Hlk525899149"/>
      <w:r>
        <w:rPr>
          <w:rFonts w:hint="eastAsia" w:ascii="宋体"/>
          <w:color w:val="000000" w:themeColor="text1"/>
          <w:sz w:val="24"/>
          <w:szCs w:val="28"/>
          <w:highlight w:val="none"/>
          <w14:textFill>
            <w14:solidFill>
              <w14:schemeClr w14:val="tx1"/>
            </w14:solidFill>
          </w14:textFill>
        </w:rPr>
        <w:t>承包人不按规定使用措施费或安全措施落实不到位，由安监机构责令其改正，停止措施费划拨，同时提请建设行政主管部门，根据情况追究有关责任，并将承包人和项目经理的不良行为录入企业信誉档案，与其量化考评办法挂钩。由此而引起的一切后果（如工程质量、人员伤亡、发包人的社会负面影响以及造成发包人被他人索赔等）均由承包人承担。</w:t>
      </w:r>
    </w:p>
    <w:bookmarkEnd w:id="1263"/>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（6）承包人建立安全责任制，明确各部门安全工作的岗位责任人，建立健全正常运转的各种安全工作保证体系和规章制度，将安全生产目标分解落实到实处。</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（7）承包人按规定数量配置安全员。</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（8）承包人在开工前须向质量安全监督机构提交备案的书面资料。</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（9）承包人在编制施工组织设计时，应当根据工程的特点编制相应的安全技术措施。</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（10）承包人按有关技术安全和防护的规定组织施工生产，不得使用不合标准的防护器材、机具和材料。</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（11）现场施工安全执行《建筑施工安全检查标准》（JGJ59-2011），监理工程师每月20日前对工地现场进行月度安全文明检查，当检查发现安全事故隐患时，根据比例，适当扣分。</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12）承包人必须严格按有关法律、法规、规章、条例及本合同的约定等，如有违反承包人应承担相应责任，发包人并有权停止承包人参加广州南沙开发区系统内工程的投标资格，直至承包人按发包人的要求整改完毕为止。</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（13）承包人应在施工现场采取维护安全、防范危险、预防火灾等措施，在特殊作业环境应对作业人员采取劳动保护措施。</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（14）承包人应采取安全防护措施，避免施工活动对周边的建筑物和构筑物造成损害。</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（15）承包人应按规定对工程施工人员进行安全教育和管理。</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（16）承包人应书面记录专项安全施工组织设计方案审查、安全检查、安全技术交底、安全隐患整改、安全教育等重要安全管理活动。</w:t>
      </w:r>
    </w:p>
    <w:p>
      <w:pPr>
        <w:pStyle w:val="196"/>
        <w:spacing w:before="156"/>
        <w:ind w:firstLine="241"/>
        <w:rPr>
          <w:color w:val="000000" w:themeColor="text1"/>
          <w:highlight w:val="none"/>
          <w14:textFill>
            <w14:solidFill>
              <w14:schemeClr w14:val="tx1"/>
            </w14:solidFill>
          </w14:textFill>
        </w:rPr>
      </w:pPr>
      <w:bookmarkStart w:id="1264" w:name="_Toc102746090"/>
      <w:r>
        <w:rPr>
          <w:rFonts w:hint="eastAsia"/>
          <w:color w:val="000000" w:themeColor="text1"/>
          <w:highlight w:val="none"/>
          <w14:textFill>
            <w14:solidFill>
              <w14:schemeClr w14:val="tx1"/>
            </w14:solidFill>
          </w14:textFill>
        </w:rPr>
        <w:t>7.9 临时性公用设施</w:t>
      </w:r>
      <w:bookmarkEnd w:id="1264"/>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关于临时性公用设施的特别约定：</w:t>
      </w:r>
      <w:r>
        <w:rPr>
          <w:rFonts w:hint="eastAsia" w:ascii="宋体"/>
          <w:color w:val="000000" w:themeColor="text1"/>
          <w:sz w:val="24"/>
          <w:szCs w:val="28"/>
          <w:highlight w:val="none"/>
          <w:u w:val="single"/>
          <w14:textFill>
            <w14:solidFill>
              <w14:schemeClr w14:val="tx1"/>
            </w14:solidFill>
          </w14:textFill>
        </w:rPr>
        <w:t xml:space="preserve">承包人负责办理临时性共用设施的所需的全部工作，并承担相应费用；发包人不提供设施，也不承担任何费用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65" w:name="_Toc102746091"/>
      <w:r>
        <w:rPr>
          <w:rFonts w:hint="eastAsia"/>
          <w:color w:val="000000" w:themeColor="text1"/>
          <w:highlight w:val="none"/>
          <w14:textFill>
            <w14:solidFill>
              <w14:schemeClr w14:val="tx1"/>
            </w14:solidFill>
          </w14:textFill>
        </w:rPr>
        <w:t>7.10 现场安保</w:t>
      </w:r>
      <w:bookmarkEnd w:id="1265"/>
    </w:p>
    <w:p>
      <w:pPr>
        <w:snapToGrid w:val="0"/>
        <w:spacing w:line="360" w:lineRule="auto"/>
        <w:ind w:firstLine="480" w:firstLineChars="200"/>
        <w:rPr>
          <w:rFonts w:ascii="宋体" w:hAns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承包人现场安保义务的特别约定：</w:t>
      </w:r>
      <w:r>
        <w:rPr>
          <w:rFonts w:hint="eastAsia" w:ascii="宋体" w:hAnsi="宋体"/>
          <w:color w:val="000000" w:themeColor="text1"/>
          <w:sz w:val="24"/>
          <w:szCs w:val="28"/>
          <w:highlight w:val="none"/>
          <w:u w:val="single"/>
          <w14:textFill>
            <w14:solidFill>
              <w14:schemeClr w14:val="tx1"/>
            </w14:solidFill>
          </w14:textFill>
        </w:rPr>
        <w:t>发包人因该工程临时设立的办公场所、发包人按合同约定应接收的单项工程和单位工程，由发包人承担相关保安工作，及因此产生的费用、损害和责任。对发包人承担保安责任以外的，正在施工过程中区域范围的保安责任由承包人负责。</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u w:val="single"/>
          <w14:textFill>
            <w14:solidFill>
              <w14:schemeClr w14:val="tx1"/>
            </w14:solidFill>
          </w14:textFill>
        </w:rPr>
        <w:t>承包人应在本工程正式开工前5日负责编制完成相关的保安制度、责任制度和报告制度分别一式二份，并提交给发包人。发包人在收到本款约定的制度后进行审查，如果有相应的修改意见，应当在收到承包人提交的本款所约定的制度后提出并送达承包人，承包人应根据发包人的意见作出相应的修正。</w:t>
      </w:r>
    </w:p>
    <w:bookmarkEnd w:id="1257"/>
    <w:bookmarkEnd w:id="1258"/>
    <w:p>
      <w:pPr>
        <w:pStyle w:val="200"/>
        <w:rPr>
          <w:color w:val="000000" w:themeColor="text1"/>
          <w:highlight w:val="none"/>
          <w14:textFill>
            <w14:solidFill>
              <w14:schemeClr w14:val="tx1"/>
            </w14:solidFill>
          </w14:textFill>
        </w:rPr>
      </w:pPr>
      <w:bookmarkStart w:id="1266" w:name="_Toc9639"/>
      <w:bookmarkStart w:id="1267" w:name="_Toc20185"/>
      <w:bookmarkStart w:id="1268" w:name="_Toc11032"/>
      <w:bookmarkStart w:id="1269" w:name="_Toc26831"/>
      <w:bookmarkStart w:id="1270" w:name="_Toc54862339"/>
      <w:bookmarkStart w:id="1271" w:name="_Toc11417"/>
      <w:bookmarkStart w:id="1272" w:name="_Toc6332"/>
      <w:bookmarkStart w:id="1273" w:name="_Toc16523"/>
      <w:bookmarkStart w:id="1274" w:name="_Toc29578"/>
      <w:bookmarkStart w:id="1275" w:name="_Toc102746092"/>
      <w:r>
        <w:rPr>
          <w:rFonts w:hint="eastAsia"/>
          <w:color w:val="000000" w:themeColor="text1"/>
          <w:highlight w:val="none"/>
          <w14:textFill>
            <w14:solidFill>
              <w14:schemeClr w14:val="tx1"/>
            </w14:solidFill>
          </w14:textFill>
        </w:rPr>
        <w:t>第8条 工期和进度</w:t>
      </w:r>
      <w:bookmarkEnd w:id="1266"/>
      <w:bookmarkEnd w:id="1267"/>
      <w:bookmarkEnd w:id="1268"/>
      <w:bookmarkEnd w:id="1269"/>
      <w:bookmarkEnd w:id="1270"/>
      <w:bookmarkEnd w:id="1271"/>
      <w:bookmarkEnd w:id="1272"/>
      <w:bookmarkEnd w:id="1273"/>
      <w:bookmarkEnd w:id="1274"/>
      <w:bookmarkEnd w:id="1275"/>
    </w:p>
    <w:p>
      <w:pPr>
        <w:pStyle w:val="196"/>
        <w:spacing w:before="156"/>
        <w:ind w:firstLine="241"/>
        <w:rPr>
          <w:color w:val="000000" w:themeColor="text1"/>
          <w:highlight w:val="none"/>
          <w14:textFill>
            <w14:solidFill>
              <w14:schemeClr w14:val="tx1"/>
            </w14:solidFill>
          </w14:textFill>
        </w:rPr>
      </w:pPr>
      <w:bookmarkStart w:id="1276" w:name="_Toc102746093"/>
      <w:r>
        <w:rPr>
          <w:rFonts w:hint="eastAsia"/>
          <w:color w:val="000000" w:themeColor="text1"/>
          <w:highlight w:val="none"/>
          <w14:textFill>
            <w14:solidFill>
              <w14:schemeClr w14:val="tx1"/>
            </w14:solidFill>
          </w14:textFill>
        </w:rPr>
        <w:t>8.1 开始工作</w:t>
      </w:r>
      <w:bookmarkEnd w:id="1276"/>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8.1.1 开始准备工作：</w:t>
      </w:r>
      <w:r>
        <w:rPr>
          <w:rFonts w:hint="eastAsia"/>
          <w:color w:val="000000" w:themeColor="text1"/>
          <w:highlight w:val="none"/>
          <w:u w:val="single"/>
          <w14:textFill>
            <w14:solidFill>
              <w14:schemeClr w14:val="tx1"/>
            </w14:solidFill>
          </w14:textFill>
        </w:rPr>
        <w:t xml:space="preserve">  在开工通知前合同当事人根据合同相关要求做的所有工作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8.1.2 开始工作通知</w:t>
      </w:r>
    </w:p>
    <w:p>
      <w:pPr>
        <w:snapToGrid w:val="0"/>
        <w:spacing w:line="360" w:lineRule="auto"/>
        <w:ind w:firstLine="600"/>
        <w:rPr>
          <w:rFonts w:ascii="宋体" w:hAnsi="黑体"/>
          <w:color w:val="000000" w:themeColor="text1"/>
          <w:sz w:val="24"/>
          <w:szCs w:val="28"/>
          <w:highlight w:val="none"/>
          <w14:textFill>
            <w14:solidFill>
              <w14:schemeClr w14:val="tx1"/>
            </w14:solidFill>
          </w14:textFill>
        </w:rPr>
      </w:pPr>
      <w:r>
        <w:rPr>
          <w:rFonts w:hint="eastAsia" w:ascii="宋体" w:hAnsi="黑体"/>
          <w:color w:val="000000" w:themeColor="text1"/>
          <w:sz w:val="24"/>
          <w:szCs w:val="28"/>
          <w:highlight w:val="none"/>
          <w14:textFill>
            <w14:solidFill>
              <w14:schemeClr w14:val="tx1"/>
            </w14:solidFill>
          </w14:textFill>
        </w:rPr>
        <w:t>经发包人同意后，工程师应提前7天向承包人发出经发包人签认的开始工作通知，工期自开始工作通知中载明的开始工作日期起算。</w:t>
      </w:r>
      <w:r>
        <w:rPr>
          <w:rFonts w:hint="eastAsia" w:ascii="宋体" w:hAnsi="黑体"/>
          <w:color w:val="000000" w:themeColor="text1"/>
          <w:sz w:val="24"/>
          <w:szCs w:val="28"/>
          <w:highlight w:val="none"/>
          <w:u w:val="single"/>
          <w14:textFill>
            <w14:solidFill>
              <w14:schemeClr w14:val="tx1"/>
            </w14:solidFill>
          </w14:textFill>
        </w:rPr>
        <w:t>如合同签订后30天内，工程师未发出开工通知的，则按合同签订之日起30天后为开始工作日期。</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发包人可在计划开始工作之日起84日后发出开始工作通知的特殊情形：</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hAnsi="黑体"/>
          <w:color w:val="000000" w:themeColor="text1"/>
          <w:sz w:val="24"/>
          <w:szCs w:val="28"/>
          <w:highlight w:val="none"/>
          <w:u w:val="single"/>
          <w14:textFill>
            <w14:solidFill>
              <w14:schemeClr w14:val="tx1"/>
            </w14:solidFill>
          </w14:textFill>
        </w:rPr>
        <w:t>因发包人原因造成实际开始现场施工日期迟于计划开始现场施工日期的，工期顺延，费用不予增加。</w:t>
      </w:r>
    </w:p>
    <w:p>
      <w:pPr>
        <w:pStyle w:val="196"/>
        <w:spacing w:before="156"/>
        <w:ind w:firstLine="241"/>
        <w:rPr>
          <w:color w:val="000000" w:themeColor="text1"/>
          <w:highlight w:val="none"/>
          <w14:textFill>
            <w14:solidFill>
              <w14:schemeClr w14:val="tx1"/>
            </w14:solidFill>
          </w14:textFill>
        </w:rPr>
      </w:pPr>
      <w:bookmarkStart w:id="1277" w:name="_Toc102746094"/>
      <w:r>
        <w:rPr>
          <w:rFonts w:hint="eastAsia"/>
          <w:color w:val="000000" w:themeColor="text1"/>
          <w:highlight w:val="none"/>
          <w14:textFill>
            <w14:solidFill>
              <w14:schemeClr w14:val="tx1"/>
            </w14:solidFill>
          </w14:textFill>
        </w:rPr>
        <w:t>8.2 竣工日期</w:t>
      </w:r>
      <w:bookmarkEnd w:id="1277"/>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竣工日期的约定：</w:t>
      </w:r>
      <w:r>
        <w:rPr>
          <w:rFonts w:hint="eastAsia" w:ascii="宋体"/>
          <w:color w:val="000000" w:themeColor="text1"/>
          <w:sz w:val="24"/>
          <w:szCs w:val="28"/>
          <w:highlight w:val="none"/>
          <w:u w:val="single"/>
          <w14:textFill>
            <w14:solidFill>
              <w14:schemeClr w14:val="tx1"/>
            </w14:solidFill>
          </w14:textFill>
        </w:rPr>
        <w:t xml:space="preserve">  发包人书面同意竣工验收合格之日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78" w:name="_Toc102746095"/>
      <w:r>
        <w:rPr>
          <w:rFonts w:hint="eastAsia"/>
          <w:color w:val="000000" w:themeColor="text1"/>
          <w:highlight w:val="none"/>
          <w14:textFill>
            <w14:solidFill>
              <w14:schemeClr w14:val="tx1"/>
            </w14:solidFill>
          </w14:textFill>
        </w:rPr>
        <w:t>8.3 项目实施计划</w:t>
      </w:r>
      <w:bookmarkEnd w:id="1278"/>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8.3.1 项目实施计划的内容</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项目实施计划的内容：</w:t>
      </w:r>
      <w:r>
        <w:rPr>
          <w:rFonts w:hint="eastAsia" w:ascii="宋体"/>
          <w:color w:val="000000" w:themeColor="text1"/>
          <w:sz w:val="24"/>
          <w:szCs w:val="28"/>
          <w:highlight w:val="none"/>
          <w:u w:val="single"/>
          <w14:textFill>
            <w14:solidFill>
              <w14:schemeClr w14:val="tx1"/>
            </w14:solidFill>
          </w14:textFill>
        </w:rPr>
        <w:t xml:space="preserve"> 按照发包人要求提供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8.3.2 项目实施计划的提交和修改</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项目实施计划的提交及修改期限：</w:t>
      </w:r>
      <w:r>
        <w:rPr>
          <w:rFonts w:hint="eastAsia" w:ascii="宋体"/>
          <w:color w:val="000000" w:themeColor="text1"/>
          <w:sz w:val="24"/>
          <w:szCs w:val="28"/>
          <w:highlight w:val="none"/>
          <w:u w:val="single"/>
          <w14:textFill>
            <w14:solidFill>
              <w14:schemeClr w14:val="tx1"/>
            </w14:solidFill>
          </w14:textFill>
        </w:rPr>
        <w:t xml:space="preserve"> 按照发包人要求提供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79" w:name="_Toc102746096"/>
      <w:r>
        <w:rPr>
          <w:rFonts w:hint="eastAsia"/>
          <w:color w:val="000000" w:themeColor="text1"/>
          <w:highlight w:val="none"/>
          <w14:textFill>
            <w14:solidFill>
              <w14:schemeClr w14:val="tx1"/>
            </w14:solidFill>
          </w14:textFill>
        </w:rPr>
        <w:t>8.4 项目进度计划</w:t>
      </w:r>
      <w:bookmarkEnd w:id="1279"/>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8.4.1 工程师在收到进度计划后确认或提出修改意见的期限：</w:t>
      </w:r>
      <w:r>
        <w:rPr>
          <w:rFonts w:hint="eastAsia"/>
          <w:color w:val="000000" w:themeColor="text1"/>
          <w:highlight w:val="none"/>
          <w:u w:val="single"/>
          <w14:textFill>
            <w14:solidFill>
              <w14:schemeClr w14:val="tx1"/>
            </w14:solidFill>
          </w14:textFill>
        </w:rPr>
        <w:t xml:space="preserve"> 进度计划需经发包人出具书面批准意见方可正式实施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8.4.2 进度计划的具体要求：</w:t>
      </w:r>
      <w:r>
        <w:rPr>
          <w:rFonts w:hint="eastAsia"/>
          <w:color w:val="000000" w:themeColor="text1"/>
          <w:highlight w:val="none"/>
          <w:u w:val="single"/>
          <w14:textFill>
            <w14:solidFill>
              <w14:schemeClr w14:val="tx1"/>
            </w14:solidFill>
          </w14:textFill>
        </w:rPr>
        <w:t xml:space="preserve"> 按照发包人要求提供  </w:t>
      </w:r>
      <w:r>
        <w:rPr>
          <w:rFonts w:hint="eastAsia"/>
          <w:color w:val="000000" w:themeColor="text1"/>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关键路径及关键路径变化的确定原则：</w:t>
      </w:r>
      <w:r>
        <w:rPr>
          <w:rFonts w:hint="eastAsia" w:ascii="宋体"/>
          <w:color w:val="000000" w:themeColor="text1"/>
          <w:sz w:val="24"/>
          <w:szCs w:val="28"/>
          <w:highlight w:val="none"/>
          <w:u w:val="single"/>
          <w14:textFill>
            <w14:solidFill>
              <w14:schemeClr w14:val="tx1"/>
            </w14:solidFill>
          </w14:textFill>
        </w:rPr>
        <w:t xml:space="preserve"> 按照发包人要求提供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承包人提交项目进度计划的份数和时间：</w:t>
      </w:r>
      <w:r>
        <w:rPr>
          <w:rFonts w:hint="eastAsia" w:ascii="宋体"/>
          <w:color w:val="000000" w:themeColor="text1"/>
          <w:sz w:val="24"/>
          <w:szCs w:val="28"/>
          <w:highlight w:val="none"/>
          <w:u w:val="single"/>
          <w14:textFill>
            <w14:solidFill>
              <w14:schemeClr w14:val="tx1"/>
            </w14:solidFill>
          </w14:textFill>
        </w:rPr>
        <w:t xml:space="preserve"> 按照发包人要求提供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8.4.3 进度计划的修订</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承包人提交修订项目进度计划申请报告的期限：</w:t>
      </w:r>
      <w:r>
        <w:rPr>
          <w:rFonts w:hint="eastAsia" w:ascii="宋体"/>
          <w:color w:val="000000" w:themeColor="text1"/>
          <w:sz w:val="24"/>
          <w:szCs w:val="28"/>
          <w:highlight w:val="none"/>
          <w:u w:val="single"/>
          <w14:textFill>
            <w14:solidFill>
              <w14:schemeClr w14:val="tx1"/>
            </w14:solidFill>
          </w14:textFill>
        </w:rPr>
        <w:t xml:space="preserve"> 按照发包人要求提供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发包人批复修订项目进度计划申请报告的期限：</w:t>
      </w:r>
      <w:r>
        <w:rPr>
          <w:rFonts w:hint="eastAsia" w:ascii="宋体"/>
          <w:color w:val="000000" w:themeColor="text1"/>
          <w:sz w:val="24"/>
          <w:szCs w:val="28"/>
          <w:highlight w:val="none"/>
          <w:u w:val="single"/>
          <w14:textFill>
            <w14:solidFill>
              <w14:schemeClr w14:val="tx1"/>
            </w14:solidFill>
          </w14:textFill>
        </w:rPr>
        <w:t xml:space="preserve"> 进度计划的修订需经发包人出具书面批准意见方可正式实施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承包人答复发包人提出修订合同计划的期限：</w:t>
      </w:r>
      <w:r>
        <w:rPr>
          <w:rFonts w:hint="eastAsia" w:ascii="宋体"/>
          <w:color w:val="000000" w:themeColor="text1"/>
          <w:sz w:val="24"/>
          <w:szCs w:val="28"/>
          <w:highlight w:val="none"/>
          <w:u w:val="single"/>
          <w14:textFill>
            <w14:solidFill>
              <w14:schemeClr w14:val="tx1"/>
            </w14:solidFill>
          </w14:textFill>
        </w:rPr>
        <w:t xml:space="preserve"> 3个工作日内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80" w:name="_Toc102746097"/>
      <w:r>
        <w:rPr>
          <w:rFonts w:hint="eastAsia"/>
          <w:color w:val="000000" w:themeColor="text1"/>
          <w:highlight w:val="none"/>
          <w14:textFill>
            <w14:solidFill>
              <w14:schemeClr w14:val="tx1"/>
            </w14:solidFill>
          </w14:textFill>
        </w:rPr>
        <w:t>8.5 进度报告</w:t>
      </w:r>
      <w:bookmarkEnd w:id="1280"/>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进度报告的具体要求：</w:t>
      </w:r>
      <w:r>
        <w:rPr>
          <w:rFonts w:hint="eastAsia" w:ascii="宋体"/>
          <w:color w:val="000000" w:themeColor="text1"/>
          <w:sz w:val="24"/>
          <w:szCs w:val="28"/>
          <w:highlight w:val="none"/>
          <w:u w:val="single"/>
          <w14:textFill>
            <w14:solidFill>
              <w14:schemeClr w14:val="tx1"/>
            </w14:solidFill>
          </w14:textFill>
        </w:rPr>
        <w:t xml:space="preserve">  按照发包人要求提供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81" w:name="_Toc102746098"/>
      <w:r>
        <w:rPr>
          <w:rFonts w:hint="eastAsia"/>
          <w:color w:val="000000" w:themeColor="text1"/>
          <w:highlight w:val="none"/>
          <w14:textFill>
            <w14:solidFill>
              <w14:schemeClr w14:val="tx1"/>
            </w14:solidFill>
          </w14:textFill>
        </w:rPr>
        <w:t>8.7 工期延误</w:t>
      </w:r>
      <w:bookmarkEnd w:id="1281"/>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8.7.2 因承包人原因导致工期延误</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因承包人原因使竣工日期延误，</w:t>
      </w:r>
      <w:r>
        <w:rPr>
          <w:rFonts w:hint="eastAsia" w:ascii="宋体"/>
          <w:color w:val="000000" w:themeColor="text1"/>
          <w:sz w:val="24"/>
          <w:szCs w:val="28"/>
          <w:highlight w:val="none"/>
          <w:u w:val="single"/>
          <w14:textFill>
            <w14:solidFill>
              <w14:schemeClr w14:val="tx1"/>
            </w14:solidFill>
          </w14:textFill>
        </w:rPr>
        <w:t>承包人需按“15.2.3 承包人违约的责任”承担违约责任。</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8.7.3 行政审批迟延</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行政审批报送的职责分工：</w:t>
      </w:r>
      <w:r>
        <w:rPr>
          <w:rFonts w:hint="eastAsia" w:ascii="宋体"/>
          <w:color w:val="000000" w:themeColor="text1"/>
          <w:sz w:val="24"/>
          <w:szCs w:val="28"/>
          <w:highlight w:val="none"/>
          <w:u w:val="single"/>
          <w14:textFill>
            <w14:solidFill>
              <w14:schemeClr w14:val="tx1"/>
            </w14:solidFill>
          </w14:textFill>
        </w:rPr>
        <w:t xml:space="preserve"> 承包人负责</w:t>
      </w:r>
      <w:r>
        <w:rPr>
          <w:rFonts w:hint="eastAsia" w:ascii="宋体" w:cs="Microsoft JhengHei Light"/>
          <w:color w:val="000000" w:themeColor="text1"/>
          <w:kern w:val="0"/>
          <w:sz w:val="24"/>
          <w:szCs w:val="28"/>
          <w:highlight w:val="none"/>
          <w:u w:val="single"/>
          <w:lang w:val="zh-CN"/>
          <w14:textFill>
            <w14:solidFill>
              <w14:schemeClr w14:val="tx1"/>
            </w14:solidFill>
          </w14:textFill>
        </w:rPr>
        <w:t>办理除项目立项批复和规划选址意见书以外的本项目交付使用前所必须履行的项目建设审查、审批、许可、批准或备案手续（包括但不限于设计文件审查、建设工程 规划许可证、消防、防雷、人防、环保、电力办理报审等），并承担相关费用。如因承包人原因导致上述相关行政审批有所延误的，承包人须承担相应的责任</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8.7.4 异常恶劣的气候条件</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双方约定视为异常恶劣的气候条件的情形：</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82" w:name="_Toc102746099"/>
      <w:r>
        <w:rPr>
          <w:rFonts w:hint="eastAsia"/>
          <w:color w:val="000000" w:themeColor="text1"/>
          <w:highlight w:val="none"/>
          <w14:textFill>
            <w14:solidFill>
              <w14:schemeClr w14:val="tx1"/>
            </w14:solidFill>
          </w14:textFill>
        </w:rPr>
        <w:t>8.8 工期提前</w:t>
      </w:r>
      <w:bookmarkEnd w:id="1282"/>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8.8.2 承包人提前竣工的奖励：</w:t>
      </w:r>
      <w:r>
        <w:rPr>
          <w:rFonts w:hint="eastAsia"/>
          <w:color w:val="000000" w:themeColor="text1"/>
          <w:highlight w:val="none"/>
          <w:u w:val="single"/>
          <w14:textFill>
            <w14:solidFill>
              <w14:schemeClr w14:val="tx1"/>
            </w14:solidFill>
          </w14:textFill>
        </w:rPr>
        <w:t xml:space="preserve">  无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283" w:name="_Toc102746100"/>
      <w:bookmarkStart w:id="1284" w:name="_Toc99813154"/>
      <w:r>
        <w:rPr>
          <w:rFonts w:hint="eastAsia"/>
          <w:color w:val="000000" w:themeColor="text1"/>
          <w:highlight w:val="none"/>
          <w14:textFill>
            <w14:solidFill>
              <w14:schemeClr w14:val="tx1"/>
            </w14:solidFill>
          </w14:textFill>
        </w:rPr>
        <w:t>8.9 暂停工作</w:t>
      </w:r>
      <w:bookmarkEnd w:id="1283"/>
      <w:bookmarkEnd w:id="1284"/>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8.9.2 </w:t>
      </w:r>
      <w:r>
        <w:rPr>
          <w:rFonts w:hint="eastAsia"/>
          <w:color w:val="000000" w:themeColor="text1"/>
          <w:highlight w:val="none"/>
          <w14:textFill>
            <w14:solidFill>
              <w14:schemeClr w14:val="tx1"/>
            </w14:solidFill>
          </w14:textFill>
        </w:rPr>
        <w:t>由承包人暂停工作</w:t>
      </w:r>
    </w:p>
    <w:p>
      <w:pPr>
        <w:snapToGrid w:val="0"/>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因承包人原因所造成部分或全部工程的暂停，承包人应采取措施尽快复工并赶上进度，由此造成费用的增加或工期延误由承包人承担。因此造成逾期竣工的，承包人应按第</w:t>
      </w:r>
      <w:r>
        <w:rPr>
          <w:rFonts w:ascii="宋体"/>
          <w:color w:val="000000" w:themeColor="text1"/>
          <w:sz w:val="24"/>
          <w:highlight w:val="none"/>
          <w14:textFill>
            <w14:solidFill>
              <w14:schemeClr w14:val="tx1"/>
            </w14:solidFill>
          </w14:textFill>
        </w:rPr>
        <w:t>8.7.2</w:t>
      </w:r>
      <w:r>
        <w:rPr>
          <w:rFonts w:hint="eastAsia" w:ascii="宋体"/>
          <w:color w:val="000000" w:themeColor="text1"/>
          <w:sz w:val="24"/>
          <w:highlight w:val="none"/>
          <w14:textFill>
            <w14:solidFill>
              <w14:schemeClr w14:val="tx1"/>
            </w14:solidFill>
          </w14:textFill>
        </w:rPr>
        <w:t>项</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因承包人原因导致工期延误</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承担逾期竣工违约责任。</w:t>
      </w:r>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合同履行过程中，发生发包人未按约定履行合同其他义务导致承包人无法继续履行合同的，或者发包人明确表示暂停或实质上已暂停履行合同的情形的，承包人可向发包人发出通知，要求发包人采取有效措施予以纠正。发包人收到承包人通知后的</w:t>
      </w:r>
      <w:r>
        <w:rPr>
          <w:rFonts w:ascii="宋体"/>
          <w:color w:val="000000" w:themeColor="text1"/>
          <w:sz w:val="24"/>
          <w:highlight w:val="none"/>
          <w14:textFill>
            <w14:solidFill>
              <w14:schemeClr w14:val="tx1"/>
            </w14:solidFill>
          </w14:textFill>
        </w:rPr>
        <w:t>42</w:t>
      </w:r>
      <w:r>
        <w:rPr>
          <w:rFonts w:hint="eastAsia" w:ascii="宋体"/>
          <w:color w:val="000000" w:themeColor="text1"/>
          <w:sz w:val="24"/>
          <w:highlight w:val="none"/>
          <w14:textFill>
            <w14:solidFill>
              <w14:schemeClr w14:val="tx1"/>
            </w14:solidFill>
          </w14:textFill>
        </w:rPr>
        <w:t>天内仍不采取纠正措施的，承包人有权暂停施工，并通知工程师。承包人有权要求发包人延长工期和（或）增加费用。</w:t>
      </w:r>
    </w:p>
    <w:p>
      <w:pPr>
        <w:pStyle w:val="169"/>
        <w:spacing w:before="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8.9.5 </w:t>
      </w:r>
      <w:r>
        <w:rPr>
          <w:rFonts w:hint="eastAsia"/>
          <w:color w:val="000000" w:themeColor="text1"/>
          <w:highlight w:val="none"/>
          <w14:textFill>
            <w14:solidFill>
              <w14:schemeClr w14:val="tx1"/>
            </w14:solidFill>
          </w14:textFill>
        </w:rPr>
        <w:t>拖长的暂停</w:t>
      </w:r>
    </w:p>
    <w:p>
      <w:pPr>
        <w:pStyle w:val="168"/>
        <w:snapToGrid w:val="0"/>
        <w:spacing w:before="156" w:line="360" w:lineRule="auto"/>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根据第</w:t>
      </w:r>
      <w:r>
        <w:rPr>
          <w:color w:val="000000" w:themeColor="text1"/>
          <w:highlight w:val="none"/>
          <w14:textFill>
            <w14:solidFill>
              <w14:schemeClr w14:val="tx1"/>
            </w14:solidFill>
          </w14:textFill>
        </w:rPr>
        <w:t>8.9.1</w:t>
      </w:r>
      <w:r>
        <w:rPr>
          <w:rFonts w:hint="eastAsia"/>
          <w:color w:val="000000" w:themeColor="text1"/>
          <w:highlight w:val="none"/>
          <w14:textFill>
            <w14:solidFill>
              <w14:schemeClr w14:val="tx1"/>
            </w14:solidFill>
          </w14:textFill>
        </w:rPr>
        <w:t>项</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由发包人暂停工作</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暂停工作持续超过</w:t>
      </w:r>
      <w:r>
        <w:rPr>
          <w:color w:val="000000" w:themeColor="text1"/>
          <w:highlight w:val="none"/>
          <w14:textFill>
            <w14:solidFill>
              <w14:schemeClr w14:val="tx1"/>
            </w14:solidFill>
          </w14:textFill>
        </w:rPr>
        <w:t>56</w:t>
      </w:r>
      <w:r>
        <w:rPr>
          <w:rFonts w:hint="eastAsia"/>
          <w:color w:val="000000" w:themeColor="text1"/>
          <w:highlight w:val="none"/>
          <w14:textFill>
            <w14:solidFill>
              <w14:schemeClr w14:val="tx1"/>
            </w14:solidFill>
          </w14:textFill>
        </w:rPr>
        <w:t>天的，承包人可向发包人发出要求复工的通知。如果发包人收到书面通知后，没有在</w:t>
      </w:r>
      <w:r>
        <w:rPr>
          <w:color w:val="000000" w:themeColor="text1"/>
          <w:highlight w:val="none"/>
          <w14:textFill>
            <w14:solidFill>
              <w14:schemeClr w14:val="tx1"/>
            </w14:solidFill>
          </w14:textFill>
        </w:rPr>
        <w:t>42</w:t>
      </w:r>
      <w:r>
        <w:rPr>
          <w:rFonts w:hint="eastAsia"/>
          <w:color w:val="000000" w:themeColor="text1"/>
          <w:highlight w:val="none"/>
          <w14:textFill>
            <w14:solidFill>
              <w14:schemeClr w14:val="tx1"/>
            </w14:solidFill>
          </w14:textFill>
        </w:rPr>
        <w:t>天内准许已暂停工作的全部或部分继续工作也没有作继续暂停工作情况说明的，承包人有权根据第</w:t>
      </w:r>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变更与调整</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的约定，要求以变更方式调减受暂停影响的部分工程。</w:t>
      </w:r>
    </w:p>
    <w:p>
      <w:pPr>
        <w:rPr>
          <w:color w:val="000000" w:themeColor="text1"/>
          <w:highlight w:val="none"/>
          <w14:textFill>
            <w14:solidFill>
              <w14:schemeClr w14:val="tx1"/>
            </w14:solidFill>
          </w14:textFill>
        </w:rPr>
      </w:pPr>
    </w:p>
    <w:p>
      <w:pPr>
        <w:pStyle w:val="200"/>
        <w:rPr>
          <w:color w:val="000000" w:themeColor="text1"/>
          <w:highlight w:val="none"/>
          <w14:textFill>
            <w14:solidFill>
              <w14:schemeClr w14:val="tx1"/>
            </w14:solidFill>
          </w14:textFill>
        </w:rPr>
      </w:pPr>
      <w:bookmarkStart w:id="1285" w:name="_Toc15226"/>
      <w:bookmarkStart w:id="1286" w:name="_Toc13346"/>
      <w:bookmarkStart w:id="1287" w:name="_Toc19531"/>
      <w:bookmarkStart w:id="1288" w:name="_Toc54862340"/>
      <w:bookmarkStart w:id="1289" w:name="_Toc30545"/>
      <w:bookmarkStart w:id="1290" w:name="_Toc25976"/>
      <w:bookmarkStart w:id="1291" w:name="_Toc102746101"/>
      <w:bookmarkStart w:id="1292" w:name="_Toc29018"/>
      <w:bookmarkStart w:id="1293" w:name="_Toc19085"/>
      <w:bookmarkStart w:id="1294" w:name="_Toc5448"/>
      <w:r>
        <w:rPr>
          <w:rFonts w:hint="eastAsia"/>
          <w:color w:val="000000" w:themeColor="text1"/>
          <w:highlight w:val="none"/>
          <w14:textFill>
            <w14:solidFill>
              <w14:schemeClr w14:val="tx1"/>
            </w14:solidFill>
          </w14:textFill>
        </w:rPr>
        <w:t>第9条 竣工试验</w:t>
      </w:r>
      <w:bookmarkEnd w:id="1285"/>
      <w:bookmarkEnd w:id="1286"/>
      <w:bookmarkEnd w:id="1287"/>
      <w:bookmarkEnd w:id="1288"/>
      <w:bookmarkEnd w:id="1289"/>
      <w:bookmarkEnd w:id="1290"/>
      <w:bookmarkEnd w:id="1291"/>
      <w:bookmarkEnd w:id="1292"/>
      <w:bookmarkEnd w:id="1293"/>
      <w:bookmarkEnd w:id="1294"/>
    </w:p>
    <w:p>
      <w:pPr>
        <w:pStyle w:val="196"/>
        <w:spacing w:before="156"/>
        <w:ind w:firstLine="241"/>
        <w:rPr>
          <w:color w:val="000000" w:themeColor="text1"/>
          <w:highlight w:val="none"/>
          <w14:textFill>
            <w14:solidFill>
              <w14:schemeClr w14:val="tx1"/>
            </w14:solidFill>
          </w14:textFill>
        </w:rPr>
      </w:pPr>
      <w:bookmarkStart w:id="1295" w:name="_Toc102746102"/>
      <w:r>
        <w:rPr>
          <w:rFonts w:hint="eastAsia"/>
          <w:color w:val="000000" w:themeColor="text1"/>
          <w:highlight w:val="none"/>
          <w14:textFill>
            <w14:solidFill>
              <w14:schemeClr w14:val="tx1"/>
            </w14:solidFill>
          </w14:textFill>
        </w:rPr>
        <w:t>9.1 竣工试验的义务</w:t>
      </w:r>
      <w:bookmarkEnd w:id="1295"/>
    </w:p>
    <w:p>
      <w:pPr>
        <w:snapToGrid w:val="0"/>
        <w:spacing w:line="360" w:lineRule="auto"/>
        <w:ind w:firstLine="600"/>
        <w:outlineLvl w:val="2"/>
        <w:rPr>
          <w:rFonts w:ascii="宋体" w:hAnsi="黑体"/>
          <w:color w:val="000000" w:themeColor="text1"/>
          <w:kern w:val="0"/>
          <w:sz w:val="24"/>
          <w:highlight w:val="none"/>
          <w14:textFill>
            <w14:solidFill>
              <w14:schemeClr w14:val="tx1"/>
            </w14:solidFill>
          </w14:textFill>
        </w:rPr>
      </w:pPr>
      <w:bookmarkStart w:id="1296" w:name="_Toc17099"/>
      <w:bookmarkStart w:id="1297" w:name="_Toc11214"/>
      <w:r>
        <w:rPr>
          <w:rFonts w:ascii="宋体" w:hAnsi="黑体"/>
          <w:color w:val="000000" w:themeColor="text1"/>
          <w:kern w:val="0"/>
          <w:sz w:val="24"/>
          <w:highlight w:val="none"/>
          <w14:textFill>
            <w14:solidFill>
              <w14:schemeClr w14:val="tx1"/>
            </w14:solidFill>
          </w14:textFill>
        </w:rPr>
        <w:t xml:space="preserve">9.1.2 </w:t>
      </w:r>
      <w:r>
        <w:rPr>
          <w:rFonts w:hint="eastAsia" w:ascii="宋体" w:hAnsi="黑体"/>
          <w:color w:val="000000" w:themeColor="text1"/>
          <w:kern w:val="0"/>
          <w:sz w:val="24"/>
          <w:highlight w:val="none"/>
          <w14:textFill>
            <w14:solidFill>
              <w14:schemeClr w14:val="tx1"/>
            </w14:solidFill>
          </w14:textFill>
        </w:rPr>
        <w:t>竣工试验计划</w:t>
      </w:r>
      <w:bookmarkEnd w:id="1296"/>
      <w:bookmarkEnd w:id="1297"/>
    </w:p>
    <w:p>
      <w:pPr>
        <w:snapToGrid w:val="0"/>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承包人应在进行竣工试验之前，至少提前</w:t>
      </w:r>
      <w:r>
        <w:rPr>
          <w:rFonts w:ascii="宋体"/>
          <w:color w:val="000000" w:themeColor="text1"/>
          <w:sz w:val="24"/>
          <w:highlight w:val="none"/>
          <w14:textFill>
            <w14:solidFill>
              <w14:schemeClr w14:val="tx1"/>
            </w14:solidFill>
          </w14:textFill>
        </w:rPr>
        <w:t>42</w:t>
      </w:r>
      <w:r>
        <w:rPr>
          <w:rFonts w:hint="eastAsia" w:ascii="宋体"/>
          <w:color w:val="000000" w:themeColor="text1"/>
          <w:sz w:val="24"/>
          <w:highlight w:val="none"/>
          <w14:textFill>
            <w14:solidFill>
              <w14:schemeClr w14:val="tx1"/>
            </w14:solidFill>
          </w14:textFill>
        </w:rPr>
        <w:t>天向工程师提交详细的竣工试验计划。经发包人书面同意上述计划后，承包人方可进行竣工试验。</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9.1.3 竣工试验的阶段、内容和顺序：</w:t>
      </w:r>
      <w:r>
        <w:rPr>
          <w:rFonts w:hint="eastAsia"/>
          <w:color w:val="000000" w:themeColor="text1"/>
          <w:highlight w:val="none"/>
          <w:u w:val="single"/>
          <w14:textFill>
            <w14:solidFill>
              <w14:schemeClr w14:val="tx1"/>
            </w14:solidFill>
          </w14:textFill>
        </w:rPr>
        <w:t xml:space="preserve"> 按“合同通用条件9.1.3” </w:t>
      </w:r>
      <w:r>
        <w:rPr>
          <w:rFonts w:hint="eastAsia"/>
          <w:color w:val="000000" w:themeColor="text1"/>
          <w:highlight w:val="none"/>
          <w14:textFill>
            <w14:solidFill>
              <w14:schemeClr w14:val="tx1"/>
            </w14:solidFill>
          </w14:textFill>
        </w:rPr>
        <w:t>。</w:t>
      </w:r>
    </w:p>
    <w:p>
      <w:pPr>
        <w:snapToGrid w:val="0"/>
        <w:spacing w:line="360" w:lineRule="auto"/>
        <w:ind w:firstLine="1200" w:firstLineChars="5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竣工试验的操作要求：</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u w:val="single"/>
          <w14:textFill>
            <w14:solidFill>
              <w14:schemeClr w14:val="tx1"/>
            </w14:solidFill>
          </w14:textFill>
        </w:rPr>
        <w:t>/</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outlineLvl w:val="2"/>
        <w:rPr>
          <w:rFonts w:ascii="宋体" w:hAnsi="黑体"/>
          <w:color w:val="000000" w:themeColor="text1"/>
          <w:kern w:val="0"/>
          <w:sz w:val="24"/>
          <w:highlight w:val="none"/>
          <w14:textFill>
            <w14:solidFill>
              <w14:schemeClr w14:val="tx1"/>
            </w14:solidFill>
          </w14:textFill>
        </w:rPr>
      </w:pPr>
      <w:r>
        <w:rPr>
          <w:rFonts w:ascii="宋体" w:hAnsi="黑体"/>
          <w:color w:val="000000" w:themeColor="text1"/>
          <w:kern w:val="0"/>
          <w:sz w:val="24"/>
          <w:highlight w:val="none"/>
          <w14:textFill>
            <w14:solidFill>
              <w14:schemeClr w14:val="tx1"/>
            </w14:solidFill>
          </w14:textFill>
        </w:rPr>
        <w:t xml:space="preserve">9.1.4 </w:t>
      </w:r>
      <w:r>
        <w:rPr>
          <w:rFonts w:hint="eastAsia" w:ascii="宋体" w:hAnsi="黑体"/>
          <w:color w:val="000000" w:themeColor="text1"/>
          <w:kern w:val="0"/>
          <w:sz w:val="24"/>
          <w:highlight w:val="none"/>
          <w14:textFill>
            <w14:solidFill>
              <w14:schemeClr w14:val="tx1"/>
            </w14:solidFill>
          </w14:textFill>
        </w:rPr>
        <w:t>完成上述各阶段竣工试验后，承包人应向工程师提交试验结果报告，试验结果须符合约定的标准、规范和数据。经发包人书面同意后，方视为试验结果合格。</w:t>
      </w:r>
    </w:p>
    <w:p>
      <w:pPr>
        <w:pStyle w:val="200"/>
        <w:rPr>
          <w:color w:val="000000" w:themeColor="text1"/>
          <w:highlight w:val="none"/>
          <w14:textFill>
            <w14:solidFill>
              <w14:schemeClr w14:val="tx1"/>
            </w14:solidFill>
          </w14:textFill>
        </w:rPr>
      </w:pPr>
      <w:bookmarkStart w:id="1298" w:name="_Toc4784273"/>
      <w:bookmarkEnd w:id="1298"/>
      <w:bookmarkStart w:id="1299" w:name="_Toc4784272"/>
      <w:bookmarkEnd w:id="1299"/>
      <w:bookmarkStart w:id="1300" w:name="_Toc19816"/>
      <w:bookmarkStart w:id="1301" w:name="_Toc102746103"/>
      <w:bookmarkStart w:id="1302" w:name="_Toc25927"/>
      <w:bookmarkStart w:id="1303" w:name="_Toc28732"/>
      <w:bookmarkStart w:id="1304" w:name="_Toc29951"/>
      <w:bookmarkStart w:id="1305" w:name="_Toc54862341"/>
      <w:bookmarkStart w:id="1306" w:name="_Toc11799"/>
      <w:bookmarkStart w:id="1307" w:name="_Toc7620"/>
      <w:bookmarkStart w:id="1308" w:name="_Toc19716"/>
      <w:bookmarkStart w:id="1309" w:name="_Toc15625"/>
      <w:r>
        <w:rPr>
          <w:rFonts w:hint="eastAsia"/>
          <w:color w:val="000000" w:themeColor="text1"/>
          <w:highlight w:val="none"/>
          <w14:textFill>
            <w14:solidFill>
              <w14:schemeClr w14:val="tx1"/>
            </w14:solidFill>
          </w14:textFill>
        </w:rPr>
        <w:t>第10条 验收和工程接收</w:t>
      </w:r>
      <w:bookmarkEnd w:id="1300"/>
      <w:bookmarkEnd w:id="1301"/>
      <w:bookmarkEnd w:id="1302"/>
      <w:bookmarkEnd w:id="1303"/>
      <w:bookmarkEnd w:id="1304"/>
      <w:bookmarkEnd w:id="1305"/>
      <w:bookmarkEnd w:id="1306"/>
      <w:bookmarkEnd w:id="1307"/>
      <w:bookmarkEnd w:id="1308"/>
      <w:bookmarkEnd w:id="1309"/>
    </w:p>
    <w:p>
      <w:pPr>
        <w:pStyle w:val="196"/>
        <w:spacing w:before="156"/>
        <w:ind w:firstLine="241"/>
        <w:rPr>
          <w:color w:val="000000" w:themeColor="text1"/>
          <w:highlight w:val="none"/>
          <w14:textFill>
            <w14:solidFill>
              <w14:schemeClr w14:val="tx1"/>
            </w14:solidFill>
          </w14:textFill>
        </w:rPr>
      </w:pPr>
      <w:bookmarkStart w:id="1310" w:name="_Toc102746104"/>
      <w:r>
        <w:rPr>
          <w:rFonts w:hint="eastAsia"/>
          <w:color w:val="000000" w:themeColor="text1"/>
          <w:highlight w:val="none"/>
          <w14:textFill>
            <w14:solidFill>
              <w14:schemeClr w14:val="tx1"/>
            </w14:solidFill>
          </w14:textFill>
        </w:rPr>
        <w:t>10.1 竣工验收</w:t>
      </w:r>
      <w:bookmarkEnd w:id="1310"/>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10.1.2 关于竣工验收程序的约定：  原则上可按通用条件10.1.2款约定执行（发包人可根据实际情况调整），但工程需由发包人出具书面同意验收意见，方视为竣工验收合格   。</w:t>
      </w:r>
    </w:p>
    <w:p>
      <w:pPr>
        <w:snapToGrid w:val="0"/>
        <w:spacing w:line="360" w:lineRule="auto"/>
        <w:ind w:firstLine="600"/>
        <w:rPr>
          <w:rFonts w:ascii="宋体"/>
          <w:color w:val="000000" w:themeColor="text1"/>
          <w:sz w:val="24"/>
          <w:szCs w:val="28"/>
          <w:highlight w:val="none"/>
          <w14:textFill>
            <w14:solidFill>
              <w14:schemeClr w14:val="tx1"/>
            </w14:solidFill>
          </w14:textFill>
        </w:rPr>
      </w:pPr>
      <w:bookmarkStart w:id="1311" w:name="_Hlk46406260"/>
      <w:r>
        <w:rPr>
          <w:rFonts w:hint="eastAsia" w:ascii="宋体"/>
          <w:color w:val="000000" w:themeColor="text1"/>
          <w:sz w:val="24"/>
          <w:szCs w:val="28"/>
          <w:highlight w:val="none"/>
          <w14:textFill>
            <w14:solidFill>
              <w14:schemeClr w14:val="tx1"/>
            </w14:solidFill>
          </w14:textFill>
        </w:rPr>
        <w:t>发包人不按照合同约定组织竣工验收、颁发工程接受证书的违约金的计算方式：</w:t>
      </w:r>
      <w:r>
        <w:rPr>
          <w:rFonts w:hint="eastAsia" w:ascii="宋体"/>
          <w:color w:val="000000" w:themeColor="text1"/>
          <w:sz w:val="24"/>
          <w:szCs w:val="28"/>
          <w:highlight w:val="none"/>
          <w:u w:val="single"/>
          <w14:textFill>
            <w14:solidFill>
              <w14:schemeClr w14:val="tx1"/>
            </w14:solidFill>
          </w14:textFill>
        </w:rPr>
        <w:t xml:space="preserve">  不计付  </w:t>
      </w:r>
      <w:r>
        <w:rPr>
          <w:rFonts w:hint="eastAsia" w:ascii="宋体"/>
          <w:color w:val="000000" w:themeColor="text1"/>
          <w:sz w:val="24"/>
          <w:szCs w:val="28"/>
          <w:highlight w:val="none"/>
          <w14:textFill>
            <w14:solidFill>
              <w14:schemeClr w14:val="tx1"/>
            </w14:solidFill>
          </w14:textFill>
        </w:rPr>
        <w:t>。</w:t>
      </w:r>
    </w:p>
    <w:bookmarkEnd w:id="1311"/>
    <w:p>
      <w:pPr>
        <w:pStyle w:val="196"/>
        <w:spacing w:before="156"/>
        <w:ind w:firstLine="241"/>
        <w:rPr>
          <w:color w:val="000000" w:themeColor="text1"/>
          <w:highlight w:val="none"/>
          <w14:textFill>
            <w14:solidFill>
              <w14:schemeClr w14:val="tx1"/>
            </w14:solidFill>
          </w14:textFill>
        </w:rPr>
      </w:pPr>
      <w:bookmarkStart w:id="1312" w:name="_Toc102746105"/>
      <w:r>
        <w:rPr>
          <w:rFonts w:hint="eastAsia"/>
          <w:color w:val="000000" w:themeColor="text1"/>
          <w:highlight w:val="none"/>
          <w14:textFill>
            <w14:solidFill>
              <w14:schemeClr w14:val="tx1"/>
            </w14:solidFill>
          </w14:textFill>
        </w:rPr>
        <w:t>10.3 工程的接收</w:t>
      </w:r>
      <w:bookmarkEnd w:id="1312"/>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工程接收的先后顺序、时间安排和其他要求：</w:t>
      </w:r>
      <w:r>
        <w:rPr>
          <w:rFonts w:hint="eastAsia"/>
          <w:color w:val="000000" w:themeColor="text1"/>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10.3.2 接受工程时承包人需提交竣工验收资料的类别、内容、份数和提交时间： 完成竣工验收15天内，按主管部门要求标准准备完整的竣工验收资料，其中发包人要求保留8份、工程师各1份  。</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10.3.3 发包人逾期接收工程的违约责任：</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10.3.4 承包人无正当理由不移交工程的违约责任： 承包人除应承担工程照管、成品保护、保管等与工程有关的各项费用外，还需承担50万元的严重违约责任，违约金在合同应付款中扣除或直接提取履约担保 。</w:t>
      </w:r>
    </w:p>
    <w:p>
      <w:pPr>
        <w:pStyle w:val="196"/>
        <w:spacing w:before="156"/>
        <w:ind w:firstLine="241"/>
        <w:rPr>
          <w:color w:val="000000" w:themeColor="text1"/>
          <w:highlight w:val="none"/>
          <w14:textFill>
            <w14:solidFill>
              <w14:schemeClr w14:val="tx1"/>
            </w14:solidFill>
          </w14:textFill>
        </w:rPr>
      </w:pPr>
      <w:bookmarkStart w:id="1313" w:name="_Toc102746106"/>
      <w:r>
        <w:rPr>
          <w:rFonts w:hint="eastAsia"/>
          <w:color w:val="000000" w:themeColor="text1"/>
          <w:highlight w:val="none"/>
          <w14:textFill>
            <w14:solidFill>
              <w14:schemeClr w14:val="tx1"/>
            </w14:solidFill>
          </w14:textFill>
        </w:rPr>
        <w:t>10.4 接收证书</w:t>
      </w:r>
      <w:bookmarkEnd w:id="1313"/>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10.4.1 工程接收证书颁发时间：</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ind w:firstLine="480" w:firstLineChars="200"/>
        <w:rPr>
          <w:color w:val="000000" w:themeColor="text1"/>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删除通用条款</w:t>
      </w:r>
      <w:r>
        <w:rPr>
          <w:rFonts w:ascii="宋体"/>
          <w:color w:val="000000" w:themeColor="text1"/>
          <w:sz w:val="24"/>
          <w:highlight w:val="none"/>
          <w14:textFill>
            <w14:solidFill>
              <w14:schemeClr w14:val="tx1"/>
            </w14:solidFill>
          </w14:textFill>
        </w:rPr>
        <w:t xml:space="preserve">10.4.3 </w:t>
      </w:r>
      <w:r>
        <w:rPr>
          <w:rFonts w:hint="eastAsia" w:ascii="宋体"/>
          <w:color w:val="000000" w:themeColor="text1"/>
          <w:sz w:val="24"/>
          <w:highlight w:val="none"/>
          <w14:textFill>
            <w14:solidFill>
              <w14:schemeClr w14:val="tx1"/>
            </w14:solidFill>
          </w14:textFill>
        </w:rPr>
        <w:t>款、</w:t>
      </w:r>
      <w:r>
        <w:rPr>
          <w:rFonts w:ascii="宋体"/>
          <w:color w:val="000000" w:themeColor="text1"/>
          <w:sz w:val="24"/>
          <w:highlight w:val="none"/>
          <w14:textFill>
            <w14:solidFill>
              <w14:schemeClr w14:val="tx1"/>
            </w14:solidFill>
          </w14:textFill>
        </w:rPr>
        <w:t>10.4.4</w:t>
      </w:r>
      <w:r>
        <w:rPr>
          <w:rFonts w:hint="eastAsia" w:ascii="宋体"/>
          <w:color w:val="000000" w:themeColor="text1"/>
          <w:sz w:val="24"/>
          <w:highlight w:val="none"/>
          <w14:textFill>
            <w14:solidFill>
              <w14:schemeClr w14:val="tx1"/>
            </w14:solidFill>
          </w14:textFill>
        </w:rPr>
        <w:t>款</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14" w:name="_Toc102746107"/>
      <w:r>
        <w:rPr>
          <w:rFonts w:hint="eastAsia"/>
          <w:color w:val="000000" w:themeColor="text1"/>
          <w:highlight w:val="none"/>
          <w14:textFill>
            <w14:solidFill>
              <w14:schemeClr w14:val="tx1"/>
            </w14:solidFill>
          </w14:textFill>
        </w:rPr>
        <w:t>10.5 竣工退场</w:t>
      </w:r>
      <w:bookmarkEnd w:id="1314"/>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10.5.1 竣工退场的相关约定：承包人工程接收证书后15天内完成竣工退场逾期未完成的，按通用条件相关约定处理 。</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10.5.3</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人员撤离</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工程师同意需在缺陷责任期内继续工作和使用的人员、施工设备和临时工程的内容：</w:t>
      </w:r>
      <w:r>
        <w:rPr>
          <w:rFonts w:hint="eastAsia" w:ascii="宋体"/>
          <w:color w:val="000000" w:themeColor="text1"/>
          <w:sz w:val="24"/>
          <w:szCs w:val="28"/>
          <w:highlight w:val="none"/>
          <w:u w:val="single"/>
          <w14:textFill>
            <w14:solidFill>
              <w14:schemeClr w14:val="tx1"/>
            </w14:solidFill>
          </w14:textFill>
        </w:rPr>
        <w:t xml:space="preserve"> 以发包人书面要求为准 </w:t>
      </w:r>
      <w:r>
        <w:rPr>
          <w:rFonts w:hint="eastAsia" w:ascii="宋体"/>
          <w:color w:val="000000" w:themeColor="text1"/>
          <w:sz w:val="24"/>
          <w:szCs w:val="28"/>
          <w:highlight w:val="none"/>
          <w14:textFill>
            <w14:solidFill>
              <w14:schemeClr w14:val="tx1"/>
            </w14:solidFill>
          </w14:textFill>
        </w:rPr>
        <w:t>。</w:t>
      </w:r>
    </w:p>
    <w:p>
      <w:pPr>
        <w:pStyle w:val="200"/>
        <w:rPr>
          <w:color w:val="000000" w:themeColor="text1"/>
          <w:highlight w:val="none"/>
          <w14:textFill>
            <w14:solidFill>
              <w14:schemeClr w14:val="tx1"/>
            </w14:solidFill>
          </w14:textFill>
        </w:rPr>
      </w:pPr>
      <w:bookmarkStart w:id="1315" w:name="_Toc21695"/>
      <w:bookmarkStart w:id="1316" w:name="_Toc22171"/>
      <w:bookmarkStart w:id="1317" w:name="_Toc28849"/>
      <w:bookmarkStart w:id="1318" w:name="_Toc54862342"/>
      <w:bookmarkStart w:id="1319" w:name="_Toc4903"/>
      <w:bookmarkStart w:id="1320" w:name="_Toc15594"/>
      <w:bookmarkStart w:id="1321" w:name="_Toc25354"/>
      <w:bookmarkStart w:id="1322" w:name="_Toc24411"/>
      <w:bookmarkStart w:id="1323" w:name="_Toc102746108"/>
      <w:bookmarkStart w:id="1324" w:name="_Toc19981"/>
      <w:r>
        <w:rPr>
          <w:rFonts w:hint="eastAsia"/>
          <w:color w:val="000000" w:themeColor="text1"/>
          <w:highlight w:val="none"/>
          <w14:textFill>
            <w14:solidFill>
              <w14:schemeClr w14:val="tx1"/>
            </w14:solidFill>
          </w14:textFill>
        </w:rPr>
        <w:t>第11条 缺陷责任与保修</w:t>
      </w:r>
      <w:bookmarkEnd w:id="1315"/>
      <w:bookmarkEnd w:id="1316"/>
      <w:bookmarkEnd w:id="1317"/>
      <w:bookmarkEnd w:id="1318"/>
      <w:bookmarkEnd w:id="1319"/>
      <w:bookmarkEnd w:id="1320"/>
      <w:bookmarkEnd w:id="1321"/>
      <w:bookmarkEnd w:id="1322"/>
      <w:bookmarkEnd w:id="1323"/>
      <w:bookmarkEnd w:id="1324"/>
    </w:p>
    <w:p>
      <w:pPr>
        <w:pStyle w:val="196"/>
        <w:spacing w:before="156"/>
        <w:ind w:firstLine="241"/>
        <w:rPr>
          <w:color w:val="000000" w:themeColor="text1"/>
          <w:highlight w:val="none"/>
          <w14:textFill>
            <w14:solidFill>
              <w14:schemeClr w14:val="tx1"/>
            </w14:solidFill>
          </w14:textFill>
        </w:rPr>
      </w:pPr>
      <w:bookmarkStart w:id="1325" w:name="_Toc102746109"/>
      <w:r>
        <w:rPr>
          <w:rFonts w:hint="eastAsia"/>
          <w:color w:val="000000" w:themeColor="text1"/>
          <w:highlight w:val="none"/>
          <w14:textFill>
            <w14:solidFill>
              <w14:schemeClr w14:val="tx1"/>
            </w14:solidFill>
          </w14:textFill>
        </w:rPr>
        <w:t>11.2 缺陷责任期</w:t>
      </w:r>
      <w:bookmarkEnd w:id="1325"/>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缺陷责任期的期限：</w:t>
      </w:r>
      <w:r>
        <w:rPr>
          <w:rFonts w:hint="eastAsia" w:ascii="宋体"/>
          <w:color w:val="000000" w:themeColor="text1"/>
          <w:sz w:val="24"/>
          <w:szCs w:val="28"/>
          <w:highlight w:val="none"/>
          <w:u w:val="single"/>
          <w14:textFill>
            <w14:solidFill>
              <w14:schemeClr w14:val="tx1"/>
            </w14:solidFill>
          </w14:textFill>
        </w:rPr>
        <w:t xml:space="preserve"> 24个月</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26" w:name="_Toc102746110"/>
      <w:r>
        <w:rPr>
          <w:rFonts w:hint="eastAsia"/>
          <w:color w:val="000000" w:themeColor="text1"/>
          <w:highlight w:val="none"/>
          <w14:textFill>
            <w14:solidFill>
              <w14:schemeClr w14:val="tx1"/>
            </w14:solidFill>
          </w14:textFill>
        </w:rPr>
        <w:t>11.3 缺陷调查</w:t>
      </w:r>
      <w:bookmarkEnd w:id="1326"/>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11.3.4 修复通知</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承包人收到保修通知并到达工程现场的合理时间：</w:t>
      </w:r>
      <w:r>
        <w:rPr>
          <w:rFonts w:hint="eastAsia" w:ascii="宋体"/>
          <w:color w:val="000000" w:themeColor="text1"/>
          <w:sz w:val="24"/>
          <w:szCs w:val="28"/>
          <w:highlight w:val="none"/>
          <w:u w:val="single"/>
          <w14:textFill>
            <w14:solidFill>
              <w14:schemeClr w14:val="tx1"/>
            </w14:solidFill>
          </w14:textFill>
        </w:rPr>
        <w:t xml:space="preserve"> 24小时内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27" w:name="_Toc5853"/>
      <w:bookmarkStart w:id="1328" w:name="_Toc102746111"/>
      <w:bookmarkStart w:id="1329" w:name="_Toc99813165"/>
      <w:bookmarkStart w:id="1330" w:name="_Toc13612"/>
      <w:r>
        <w:rPr>
          <w:color w:val="000000" w:themeColor="text1"/>
          <w:highlight w:val="none"/>
          <w14:textFill>
            <w14:solidFill>
              <w14:schemeClr w14:val="tx1"/>
            </w14:solidFill>
          </w14:textFill>
        </w:rPr>
        <w:t xml:space="preserve">11.4 </w:t>
      </w:r>
      <w:r>
        <w:rPr>
          <w:rFonts w:hint="eastAsia"/>
          <w:color w:val="000000" w:themeColor="text1"/>
          <w:highlight w:val="none"/>
          <w14:textFill>
            <w14:solidFill>
              <w14:schemeClr w14:val="tx1"/>
            </w14:solidFill>
          </w14:textFill>
        </w:rPr>
        <w:t>缺陷修复后的进一步试验</w:t>
      </w:r>
      <w:bookmarkEnd w:id="1327"/>
      <w:bookmarkEnd w:id="1328"/>
      <w:bookmarkEnd w:id="1329"/>
      <w:bookmarkEnd w:id="1330"/>
    </w:p>
    <w:p>
      <w:pPr>
        <w:snapToGrid w:val="0"/>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任何一项缺陷修补后的</w:t>
      </w:r>
      <w:r>
        <w:rPr>
          <w:rFonts w:ascii="宋体"/>
          <w:color w:val="000000" w:themeColor="text1"/>
          <w:sz w:val="24"/>
          <w:highlight w:val="none"/>
          <w:u w:val="single"/>
          <w14:textFill>
            <w14:solidFill>
              <w14:schemeClr w14:val="tx1"/>
            </w14:solidFill>
          </w14:textFill>
        </w:rPr>
        <w:t>7</w:t>
      </w:r>
      <w:r>
        <w:rPr>
          <w:rFonts w:hint="eastAsia" w:ascii="宋体"/>
          <w:color w:val="000000" w:themeColor="text1"/>
          <w:sz w:val="24"/>
          <w:highlight w:val="none"/>
          <w:u w:val="single"/>
          <w14:textFill>
            <w14:solidFill>
              <w14:schemeClr w14:val="tx1"/>
            </w14:solidFill>
          </w14:textFill>
        </w:rPr>
        <w:t>天内</w:t>
      </w:r>
      <w:r>
        <w:rPr>
          <w:rFonts w:hint="eastAsia" w:ascii="宋体"/>
          <w:color w:val="000000" w:themeColor="text1"/>
          <w:sz w:val="24"/>
          <w:highlight w:val="none"/>
          <w14:textFill>
            <w14:solidFill>
              <w14:schemeClr w14:val="tx1"/>
            </w14:solidFill>
          </w14:textFill>
        </w:rPr>
        <w:t>，承包人应向发包人发出通知，告知已修补的情况。如根据第</w:t>
      </w:r>
      <w:r>
        <w:rPr>
          <w:rFonts w:ascii="宋体"/>
          <w:color w:val="000000" w:themeColor="text1"/>
          <w:sz w:val="24"/>
          <w:highlight w:val="none"/>
          <w14:textFill>
            <w14:solidFill>
              <w14:schemeClr w14:val="tx1"/>
            </w14:solidFill>
          </w14:textFill>
        </w:rPr>
        <w:t>9</w:t>
      </w:r>
      <w:r>
        <w:rPr>
          <w:rFonts w:hint="eastAsia" w:ascii="宋体"/>
          <w:color w:val="000000" w:themeColor="text1"/>
          <w:sz w:val="24"/>
          <w:highlight w:val="none"/>
          <w14:textFill>
            <w14:solidFill>
              <w14:schemeClr w14:val="tx1"/>
            </w14:solidFill>
          </w14:textFill>
        </w:rPr>
        <w:t>条</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竣工试验</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或第</w:t>
      </w:r>
      <w:r>
        <w:rPr>
          <w:rFonts w:ascii="宋体"/>
          <w:color w:val="000000" w:themeColor="text1"/>
          <w:sz w:val="24"/>
          <w:highlight w:val="none"/>
          <w14:textFill>
            <w14:solidFill>
              <w14:schemeClr w14:val="tx1"/>
            </w14:solidFill>
          </w14:textFill>
        </w:rPr>
        <w:t>12</w:t>
      </w:r>
      <w:r>
        <w:rPr>
          <w:rFonts w:hint="eastAsia" w:ascii="宋体"/>
          <w:color w:val="000000" w:themeColor="text1"/>
          <w:sz w:val="24"/>
          <w:highlight w:val="none"/>
          <w14:textFill>
            <w14:solidFill>
              <w14:schemeClr w14:val="tx1"/>
            </w14:solidFill>
          </w14:textFill>
        </w:rPr>
        <w:t>条</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竣工后试验</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的规定适用重新试验的，还应建议重新试验。发包人应在收到重新试验的通知后</w:t>
      </w:r>
      <w:r>
        <w:rPr>
          <w:rFonts w:hint="eastAsia" w:ascii="宋体"/>
          <w:b/>
          <w:color w:val="000000" w:themeColor="text1"/>
          <w:sz w:val="24"/>
          <w:highlight w:val="none"/>
          <w14:textFill>
            <w14:solidFill>
              <w14:schemeClr w14:val="tx1"/>
            </w14:solidFill>
          </w14:textFill>
        </w:rPr>
        <w:t>书面予以</w:t>
      </w:r>
      <w:r>
        <w:rPr>
          <w:rFonts w:hint="eastAsia" w:ascii="宋体"/>
          <w:color w:val="000000" w:themeColor="text1"/>
          <w:sz w:val="24"/>
          <w:highlight w:val="none"/>
          <w14:textFill>
            <w14:solidFill>
              <w14:schemeClr w14:val="tx1"/>
            </w14:solidFill>
          </w14:textFill>
        </w:rPr>
        <w:t>答复，逾期未进行答复的视为同意重新试验。承包人未建议重新试验的，发包人也可在缺陷修补后的</w:t>
      </w:r>
      <w:r>
        <w:rPr>
          <w:rFonts w:hint="eastAsia" w:ascii="宋体"/>
          <w:b/>
          <w:color w:val="000000" w:themeColor="text1"/>
          <w:sz w:val="24"/>
          <w:highlight w:val="none"/>
          <w14:textFill>
            <w14:solidFill>
              <w14:schemeClr w14:val="tx1"/>
            </w14:solidFill>
          </w14:textFill>
        </w:rPr>
        <w:t>书面予以</w:t>
      </w:r>
      <w:r>
        <w:rPr>
          <w:rFonts w:hint="eastAsia" w:ascii="宋体"/>
          <w:color w:val="000000" w:themeColor="text1"/>
          <w:sz w:val="24"/>
          <w:highlight w:val="none"/>
          <w14:textFill>
            <w14:solidFill>
              <w14:schemeClr w14:val="tx1"/>
            </w14:solidFill>
          </w14:textFill>
        </w:rPr>
        <w:t>指示进行必要的重新试验，以证明已修复的部分符合合同要求。</w:t>
      </w:r>
    </w:p>
    <w:p>
      <w:pPr>
        <w:pStyle w:val="196"/>
        <w:spacing w:before="156"/>
        <w:ind w:firstLine="241"/>
        <w:rPr>
          <w:color w:val="000000" w:themeColor="text1"/>
          <w:highlight w:val="none"/>
          <w14:textFill>
            <w14:solidFill>
              <w14:schemeClr w14:val="tx1"/>
            </w14:solidFill>
          </w14:textFill>
        </w:rPr>
      </w:pPr>
      <w:bookmarkStart w:id="1331" w:name="_Toc102746112"/>
      <w:r>
        <w:rPr>
          <w:rFonts w:hint="eastAsia"/>
          <w:color w:val="000000" w:themeColor="text1"/>
          <w:highlight w:val="none"/>
          <w14:textFill>
            <w14:solidFill>
              <w14:schemeClr w14:val="tx1"/>
            </w14:solidFill>
          </w14:textFill>
        </w:rPr>
        <w:t>11.6 缺陷责任期终止证书</w:t>
      </w:r>
      <w:bookmarkEnd w:id="1331"/>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承包人应于缺陷责任期届满后</w:t>
      </w:r>
      <w:r>
        <w:rPr>
          <w:rFonts w:hint="eastAsia" w:ascii="宋体"/>
          <w:color w:val="000000" w:themeColor="text1"/>
          <w:sz w:val="24"/>
          <w:szCs w:val="28"/>
          <w:highlight w:val="none"/>
          <w:u w:val="single"/>
          <w14:textFill>
            <w14:solidFill>
              <w14:schemeClr w14:val="tx1"/>
            </w14:solidFill>
          </w14:textFill>
        </w:rPr>
        <w:t xml:space="preserve">  7  </w:t>
      </w:r>
      <w:r>
        <w:rPr>
          <w:rFonts w:hint="eastAsia" w:ascii="宋体"/>
          <w:color w:val="000000" w:themeColor="text1"/>
          <w:sz w:val="24"/>
          <w:szCs w:val="28"/>
          <w:highlight w:val="none"/>
          <w14:textFill>
            <w14:solidFill>
              <w14:schemeClr w14:val="tx1"/>
            </w14:solidFill>
          </w14:textFill>
        </w:rPr>
        <w:t>天内向发包人发出缺陷责任期届满通知，发包人应在收到缺陷责任期满通知后核实承包人是否履行缺陷修复义务，承包人未能履行缺陷修复义务的，发包人有权扣除相应金额的维修费用。发包人应在收到缺陷责任期届满通知后</w:t>
      </w:r>
      <w:r>
        <w:rPr>
          <w:rFonts w:hint="eastAsia" w:ascii="宋体"/>
          <w:color w:val="000000" w:themeColor="text1"/>
          <w:sz w:val="24"/>
          <w:szCs w:val="28"/>
          <w:highlight w:val="none"/>
          <w:u w:val="single"/>
          <w14:textFill>
            <w14:solidFill>
              <w14:schemeClr w14:val="tx1"/>
            </w14:solidFill>
          </w14:textFill>
        </w:rPr>
        <w:t xml:space="preserve">  15  </w:t>
      </w:r>
      <w:r>
        <w:rPr>
          <w:rFonts w:hint="eastAsia" w:ascii="宋体"/>
          <w:color w:val="000000" w:themeColor="text1"/>
          <w:sz w:val="24"/>
          <w:szCs w:val="28"/>
          <w:highlight w:val="none"/>
          <w14:textFill>
            <w14:solidFill>
              <w14:schemeClr w14:val="tx1"/>
            </w14:solidFill>
          </w14:textFill>
        </w:rPr>
        <w:t>天内，向承包人颁发缺陷责任期终止证书。</w:t>
      </w:r>
    </w:p>
    <w:p>
      <w:pPr>
        <w:pStyle w:val="196"/>
        <w:spacing w:before="156"/>
        <w:ind w:firstLine="241"/>
        <w:rPr>
          <w:color w:val="000000" w:themeColor="text1"/>
          <w:highlight w:val="none"/>
          <w14:textFill>
            <w14:solidFill>
              <w14:schemeClr w14:val="tx1"/>
            </w14:solidFill>
          </w14:textFill>
        </w:rPr>
      </w:pPr>
      <w:bookmarkStart w:id="1332" w:name="_Toc102746113"/>
      <w:r>
        <w:rPr>
          <w:rFonts w:hint="eastAsia"/>
          <w:color w:val="000000" w:themeColor="text1"/>
          <w:highlight w:val="none"/>
          <w14:textFill>
            <w14:solidFill>
              <w14:schemeClr w14:val="tx1"/>
            </w14:solidFill>
          </w14:textFill>
        </w:rPr>
        <w:t>11.7 保修责任</w:t>
      </w:r>
      <w:bookmarkEnd w:id="1332"/>
    </w:p>
    <w:p>
      <w:pPr>
        <w:snapToGrid w:val="0"/>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工程在保修范围和保修期内出现质量缺陷，且并非由于使用不当、第三方原因或不可抗力所造成的，承包人应当承担保修义务。</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工程质量保修范围、期限和责任为：</w:t>
      </w:r>
      <w:r>
        <w:rPr>
          <w:rFonts w:hint="eastAsia" w:ascii="宋体"/>
          <w:color w:val="000000" w:themeColor="text1"/>
          <w:sz w:val="24"/>
          <w:szCs w:val="28"/>
          <w:highlight w:val="none"/>
          <w:u w:val="single"/>
          <w14:textFill>
            <w14:solidFill>
              <w14:schemeClr w14:val="tx1"/>
            </w14:solidFill>
          </w14:textFill>
        </w:rPr>
        <w:t xml:space="preserve">  见附件4  </w:t>
      </w:r>
      <w:r>
        <w:rPr>
          <w:rFonts w:hint="eastAsia" w:ascii="宋体"/>
          <w:color w:val="000000" w:themeColor="text1"/>
          <w:sz w:val="24"/>
          <w:szCs w:val="28"/>
          <w:highlight w:val="none"/>
          <w14:textFill>
            <w14:solidFill>
              <w14:schemeClr w14:val="tx1"/>
            </w14:solidFill>
          </w14:textFill>
        </w:rPr>
        <w:t>。</w:t>
      </w:r>
    </w:p>
    <w:p>
      <w:pPr>
        <w:pStyle w:val="200"/>
        <w:rPr>
          <w:color w:val="000000" w:themeColor="text1"/>
          <w:highlight w:val="none"/>
          <w14:textFill>
            <w14:solidFill>
              <w14:schemeClr w14:val="tx1"/>
            </w14:solidFill>
          </w14:textFill>
        </w:rPr>
      </w:pPr>
      <w:bookmarkStart w:id="1333" w:name="_Toc15579"/>
      <w:bookmarkStart w:id="1334" w:name="_Toc19908"/>
      <w:bookmarkStart w:id="1335" w:name="_Toc18502"/>
      <w:bookmarkStart w:id="1336" w:name="_Toc54862343"/>
      <w:bookmarkStart w:id="1337" w:name="_Toc28544"/>
      <w:bookmarkStart w:id="1338" w:name="_Toc19987"/>
      <w:bookmarkStart w:id="1339" w:name="_Toc20048"/>
      <w:bookmarkStart w:id="1340" w:name="_Toc17832"/>
      <w:bookmarkStart w:id="1341" w:name="_Toc102746114"/>
      <w:bookmarkStart w:id="1342" w:name="_Toc18449"/>
      <w:r>
        <w:rPr>
          <w:rFonts w:hint="eastAsia"/>
          <w:color w:val="000000" w:themeColor="text1"/>
          <w:highlight w:val="none"/>
          <w14:textFill>
            <w14:solidFill>
              <w14:schemeClr w14:val="tx1"/>
            </w14:solidFill>
          </w14:textFill>
        </w:rPr>
        <w:t>第12条 竣工后试验</w:t>
      </w:r>
      <w:bookmarkEnd w:id="1333"/>
      <w:bookmarkEnd w:id="1334"/>
      <w:bookmarkEnd w:id="1335"/>
      <w:bookmarkEnd w:id="1336"/>
      <w:bookmarkEnd w:id="1337"/>
      <w:bookmarkEnd w:id="1338"/>
      <w:bookmarkEnd w:id="1339"/>
      <w:bookmarkEnd w:id="1340"/>
      <w:bookmarkEnd w:id="1341"/>
      <w:bookmarkEnd w:id="1342"/>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本合同工程是否包含竣工后试验：</w:t>
      </w:r>
      <w:r>
        <w:rPr>
          <w:rFonts w:hint="eastAsia" w:ascii="宋体"/>
          <w:color w:val="000000" w:themeColor="text1"/>
          <w:sz w:val="24"/>
          <w:szCs w:val="28"/>
          <w:highlight w:val="none"/>
          <w:u w:val="single"/>
          <w14:textFill>
            <w14:solidFill>
              <w14:schemeClr w14:val="tx1"/>
            </w14:solidFill>
          </w14:textFill>
        </w:rPr>
        <w:t xml:space="preserve"> 按照发包人具体工作任务书要求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43" w:name="_Toc102746115"/>
      <w:r>
        <w:rPr>
          <w:rFonts w:hint="eastAsia"/>
          <w:color w:val="000000" w:themeColor="text1"/>
          <w:highlight w:val="none"/>
          <w14:textFill>
            <w14:solidFill>
              <w14:schemeClr w14:val="tx1"/>
            </w14:solidFill>
          </w14:textFill>
        </w:rPr>
        <w:t>12.1 竣工后试验的程序</w:t>
      </w:r>
      <w:bookmarkEnd w:id="1343"/>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color w:val="000000" w:themeColor="text1"/>
          <w:highlight w:val="none"/>
          <w:u w:val="single"/>
          <w14:textFill>
            <w14:solidFill>
              <w14:schemeClr w14:val="tx1"/>
            </w14:solidFill>
          </w14:textFill>
        </w:rPr>
        <w:t xml:space="preserve"> 承包人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44" w:name="_Toc102746116"/>
      <w:bookmarkStart w:id="1345" w:name="_Toc99813170"/>
      <w:r>
        <w:rPr>
          <w:color w:val="000000" w:themeColor="text1"/>
          <w:highlight w:val="none"/>
          <w14:textFill>
            <w14:solidFill>
              <w14:schemeClr w14:val="tx1"/>
            </w14:solidFill>
          </w14:textFill>
        </w:rPr>
        <w:t xml:space="preserve">12.2 </w:t>
      </w:r>
      <w:r>
        <w:rPr>
          <w:rFonts w:hint="eastAsia"/>
          <w:color w:val="000000" w:themeColor="text1"/>
          <w:highlight w:val="none"/>
          <w14:textFill>
            <w14:solidFill>
              <w14:schemeClr w14:val="tx1"/>
            </w14:solidFill>
          </w14:textFill>
        </w:rPr>
        <w:t>延误的试验</w:t>
      </w:r>
      <w:bookmarkEnd w:id="1344"/>
      <w:bookmarkEnd w:id="1345"/>
    </w:p>
    <w:p>
      <w:pPr>
        <w:pStyle w:val="169"/>
        <w:spacing w:before="156"/>
        <w:ind w:firstLine="600" w:firstLineChars="250"/>
        <w:rPr>
          <w:color w:val="000000" w:themeColor="text1"/>
          <w:szCs w:val="20"/>
          <w:highlight w:val="none"/>
          <w14:textFill>
            <w14:solidFill>
              <w14:schemeClr w14:val="tx1"/>
            </w14:solidFill>
          </w14:textFill>
        </w:rPr>
      </w:pPr>
      <w:r>
        <w:rPr>
          <w:color w:val="000000" w:themeColor="text1"/>
          <w:highlight w:val="none"/>
          <w14:textFill>
            <w14:solidFill>
              <w14:schemeClr w14:val="tx1"/>
            </w14:solidFill>
          </w14:textFill>
        </w:rPr>
        <w:t xml:space="preserve">12.2.2 </w:t>
      </w:r>
      <w:r>
        <w:rPr>
          <w:rFonts w:hint="eastAsia"/>
          <w:color w:val="000000" w:themeColor="text1"/>
          <w:highlight w:val="none"/>
          <w14:textFill>
            <w14:solidFill>
              <w14:schemeClr w14:val="tx1"/>
            </w14:solidFill>
          </w14:textFill>
        </w:rPr>
        <w:t>竣工后试验应经发包人书面同意后方视为通过。</w:t>
      </w:r>
    </w:p>
    <w:p>
      <w:pPr>
        <w:pStyle w:val="200"/>
        <w:rPr>
          <w:color w:val="000000" w:themeColor="text1"/>
          <w:highlight w:val="none"/>
          <w14:textFill>
            <w14:solidFill>
              <w14:schemeClr w14:val="tx1"/>
            </w14:solidFill>
          </w14:textFill>
        </w:rPr>
      </w:pPr>
      <w:bookmarkStart w:id="1346" w:name="_Toc21602"/>
      <w:bookmarkStart w:id="1347" w:name="_Toc15794"/>
      <w:bookmarkStart w:id="1348" w:name="_Toc3126"/>
      <w:bookmarkStart w:id="1349" w:name="_Toc11092"/>
      <w:bookmarkStart w:id="1350" w:name="_Toc25387"/>
      <w:bookmarkStart w:id="1351" w:name="_Toc25050"/>
      <w:bookmarkStart w:id="1352" w:name="_Toc14591"/>
      <w:bookmarkStart w:id="1353" w:name="_Toc54862344"/>
      <w:bookmarkStart w:id="1354" w:name="_Toc102746117"/>
      <w:bookmarkStart w:id="1355" w:name="_Toc25098"/>
      <w:r>
        <w:rPr>
          <w:rFonts w:hint="eastAsia"/>
          <w:color w:val="000000" w:themeColor="text1"/>
          <w:highlight w:val="none"/>
          <w14:textFill>
            <w14:solidFill>
              <w14:schemeClr w14:val="tx1"/>
            </w14:solidFill>
          </w14:textFill>
        </w:rPr>
        <w:t>第13条 变更与调整</w:t>
      </w:r>
      <w:bookmarkEnd w:id="1346"/>
      <w:bookmarkEnd w:id="1347"/>
      <w:bookmarkEnd w:id="1348"/>
      <w:bookmarkEnd w:id="1349"/>
      <w:bookmarkEnd w:id="1350"/>
      <w:bookmarkEnd w:id="1351"/>
      <w:bookmarkEnd w:id="1352"/>
      <w:bookmarkEnd w:id="1353"/>
      <w:bookmarkEnd w:id="1354"/>
      <w:bookmarkEnd w:id="1355"/>
    </w:p>
    <w:p>
      <w:pPr>
        <w:pStyle w:val="196"/>
        <w:spacing w:before="156"/>
        <w:ind w:firstLine="241"/>
        <w:rPr>
          <w:color w:val="000000" w:themeColor="text1"/>
          <w:highlight w:val="none"/>
          <w14:textFill>
            <w14:solidFill>
              <w14:schemeClr w14:val="tx1"/>
            </w14:solidFill>
          </w14:textFill>
        </w:rPr>
      </w:pPr>
      <w:bookmarkStart w:id="1356" w:name="_Toc102746118"/>
      <w:r>
        <w:rPr>
          <w:rFonts w:hint="eastAsia"/>
          <w:color w:val="000000" w:themeColor="text1"/>
          <w:highlight w:val="none"/>
          <w14:textFill>
            <w14:solidFill>
              <w14:schemeClr w14:val="tx1"/>
            </w14:solidFill>
          </w14:textFill>
        </w:rPr>
        <w:t>13.2 承包人的合理化建议</w:t>
      </w:r>
      <w:bookmarkEnd w:id="1356"/>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13.2.2 工程师应在收到承包人提交的合理化建议后</w:t>
      </w:r>
      <w:r>
        <w:rPr>
          <w:rFonts w:hint="eastAsia"/>
          <w:color w:val="000000" w:themeColor="text1"/>
          <w:highlight w:val="none"/>
          <w:u w:val="single"/>
          <w14:textFill>
            <w14:solidFill>
              <w14:schemeClr w14:val="tx1"/>
            </w14:solidFill>
          </w14:textFill>
        </w:rPr>
        <w:t xml:space="preserve"> 7   </w:t>
      </w:r>
      <w:r>
        <w:rPr>
          <w:rFonts w:hint="eastAsia"/>
          <w:color w:val="000000" w:themeColor="text1"/>
          <w:highlight w:val="none"/>
          <w14:textFill>
            <w14:solidFill>
              <w14:schemeClr w14:val="tx1"/>
            </w14:solidFill>
          </w14:textFill>
        </w:rPr>
        <w:t>日内审查完毕并报送发包人，发现其中存在技术上的缺陷，应通知承包人修改。发包人应在收到工程师报送的合理化建议后</w:t>
      </w:r>
      <w:r>
        <w:rPr>
          <w:rFonts w:hint="eastAsia"/>
          <w:color w:val="000000" w:themeColor="text1"/>
          <w:highlight w:val="none"/>
          <w:u w:val="single"/>
          <w14:textFill>
            <w14:solidFill>
              <w14:schemeClr w14:val="tx1"/>
            </w14:solidFill>
          </w14:textFill>
        </w:rPr>
        <w:t xml:space="preserve">   7 </w:t>
      </w:r>
      <w:r>
        <w:rPr>
          <w:rFonts w:hint="eastAsia"/>
          <w:color w:val="000000" w:themeColor="text1"/>
          <w:highlight w:val="none"/>
          <w14:textFill>
            <w14:solidFill>
              <w14:schemeClr w14:val="tx1"/>
            </w14:solidFill>
          </w14:textFill>
        </w:rPr>
        <w:t>日内审批完毕。合理化建议经发包人批准的，工程师应及时发出变更指示，由此引起的合同价格调整按照</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执行。发包人不同意变更的，工程师应书面通知承包人</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13.2.3 承包人提出的合理化变更建议的利益分享约定：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57" w:name="_Toc102746119"/>
      <w:r>
        <w:rPr>
          <w:rFonts w:hint="eastAsia"/>
          <w:color w:val="000000" w:themeColor="text1"/>
          <w:highlight w:val="none"/>
          <w14:textFill>
            <w14:solidFill>
              <w14:schemeClr w14:val="tx1"/>
            </w14:solidFill>
          </w14:textFill>
        </w:rPr>
        <w:t>13.3 变更程序</w:t>
      </w:r>
      <w:bookmarkEnd w:id="1357"/>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13.3.3 变更估价</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13.3.3.1 变更估价原则</w:t>
      </w:r>
      <w:r>
        <w:rPr>
          <w:rFonts w:hint="eastAsia" w:ascii="宋体"/>
          <w:color w:val="000000" w:themeColor="text1"/>
          <w:sz w:val="24"/>
          <w:highlight w:val="none"/>
          <w14:textFill>
            <w14:solidFill>
              <w14:schemeClr w14:val="tx1"/>
            </w14:solidFill>
          </w14:textFill>
        </w:rPr>
        <w:t>：</w:t>
      </w:r>
      <w:r>
        <w:rPr>
          <w:rFonts w:hint="eastAsia" w:ascii="宋体"/>
          <w:color w:val="000000" w:themeColor="text1"/>
          <w:sz w:val="24"/>
          <w:highlight w:val="none"/>
          <w:u w:val="single"/>
          <w14:textFill>
            <w14:solidFill>
              <w14:schemeClr w14:val="tx1"/>
            </w14:solidFill>
          </w14:textFill>
        </w:rPr>
        <w:t>见</w:t>
      </w:r>
      <w:r>
        <w:rPr>
          <w:rFonts w:hint="eastAsia" w:ascii="宋体"/>
          <w:color w:val="000000" w:themeColor="text1"/>
          <w:sz w:val="24"/>
          <w:szCs w:val="28"/>
          <w:highlight w:val="none"/>
          <w:u w:val="single"/>
          <w14:textFill>
            <w14:solidFill>
              <w14:schemeClr w14:val="tx1"/>
            </w14:solidFill>
          </w14:textFill>
        </w:rPr>
        <w:t>附件1《合同清单（即含清单的投标报价文件）及结算原则》。</w:t>
      </w:r>
    </w:p>
    <w:p>
      <w:pPr>
        <w:pStyle w:val="184"/>
        <w:widowControl/>
        <w:ind w:firstLine="566" w:firstLineChars="23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13.3.3.2 </w:t>
      </w:r>
      <w:r>
        <w:rPr>
          <w:rFonts w:hint="eastAsia"/>
          <w:color w:val="000000" w:themeColor="text1"/>
          <w:szCs w:val="28"/>
          <w:highlight w:val="none"/>
          <w14:textFill>
            <w14:solidFill>
              <w14:schemeClr w14:val="tx1"/>
            </w14:solidFill>
          </w14:textFill>
        </w:rPr>
        <w:t>关于</w:t>
      </w:r>
      <w:r>
        <w:rPr>
          <w:rFonts w:hint="eastAsia"/>
          <w:color w:val="000000" w:themeColor="text1"/>
          <w:highlight w:val="none"/>
          <w14:textFill>
            <w14:solidFill>
              <w14:schemeClr w14:val="tx1"/>
            </w14:solidFill>
          </w14:textFill>
        </w:rPr>
        <w:t>变更估价程序</w:t>
      </w:r>
    </w:p>
    <w:p>
      <w:pPr>
        <w:snapToGrid w:val="0"/>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承包人应在收到变更指示后</w:t>
      </w:r>
      <w:r>
        <w:rPr>
          <w:rFonts w:ascii="宋体"/>
          <w:color w:val="000000" w:themeColor="text1"/>
          <w:sz w:val="24"/>
          <w:highlight w:val="none"/>
          <w14:textFill>
            <w14:solidFill>
              <w14:schemeClr w14:val="tx1"/>
            </w14:solidFill>
          </w14:textFill>
        </w:rPr>
        <w:t>14</w:t>
      </w:r>
      <w:r>
        <w:rPr>
          <w:rFonts w:hint="eastAsia" w:ascii="宋体"/>
          <w:color w:val="000000" w:themeColor="text1"/>
          <w:sz w:val="24"/>
          <w:highlight w:val="none"/>
          <w14:textFill>
            <w14:solidFill>
              <w14:schemeClr w14:val="tx1"/>
            </w14:solidFill>
          </w14:textFill>
        </w:rPr>
        <w:t>天内，向工程师提交变更估价申请。经发包人书面同意后，方视为认可承包人提交</w:t>
      </w:r>
      <w:r>
        <w:rPr>
          <w:rFonts w:hint="eastAsia" w:ascii="宋体"/>
          <w:color w:val="000000" w:themeColor="text1"/>
          <w:sz w:val="24"/>
          <w:szCs w:val="28"/>
          <w:highlight w:val="none"/>
          <w14:textFill>
            <w14:solidFill>
              <w14:schemeClr w14:val="tx1"/>
            </w14:solidFill>
          </w14:textFill>
        </w:rPr>
        <w:t>原则</w:t>
      </w:r>
      <w:r>
        <w:rPr>
          <w:rFonts w:hint="eastAsia" w:ascii="宋体"/>
          <w:color w:val="000000" w:themeColor="text1"/>
          <w:sz w:val="24"/>
          <w:szCs w:val="28"/>
          <w:highlight w:val="none"/>
          <w14:textFill>
            <w14:solidFill>
              <w14:schemeClr w14:val="tx1"/>
            </w14:solidFill>
          </w14:textFill>
        </w:rPr>
        <w:t>的</w:t>
      </w:r>
      <w:r>
        <w:rPr>
          <w:rFonts w:hint="eastAsia" w:ascii="宋体"/>
          <w:color w:val="000000" w:themeColor="text1"/>
          <w:sz w:val="24"/>
          <w:highlight w:val="none"/>
          <w14:textFill>
            <w14:solidFill>
              <w14:schemeClr w14:val="tx1"/>
            </w14:solidFill>
          </w14:textFill>
        </w:rPr>
        <w:t>变更估价申请</w:t>
      </w:r>
      <w:r>
        <w:rPr>
          <w:rFonts w:hint="eastAsia" w:ascii="宋体"/>
          <w:color w:val="000000" w:themeColor="text1"/>
          <w:sz w:val="24"/>
          <w:szCs w:val="28"/>
          <w:highlight w:val="none"/>
          <w14:textFill>
            <w14:solidFill>
              <w14:schemeClr w14:val="tx1"/>
            </w14:solidFill>
          </w14:textFill>
        </w:rPr>
        <w:t>约定：</w:t>
      </w:r>
      <w:r>
        <w:rPr>
          <w:rFonts w:hint="eastAsia" w:ascii="宋体"/>
          <w:color w:val="000000" w:themeColor="text1"/>
          <w:sz w:val="24"/>
          <w:highlight w:val="none"/>
          <w:u w:val="single"/>
          <w14:textFill>
            <w14:solidFill>
              <w14:schemeClr w14:val="tx1"/>
            </w14:solidFill>
          </w14:textFill>
        </w:rPr>
        <w:t>见附件</w:t>
      </w:r>
      <w:r>
        <w:rPr>
          <w:rFonts w:ascii="宋体"/>
          <w:color w:val="000000" w:themeColor="text1"/>
          <w:sz w:val="24"/>
          <w:highlight w:val="none"/>
          <w:u w:val="single"/>
          <w14:textFill>
            <w14:solidFill>
              <w14:schemeClr w14:val="tx1"/>
            </w14:solidFill>
          </w14:textFill>
        </w:rPr>
        <w:t>1</w:t>
      </w:r>
      <w:r>
        <w:rPr>
          <w:rFonts w:hint="eastAsia" w:ascii="宋体"/>
          <w:color w:val="000000" w:themeColor="text1"/>
          <w:sz w:val="24"/>
          <w:szCs w:val="28"/>
          <w:highlight w:val="none"/>
          <w:u w:val="single"/>
          <w14:textFill>
            <w14:solidFill>
              <w14:schemeClr w14:val="tx1"/>
            </w14:solidFill>
          </w14:textFill>
        </w:rPr>
        <w:t>《</w:t>
      </w:r>
      <w:r>
        <w:rPr>
          <w:rFonts w:ascii="宋体"/>
          <w:color w:val="000000" w:themeColor="text1"/>
          <w:sz w:val="24"/>
          <w:szCs w:val="28"/>
          <w:highlight w:val="none"/>
          <w:u w:val="single"/>
          <w14:textFill>
            <w14:solidFill>
              <w14:schemeClr w14:val="tx1"/>
            </w14:solidFill>
          </w14:textFill>
        </w:rPr>
        <w:t>合同清单（即含清单的投标报价文件）及结算原则</w:t>
      </w:r>
      <w:r>
        <w:rPr>
          <w:rFonts w:hint="eastAsia"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58" w:name="_Toc102746120"/>
      <w:r>
        <w:rPr>
          <w:rFonts w:hint="eastAsia"/>
          <w:color w:val="000000" w:themeColor="text1"/>
          <w:highlight w:val="none"/>
          <w14:textFill>
            <w14:solidFill>
              <w14:schemeClr w14:val="tx1"/>
            </w14:solidFill>
          </w14:textFill>
        </w:rPr>
        <w:t>13.4 暂估价</w:t>
      </w:r>
      <w:bookmarkEnd w:id="1358"/>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13.4.1 依法必须招标的暂估价项目</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承包人可以参与投标的暂估价项目范围：</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承包人不得参与投标的暂估价项目范围：</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投标程序及其他约定：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13.4.2 不属于依法必须招标的暂估价项目</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不属于依法必须招标的暂估价项目的协商及估价的约定：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59" w:name="_Toc102746121"/>
      <w:r>
        <w:rPr>
          <w:rFonts w:hint="eastAsia"/>
          <w:color w:val="000000" w:themeColor="text1"/>
          <w:highlight w:val="none"/>
          <w14:textFill>
            <w14:solidFill>
              <w14:schemeClr w14:val="tx1"/>
            </w14:solidFill>
          </w14:textFill>
        </w:rPr>
        <w:t>13.5 暂列金额</w:t>
      </w:r>
      <w:bookmarkEnd w:id="1359"/>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其他关于暂列金额使用的约定：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60" w:name="_Toc102746122"/>
      <w:r>
        <w:rPr>
          <w:rFonts w:hint="eastAsia"/>
          <w:color w:val="000000" w:themeColor="text1"/>
          <w:highlight w:val="none"/>
          <w14:textFill>
            <w14:solidFill>
              <w14:schemeClr w14:val="tx1"/>
            </w14:solidFill>
          </w14:textFill>
        </w:rPr>
        <w:t>13.8 市场价格波动引起的调整</w:t>
      </w:r>
      <w:bookmarkEnd w:id="1360"/>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13.8.2 关于是否采用《价格指数权重表》的约定：</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13.8.3 关于采用其他方式调整合同价款的约定：按相应的标准和种类进行价格调差，具体约定如下：</w:t>
      </w:r>
      <w:r>
        <w:rPr>
          <w:rFonts w:hint="eastAsia"/>
          <w:color w:val="000000" w:themeColor="text1"/>
          <w:highlight w:val="none"/>
          <w:u w:val="single"/>
          <w14:textFill>
            <w14:solidFill>
              <w14:schemeClr w14:val="tx1"/>
            </w14:solidFill>
          </w14:textFill>
        </w:rPr>
        <w:t>见</w:t>
      </w:r>
      <w:r>
        <w:rPr>
          <w:rFonts w:hint="eastAsia"/>
          <w:color w:val="000000" w:themeColor="text1"/>
          <w:highlight w:val="none"/>
          <w:u w:val="single"/>
          <w14:textFill>
            <w14:solidFill>
              <w14:schemeClr w14:val="tx1"/>
            </w14:solidFill>
          </w14:textFill>
        </w:rPr>
        <w:t>附件</w:t>
      </w:r>
      <w:r>
        <w:rPr>
          <w:color w:val="000000" w:themeColor="text1"/>
          <w:highlight w:val="none"/>
          <w:u w:val="single"/>
          <w14:textFill>
            <w14:solidFill>
              <w14:schemeClr w14:val="tx1"/>
            </w14:solidFill>
          </w14:textFill>
        </w:rPr>
        <w:t>1</w:t>
      </w:r>
      <w:r>
        <w:rPr>
          <w:rFonts w:hint="eastAsia"/>
          <w:color w:val="000000" w:themeColor="text1"/>
          <w:szCs w:val="28"/>
          <w:highlight w:val="none"/>
          <w:u w:val="single"/>
          <w14:textFill>
            <w14:solidFill>
              <w14:schemeClr w14:val="tx1"/>
            </w14:solidFill>
          </w14:textFill>
        </w:rPr>
        <w:t>《</w:t>
      </w:r>
      <w:r>
        <w:rPr>
          <w:color w:val="000000" w:themeColor="text1"/>
          <w:szCs w:val="28"/>
          <w:highlight w:val="none"/>
          <w:u w:val="single"/>
          <w14:textFill>
            <w14:solidFill>
              <w14:schemeClr w14:val="tx1"/>
            </w14:solidFill>
          </w14:textFill>
        </w:rPr>
        <w:t>合同清单（即含清单的投标报价文件）及结算原则</w:t>
      </w:r>
      <w:r>
        <w:rPr>
          <w:rFonts w:hint="eastAsia"/>
          <w:color w:val="000000" w:themeColor="text1"/>
          <w:szCs w:val="28"/>
          <w:highlight w:val="none"/>
          <w:u w:val="single"/>
          <w14:textFill>
            <w14:solidFill>
              <w14:schemeClr w14:val="tx1"/>
            </w14:solidFill>
          </w14:textFill>
        </w:rPr>
        <w:t>》</w:t>
      </w:r>
      <w:r>
        <w:rPr>
          <w:rFonts w:hint="eastAsia"/>
          <w:color w:val="000000" w:themeColor="text1"/>
          <w:highlight w:val="none"/>
          <w:u w:val="single"/>
          <w14:textFill>
            <w14:solidFill>
              <w14:schemeClr w14:val="tx1"/>
            </w14:solidFill>
          </w14:textFill>
        </w:rPr>
        <w:t>。</w:t>
      </w:r>
    </w:p>
    <w:p>
      <w:pPr>
        <w:pStyle w:val="200"/>
        <w:rPr>
          <w:color w:val="000000" w:themeColor="text1"/>
          <w:highlight w:val="none"/>
          <w14:textFill>
            <w14:solidFill>
              <w14:schemeClr w14:val="tx1"/>
            </w14:solidFill>
          </w14:textFill>
        </w:rPr>
      </w:pPr>
      <w:bookmarkStart w:id="1361" w:name="_Toc14154"/>
      <w:bookmarkStart w:id="1362" w:name="_Toc12601"/>
      <w:bookmarkStart w:id="1363" w:name="_Toc102746123"/>
      <w:bookmarkStart w:id="1364" w:name="_Toc16492"/>
      <w:bookmarkStart w:id="1365" w:name="_Toc54862345"/>
      <w:bookmarkStart w:id="1366" w:name="_Toc15294"/>
      <w:bookmarkStart w:id="1367" w:name="_Toc1659"/>
      <w:bookmarkStart w:id="1368" w:name="_Toc5833"/>
      <w:bookmarkStart w:id="1369" w:name="_Toc23234"/>
      <w:bookmarkStart w:id="1370" w:name="_Toc18937"/>
      <w:r>
        <w:rPr>
          <w:rFonts w:hint="eastAsia"/>
          <w:color w:val="000000" w:themeColor="text1"/>
          <w:highlight w:val="none"/>
          <w14:textFill>
            <w14:solidFill>
              <w14:schemeClr w14:val="tx1"/>
            </w14:solidFill>
          </w14:textFill>
        </w:rPr>
        <w:t>第14条 合同价格与支付</w:t>
      </w:r>
      <w:bookmarkEnd w:id="1361"/>
      <w:bookmarkEnd w:id="1362"/>
      <w:bookmarkEnd w:id="1363"/>
      <w:bookmarkEnd w:id="1364"/>
      <w:bookmarkEnd w:id="1365"/>
      <w:bookmarkEnd w:id="1366"/>
      <w:bookmarkEnd w:id="1367"/>
      <w:bookmarkEnd w:id="1368"/>
      <w:bookmarkEnd w:id="1369"/>
      <w:bookmarkEnd w:id="1370"/>
    </w:p>
    <w:p>
      <w:pPr>
        <w:pStyle w:val="196"/>
        <w:spacing w:before="156"/>
        <w:ind w:firstLine="241"/>
        <w:rPr>
          <w:color w:val="000000" w:themeColor="text1"/>
          <w:highlight w:val="none"/>
          <w14:textFill>
            <w14:solidFill>
              <w14:schemeClr w14:val="tx1"/>
            </w14:solidFill>
          </w14:textFill>
        </w:rPr>
      </w:pPr>
      <w:bookmarkStart w:id="1371" w:name="_Toc102746124"/>
      <w:r>
        <w:rPr>
          <w:rFonts w:hint="eastAsia"/>
          <w:color w:val="000000" w:themeColor="text1"/>
          <w:highlight w:val="none"/>
          <w14:textFill>
            <w14:solidFill>
              <w14:schemeClr w14:val="tx1"/>
            </w14:solidFill>
          </w14:textFill>
        </w:rPr>
        <w:t>14.1 合同价格形式</w:t>
      </w:r>
      <w:bookmarkEnd w:id="1371"/>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14.1.1 关于合同价格形式的约定：见</w:t>
      </w:r>
      <w:r>
        <w:rPr>
          <w:rFonts w:hint="eastAsia"/>
          <w:color w:val="000000" w:themeColor="text1"/>
          <w:highlight w:val="none"/>
          <w:u w:val="single"/>
          <w14:textFill>
            <w14:solidFill>
              <w14:schemeClr w14:val="tx1"/>
            </w14:solidFill>
          </w14:textFill>
        </w:rPr>
        <w:t>附件</w:t>
      </w:r>
      <w:r>
        <w:rPr>
          <w:color w:val="000000" w:themeColor="text1"/>
          <w:highlight w:val="none"/>
          <w:u w:val="single"/>
          <w14:textFill>
            <w14:solidFill>
              <w14:schemeClr w14:val="tx1"/>
            </w14:solidFill>
          </w14:textFill>
        </w:rPr>
        <w:t>1</w:t>
      </w:r>
      <w:r>
        <w:rPr>
          <w:rFonts w:hint="eastAsia"/>
          <w:color w:val="000000" w:themeColor="text1"/>
          <w:szCs w:val="28"/>
          <w:highlight w:val="none"/>
          <w:u w:val="single"/>
          <w14:textFill>
            <w14:solidFill>
              <w14:schemeClr w14:val="tx1"/>
            </w14:solidFill>
          </w14:textFill>
        </w:rPr>
        <w:t>《</w:t>
      </w:r>
      <w:r>
        <w:rPr>
          <w:color w:val="000000" w:themeColor="text1"/>
          <w:szCs w:val="28"/>
          <w:highlight w:val="none"/>
          <w:u w:val="single"/>
          <w14:textFill>
            <w14:solidFill>
              <w14:schemeClr w14:val="tx1"/>
            </w14:solidFill>
          </w14:textFill>
        </w:rPr>
        <w:t>合同清单（即含清单的投标报价文件）及结算原则</w:t>
      </w:r>
      <w:r>
        <w:rPr>
          <w:rFonts w:hint="eastAsia"/>
          <w:color w:val="000000" w:themeColor="text1"/>
          <w:szCs w:val="28"/>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14.1.2 关于合同价格调整的约定</w:t>
      </w:r>
      <w:r>
        <w:rPr>
          <w:rFonts w:hint="eastAsia"/>
          <w:color w:val="000000" w:themeColor="text1"/>
          <w:highlight w:val="none"/>
          <w:u w:val="single"/>
          <w14:textFill>
            <w14:solidFill>
              <w14:schemeClr w14:val="tx1"/>
            </w14:solidFill>
          </w14:textFill>
        </w:rPr>
        <w:t>见</w:t>
      </w:r>
      <w:r>
        <w:rPr>
          <w:rFonts w:hint="eastAsia"/>
          <w:color w:val="000000" w:themeColor="text1"/>
          <w:highlight w:val="none"/>
          <w:u w:val="single"/>
          <w14:textFill>
            <w14:solidFill>
              <w14:schemeClr w14:val="tx1"/>
            </w14:solidFill>
          </w14:textFill>
        </w:rPr>
        <w:t>附件</w:t>
      </w:r>
      <w:r>
        <w:rPr>
          <w:color w:val="000000" w:themeColor="text1"/>
          <w:highlight w:val="none"/>
          <w:u w:val="single"/>
          <w14:textFill>
            <w14:solidFill>
              <w14:schemeClr w14:val="tx1"/>
            </w14:solidFill>
          </w14:textFill>
        </w:rPr>
        <w:t>1</w:t>
      </w:r>
      <w:r>
        <w:rPr>
          <w:rFonts w:hint="eastAsia"/>
          <w:color w:val="000000" w:themeColor="text1"/>
          <w:szCs w:val="28"/>
          <w:highlight w:val="none"/>
          <w:u w:val="single"/>
          <w14:textFill>
            <w14:solidFill>
              <w14:schemeClr w14:val="tx1"/>
            </w14:solidFill>
          </w14:textFill>
        </w:rPr>
        <w:t>《</w:t>
      </w:r>
      <w:r>
        <w:rPr>
          <w:color w:val="000000" w:themeColor="text1"/>
          <w:szCs w:val="28"/>
          <w:highlight w:val="none"/>
          <w:u w:val="single"/>
          <w14:textFill>
            <w14:solidFill>
              <w14:schemeClr w14:val="tx1"/>
            </w14:solidFill>
          </w14:textFill>
        </w:rPr>
        <w:t>合同清单（即含清单的投标报价文件）及结算原则</w:t>
      </w:r>
      <w:r>
        <w:rPr>
          <w:rFonts w:hint="eastAsia"/>
          <w:color w:val="000000" w:themeColor="text1"/>
          <w:szCs w:val="28"/>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14.1.3 按实际完成的工程量支付工程价款的计量方法、估价方法：见</w:t>
      </w:r>
      <w:r>
        <w:rPr>
          <w:rFonts w:hint="eastAsia"/>
          <w:color w:val="000000" w:themeColor="text1"/>
          <w:highlight w:val="none"/>
          <w:u w:val="single"/>
          <w14:textFill>
            <w14:solidFill>
              <w14:schemeClr w14:val="tx1"/>
            </w14:solidFill>
          </w14:textFill>
        </w:rPr>
        <w:t>附件</w:t>
      </w:r>
      <w:r>
        <w:rPr>
          <w:color w:val="000000" w:themeColor="text1"/>
          <w:highlight w:val="none"/>
          <w:u w:val="single"/>
          <w14:textFill>
            <w14:solidFill>
              <w14:schemeClr w14:val="tx1"/>
            </w14:solidFill>
          </w14:textFill>
        </w:rPr>
        <w:t>1</w:t>
      </w:r>
      <w:r>
        <w:rPr>
          <w:rFonts w:hint="eastAsia"/>
          <w:color w:val="000000" w:themeColor="text1"/>
          <w:szCs w:val="28"/>
          <w:highlight w:val="none"/>
          <w:u w:val="single"/>
          <w14:textFill>
            <w14:solidFill>
              <w14:schemeClr w14:val="tx1"/>
            </w14:solidFill>
          </w14:textFill>
        </w:rPr>
        <w:t>《</w:t>
      </w:r>
      <w:r>
        <w:rPr>
          <w:color w:val="000000" w:themeColor="text1"/>
          <w:szCs w:val="28"/>
          <w:highlight w:val="none"/>
          <w:u w:val="single"/>
          <w14:textFill>
            <w14:solidFill>
              <w14:schemeClr w14:val="tx1"/>
            </w14:solidFill>
          </w14:textFill>
        </w:rPr>
        <w:t>合同清单（即含清单的投标报价文件）及结算原则</w:t>
      </w:r>
      <w:r>
        <w:rPr>
          <w:rFonts w:hint="eastAsia"/>
          <w:color w:val="000000" w:themeColor="text1"/>
          <w:szCs w:val="28"/>
          <w:highlight w:val="none"/>
          <w:u w:val="single"/>
          <w14:textFill>
            <w14:solidFill>
              <w14:schemeClr w14:val="tx1"/>
            </w14:solidFill>
          </w14:textFill>
        </w:rPr>
        <w:t>》</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72" w:name="_Toc102746125"/>
      <w:r>
        <w:rPr>
          <w:rFonts w:hint="eastAsia"/>
          <w:color w:val="000000" w:themeColor="text1"/>
          <w:highlight w:val="none"/>
          <w14:textFill>
            <w14:solidFill>
              <w14:schemeClr w14:val="tx1"/>
            </w14:solidFill>
          </w14:textFill>
        </w:rPr>
        <w:t>14.2 预付款</w:t>
      </w:r>
      <w:bookmarkEnd w:id="1372"/>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14.2.1 预付款支付</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预付款的金额或比例为：</w:t>
      </w:r>
      <w:r>
        <w:rPr>
          <w:rFonts w:hint="eastAsia" w:ascii="宋体"/>
          <w:color w:val="000000" w:themeColor="text1"/>
          <w:sz w:val="24"/>
          <w:szCs w:val="28"/>
          <w:highlight w:val="none"/>
          <w:u w:val="single"/>
          <w14:textFill>
            <w14:solidFill>
              <w14:schemeClr w14:val="tx1"/>
            </w14:solidFill>
          </w14:textFill>
        </w:rPr>
        <w:t>不高于合同金额的</w:t>
      </w:r>
      <w:r>
        <w:rPr>
          <w:rFonts w:ascii="宋体"/>
          <w:color w:val="000000" w:themeColor="text1"/>
          <w:sz w:val="24"/>
          <w:szCs w:val="28"/>
          <w:highlight w:val="none"/>
          <w:u w:val="single"/>
          <w14:textFill>
            <w14:solidFill>
              <w14:schemeClr w14:val="tx1"/>
            </w14:solidFill>
          </w14:textFill>
        </w:rPr>
        <w:t>15</w:t>
      </w:r>
      <w:r>
        <w:rPr>
          <w:rFonts w:hint="eastAsia" w:ascii="宋体"/>
          <w:color w:val="000000" w:themeColor="text1"/>
          <w:sz w:val="24"/>
          <w:szCs w:val="28"/>
          <w:highlight w:val="none"/>
          <w:u w:val="single"/>
          <w14:textFill>
            <w14:solidFill>
              <w14:schemeClr w14:val="tx1"/>
            </w14:solidFill>
          </w14:textFill>
        </w:rPr>
        <w:t>%，具体比例与进度由发包人结合项目实际进行支付</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预付款支付期限：</w:t>
      </w:r>
      <w:r>
        <w:rPr>
          <w:rFonts w:hint="eastAsia" w:ascii="宋体"/>
          <w:color w:val="000000" w:themeColor="text1"/>
          <w:sz w:val="24"/>
          <w:szCs w:val="28"/>
          <w:highlight w:val="none"/>
          <w:u w:val="single"/>
          <w14:textFill>
            <w14:solidFill>
              <w14:schemeClr w14:val="tx1"/>
            </w14:solidFill>
          </w14:textFill>
        </w:rPr>
        <w:t xml:space="preserve"> 根据项目进度分期支付</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480" w:firstLineChars="20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预付款扣回的方式：</w:t>
      </w:r>
      <w:r>
        <w:rPr>
          <w:rFonts w:hint="eastAsia" w:ascii="宋体"/>
          <w:color w:val="000000" w:themeColor="text1"/>
          <w:sz w:val="24"/>
          <w:szCs w:val="28"/>
          <w:highlight w:val="none"/>
          <w:u w:val="single"/>
          <w14:textFill>
            <w14:solidFill>
              <w14:schemeClr w14:val="tx1"/>
            </w14:solidFill>
          </w14:textFill>
        </w:rPr>
        <w:t>预付款的抵扣方式、抵扣比例和抵扣时间安排如下：</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按承包人完成的工作量与合同承包（扣除了发包人预留金）的比例扣回，当累计完成工作量达到合同价（扣除了发包人预留金）的50％时扣回全部预付款，工程开工后，工程预付款应从工程进度款中逐月扣回，具体按下列规则执行：</w:t>
      </w:r>
    </w:p>
    <w:p>
      <w:pPr>
        <w:snapToGrid w:val="0"/>
        <w:spacing w:line="360" w:lineRule="auto"/>
        <w:jc w:val="center"/>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预付款扣回比例表</w:t>
      </w:r>
    </w:p>
    <w:tbl>
      <w:tblPr>
        <w:tblStyle w:val="45"/>
        <w:tblW w:w="799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2477"/>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vAlign w:val="center"/>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已完工作量与合同价（扣除了</w:t>
            </w:r>
            <w:r>
              <w:rPr>
                <w:rFonts w:hint="eastAsia" w:ascii="宋体" w:hAnsi="宋体"/>
                <w:bCs/>
                <w:color w:val="000000" w:themeColor="text1"/>
                <w:sz w:val="24"/>
                <w:szCs w:val="28"/>
                <w:highlight w:val="none"/>
                <w14:textFill>
                  <w14:solidFill>
                    <w14:schemeClr w14:val="tx1"/>
                  </w14:solidFill>
                </w14:textFill>
              </w:rPr>
              <w:t>发包人</w:t>
            </w:r>
            <w:r>
              <w:rPr>
                <w:rFonts w:hint="eastAsia" w:ascii="宋体" w:hAnsi="宋体"/>
                <w:color w:val="000000" w:themeColor="text1"/>
                <w:sz w:val="24"/>
                <w:szCs w:val="28"/>
                <w:highlight w:val="none"/>
                <w14:textFill>
                  <w14:solidFill>
                    <w14:schemeClr w14:val="tx1"/>
                  </w14:solidFill>
                </w14:textFill>
              </w:rPr>
              <w:t>预留金）的比例（a）</w:t>
            </w:r>
          </w:p>
        </w:tc>
        <w:tc>
          <w:tcPr>
            <w:tcW w:w="2477" w:type="dxa"/>
            <w:vAlign w:val="center"/>
          </w:tcPr>
          <w:p>
            <w:pPr>
              <w:snapToGrid w:val="0"/>
              <w:jc w:val="center"/>
              <w:rPr>
                <w:rFonts w:ascii="宋体" w:hAnsi="宋体"/>
                <w:strike/>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扣回预付款的比例</w:t>
            </w:r>
          </w:p>
        </w:tc>
        <w:tc>
          <w:tcPr>
            <w:tcW w:w="2087" w:type="dxa"/>
            <w:vAlign w:val="center"/>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累计扣回比例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20%≤a＜30％</w:t>
            </w:r>
          </w:p>
        </w:tc>
        <w:tc>
          <w:tcPr>
            <w:tcW w:w="247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10％</w:t>
            </w:r>
          </w:p>
        </w:tc>
        <w:tc>
          <w:tcPr>
            <w:tcW w:w="208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30%≤a＜40％</w:t>
            </w:r>
          </w:p>
        </w:tc>
        <w:tc>
          <w:tcPr>
            <w:tcW w:w="247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20％</w:t>
            </w:r>
          </w:p>
        </w:tc>
        <w:tc>
          <w:tcPr>
            <w:tcW w:w="208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40%≤a＜50％</w:t>
            </w:r>
          </w:p>
        </w:tc>
        <w:tc>
          <w:tcPr>
            <w:tcW w:w="247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30％</w:t>
            </w:r>
          </w:p>
        </w:tc>
        <w:tc>
          <w:tcPr>
            <w:tcW w:w="208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8"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50%≤a</w:t>
            </w:r>
          </w:p>
        </w:tc>
        <w:tc>
          <w:tcPr>
            <w:tcW w:w="247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40％</w:t>
            </w:r>
          </w:p>
        </w:tc>
        <w:tc>
          <w:tcPr>
            <w:tcW w:w="2087" w:type="dxa"/>
          </w:tcPr>
          <w:p>
            <w:pPr>
              <w:snapToGrid w:val="0"/>
              <w:jc w:val="center"/>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100％</w:t>
            </w:r>
          </w:p>
        </w:tc>
      </w:tr>
    </w:tbl>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预付款应在该批建设项目的进度款支付至50%时全部扣回。预付款累计扣回比例达100%时，由承包人书面申请经发包人审定后退还预付款银行保函。</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14.2.2</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预付款担保</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提供预付款担保期限：</w:t>
      </w:r>
      <w:r>
        <w:rPr>
          <w:rFonts w:hint="eastAsia" w:ascii="宋体"/>
          <w:color w:val="000000" w:themeColor="text1"/>
          <w:sz w:val="24"/>
          <w:highlight w:val="none"/>
          <w:u w:val="single"/>
          <w14:textFill>
            <w14:solidFill>
              <w14:schemeClr w14:val="tx1"/>
            </w14:solidFill>
          </w14:textFill>
        </w:rPr>
        <w:t>预付款保函有效期自合同生效之日起直至工程竣工验收合格之日止，预付款累计扣回比例达1</w:t>
      </w:r>
      <w:r>
        <w:rPr>
          <w:rFonts w:ascii="宋体"/>
          <w:color w:val="000000" w:themeColor="text1"/>
          <w:sz w:val="24"/>
          <w:highlight w:val="none"/>
          <w:u w:val="single"/>
          <w14:textFill>
            <w14:solidFill>
              <w14:schemeClr w14:val="tx1"/>
            </w14:solidFill>
          </w14:textFill>
        </w:rPr>
        <w:t>00</w:t>
      </w:r>
      <w:r>
        <w:rPr>
          <w:rFonts w:hint="eastAsia" w:ascii="宋体"/>
          <w:color w:val="000000" w:themeColor="text1"/>
          <w:sz w:val="24"/>
          <w:highlight w:val="none"/>
          <w:u w:val="single"/>
          <w14:textFill>
            <w14:solidFill>
              <w14:schemeClr w14:val="tx1"/>
            </w14:solidFill>
          </w14:textFill>
        </w:rPr>
        <w:t>%时，由承包人书面申请经发包人审核同意后退还预付款银行保函。若预付款累计扣回比例未达</w:t>
      </w:r>
      <w:r>
        <w:rPr>
          <w:rFonts w:ascii="宋体"/>
          <w:color w:val="000000" w:themeColor="text1"/>
          <w:sz w:val="24"/>
          <w:highlight w:val="none"/>
          <w:u w:val="single"/>
          <w14:textFill>
            <w14:solidFill>
              <w14:schemeClr w14:val="tx1"/>
            </w14:solidFill>
          </w14:textFill>
        </w:rPr>
        <w:t>100</w:t>
      </w:r>
      <w:r>
        <w:rPr>
          <w:rFonts w:hint="eastAsia" w:ascii="宋体"/>
          <w:color w:val="000000" w:themeColor="text1"/>
          <w:sz w:val="24"/>
          <w:highlight w:val="none"/>
          <w:u w:val="single"/>
          <w14:textFill>
            <w14:solidFill>
              <w14:schemeClr w14:val="tx1"/>
            </w14:solidFill>
          </w14:textFill>
        </w:rPr>
        <w:t>%但预付款保函有效期即将届满，承包人应按要求及时完成续保工作，提交真实有效的预付款银行保函，在承包人完成续保前，发包人有权暂停对承包人资金支付申请，以确保项目的资金风险可控</w:t>
      </w:r>
      <w:r>
        <w:rPr>
          <w:rFonts w:hint="eastAsia" w:ascii="宋体"/>
          <w:color w:val="000000" w:themeColor="text1"/>
          <w:sz w:val="24"/>
          <w:highlight w:val="none"/>
          <w14:textFill>
            <w14:solidFill>
              <w14:schemeClr w14:val="tx1"/>
            </w14:solidFill>
          </w14:textFill>
        </w:rPr>
        <w:t>。</w:t>
      </w:r>
    </w:p>
    <w:p>
      <w:pPr>
        <w:pStyle w:val="43"/>
        <w:ind w:left="63" w:right="63" w:firstLine="480" w:firstLineChars="200"/>
        <w:rPr>
          <w:rFonts w:ascii="宋体"/>
          <w:color w:val="000000" w:themeColor="text1"/>
          <w:sz w:val="24"/>
          <w:szCs w:val="22"/>
          <w:highlight w:val="none"/>
          <w:u w:val="single"/>
          <w14:textFill>
            <w14:solidFill>
              <w14:schemeClr w14:val="tx1"/>
            </w14:solidFill>
          </w14:textFill>
        </w:rPr>
      </w:pPr>
      <w:r>
        <w:rPr>
          <w:rFonts w:hint="eastAsia" w:ascii="宋体"/>
          <w:color w:val="000000" w:themeColor="text1"/>
          <w:sz w:val="24"/>
          <w:szCs w:val="22"/>
          <w:highlight w:val="none"/>
          <w:u w:val="single"/>
          <w14:textFill>
            <w14:solidFill>
              <w14:schemeClr w14:val="tx1"/>
            </w14:solidFill>
          </w14:textFill>
        </w:rPr>
        <w:t>备注：对于重点项目或工期较长项目，发包人合同执行部门可根据项目实际预计预付款回扣时间，以确保项目预付款资金安全，在审核承包人预付款申请时，要求承包人提交适合期限的预付款保函，承包人应按要求提交。具体按照南沙开发区及发包人有关规定执行，如有最新的按照最新的规定执行。</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预付款担保形式：</w:t>
      </w:r>
      <w:r>
        <w:rPr>
          <w:rFonts w:hint="eastAsia" w:ascii="宋体"/>
          <w:color w:val="000000" w:themeColor="text1"/>
          <w:sz w:val="24"/>
          <w:highlight w:val="none"/>
          <w:u w:val="single"/>
          <w14:textFill>
            <w14:solidFill>
              <w14:schemeClr w14:val="tx1"/>
            </w14:solidFill>
          </w14:textFill>
        </w:rPr>
        <w:t>采用</w:t>
      </w:r>
      <w:r>
        <w:rPr>
          <w:rFonts w:hint="eastAsia" w:ascii="宋体"/>
          <w:color w:val="000000" w:themeColor="text1"/>
          <w:sz w:val="24"/>
          <w:szCs w:val="28"/>
          <w:highlight w:val="none"/>
          <w:u w:val="single"/>
          <w14:textFill>
            <w14:solidFill>
              <w14:schemeClr w14:val="tx1"/>
            </w14:solidFill>
          </w14:textFill>
        </w:rPr>
        <w:t>不可撤销及见索即付的银行保函</w:t>
      </w:r>
      <w:r>
        <w:rPr>
          <w:rFonts w:hint="eastAsia" w:ascii="宋体"/>
          <w:color w:val="000000" w:themeColor="text1"/>
          <w:sz w:val="24"/>
          <w:highlight w:val="none"/>
          <w:u w:val="single"/>
          <w14:textFill>
            <w14:solidFill>
              <w14:schemeClr w14:val="tx1"/>
            </w14:solidFill>
          </w14:textFill>
        </w:rPr>
        <w:t>形式</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73" w:name="_Toc102746126"/>
      <w:r>
        <w:rPr>
          <w:rFonts w:hint="eastAsia"/>
          <w:color w:val="000000" w:themeColor="text1"/>
          <w:highlight w:val="none"/>
          <w14:textFill>
            <w14:solidFill>
              <w14:schemeClr w14:val="tx1"/>
            </w14:solidFill>
          </w14:textFill>
        </w:rPr>
        <w:t>14.3 工程进度款</w:t>
      </w:r>
      <w:bookmarkEnd w:id="1373"/>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14.3.1 工程进度付款申请</w:t>
      </w:r>
    </w:p>
    <w:p>
      <w:pPr>
        <w:snapToGrid w:val="0"/>
        <w:spacing w:line="360" w:lineRule="auto"/>
        <w:ind w:firstLine="60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工程进度付款申请方式：</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(1)工程进度款分两部分申请，一是工人工资部分，这部分款项仅用于工人工资支付，按照第(2)条执行。二是扣除工人工资部分的剩余进度款部分，这部分款项按照第(3)条执行。</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(2)工人工资部分：本工程自合同生效之日起至首次工程进度款申请前，承包人向发包人提供在建设项目所在地设立的工人工资支付专用账户的开户证明。</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人工资支付专用账户的监督和管理按照《关于印发广州市建设领域工人工资支付分账管理实施细则的通知》（穗建规字[2017]10号）等有关规定执行。若执行过程中有新文件，按新文件执行，该项资金视作本工程的工程款，并作为已经到位的建设资金。</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扣除工人工资部分的剩余进度款部分：依据设计图纸计算实际完成工程量，承包人应在每月20日前向监理工程师报送当月内（上月21日至本月20日）工程计量资料（含实际完成的工程数量、应付的进度款和质量自检等表格），经监理单位审核确认后，连同该月的监理报表于25日前送交发包人审核，发包人于次月30日前最终审定当月应付进度款。</w:t>
      </w:r>
    </w:p>
    <w:p>
      <w:pPr>
        <w:adjustRightInd w:val="0"/>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(4）支付比例约定：按实际工程量 85%计价支付（如有预付款，则按14.2.1约定的时间和比例扣回）；待工程完工并经竣工验收合格，发包人累计支付至合同价中建安工程费的 85%。在完成结算评审，且完成工程资料归档后，发包人累计支付至有审核权的部门审定价的 97%；余下结算价的3%作为工程质保金，需“缺陷责任期”期满，认为无质量遗留问题并取得工程缺陷责任期终止证书后一个月内付清。安全防护、文明施工措施费用按发包人的要求单独计量支付。</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发包人已支付的累计金额大于本合同有审核权的部门审定价的97%，承包人应在工程结算定审之日起 15 日内向发包人返还多收的款项；否则，发包人有权向承包人追索，承包人除应足额返还多收的款项外，还应每天按多收款项总金额的 2‰ 向发包人支付违约金。</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承包人提交进度付款申请单的格式、内容、份数和时间：</w:t>
      </w:r>
      <w:r>
        <w:rPr>
          <w:rFonts w:hint="eastAsia" w:ascii="宋体"/>
          <w:color w:val="000000" w:themeColor="text1"/>
          <w:sz w:val="24"/>
          <w:szCs w:val="28"/>
          <w:highlight w:val="none"/>
          <w:u w:val="single"/>
          <w14:textFill>
            <w14:solidFill>
              <w14:schemeClr w14:val="tx1"/>
            </w14:solidFill>
          </w14:textFill>
        </w:rPr>
        <w:t xml:space="preserve"> 按发包人或工程师有关管理文件要求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进度付款申请单应包括的内容：</w:t>
      </w:r>
      <w:r>
        <w:rPr>
          <w:rFonts w:hint="eastAsia" w:ascii="宋体"/>
          <w:color w:val="000000" w:themeColor="text1"/>
          <w:sz w:val="24"/>
          <w:szCs w:val="28"/>
          <w:highlight w:val="none"/>
          <w:u w:val="single"/>
          <w14:textFill>
            <w14:solidFill>
              <w14:schemeClr w14:val="tx1"/>
            </w14:solidFill>
          </w14:textFill>
        </w:rPr>
        <w:t xml:space="preserve"> 按发包人或工程师有关管理文件要求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14.3.2 进度付款审核和支付</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进度付款的审核方式和支付的约定：</w:t>
      </w:r>
      <w:r>
        <w:rPr>
          <w:rFonts w:hint="eastAsia" w:ascii="宋体"/>
          <w:color w:val="000000" w:themeColor="text1"/>
          <w:sz w:val="24"/>
          <w:szCs w:val="28"/>
          <w:highlight w:val="none"/>
          <w:u w:val="single"/>
          <w14:textFill>
            <w14:solidFill>
              <w14:schemeClr w14:val="tx1"/>
            </w14:solidFill>
          </w14:textFill>
        </w:rPr>
        <w:t xml:space="preserve"> 按发包人或工程师有关管理文件要求审核无误，签发书面进度款支付证书，方视为承包人完成请款手续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应在进度款支付证书或临时进度款支付证书签发后向财政部门申请支付。发包人向财政部门提交付款申请视为按期支付，涉及因支付办理审批时间延迟导致的付款时间延迟的，不属于发包人违约行为，承包人不得因此向发包人主张任何赔偿或其他法律责任。</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发包人签发进度款支付证书，不表明发包人已同意、批准或接受了承包人完成的相应部分的工作。</w:t>
      </w:r>
    </w:p>
    <w:p>
      <w:pPr>
        <w:pStyle w:val="196"/>
        <w:spacing w:before="156"/>
        <w:ind w:firstLine="241"/>
        <w:rPr>
          <w:color w:val="000000" w:themeColor="text1"/>
          <w:highlight w:val="none"/>
          <w14:textFill>
            <w14:solidFill>
              <w14:schemeClr w14:val="tx1"/>
            </w14:solidFill>
          </w14:textFill>
        </w:rPr>
      </w:pPr>
      <w:bookmarkStart w:id="1374" w:name="_Toc102746127"/>
      <w:r>
        <w:rPr>
          <w:rFonts w:hint="eastAsia"/>
          <w:color w:val="000000" w:themeColor="text1"/>
          <w:highlight w:val="none"/>
          <w14:textFill>
            <w14:solidFill>
              <w14:schemeClr w14:val="tx1"/>
            </w14:solidFill>
          </w14:textFill>
        </w:rPr>
        <w:t>14.4 付款计划表</w:t>
      </w:r>
      <w:bookmarkEnd w:id="1374"/>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14.4.1 付款计划表的编制要求：</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14.4.2 付款计划表的编制与审批</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承包人应根据第8.4款[项目进度计划]约定的项目进度计划、签约合同价和工程量等因素对总价合同进行分解，确定付款期数、计划每期达到的主要形象进度和（或）完成的主要计划工程量（含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（2）工程师应在收到付款计划表后7天内完成审核并报送发包人。发包人应在收到经工程师审核的付款计划表后结合项目实际需要可要求承包人进行修正和提供补充资料，并最终以书面文件予以批准。</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付款计划表的编制：</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75" w:name="_Toc102746128"/>
      <w:r>
        <w:rPr>
          <w:rFonts w:hint="eastAsia"/>
          <w:color w:val="000000" w:themeColor="text1"/>
          <w:highlight w:val="none"/>
          <w14:textFill>
            <w14:solidFill>
              <w14:schemeClr w14:val="tx1"/>
            </w14:solidFill>
          </w14:textFill>
        </w:rPr>
        <w:t>14.5 竣工结算</w:t>
      </w:r>
      <w:bookmarkEnd w:id="1375"/>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14.5.1 竣工结算申请</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承包人提交竣工结算申请的时间：</w:t>
      </w:r>
      <w:r>
        <w:rPr>
          <w:rFonts w:hint="eastAsia" w:ascii="宋体"/>
          <w:color w:val="000000" w:themeColor="text1"/>
          <w:sz w:val="24"/>
          <w:szCs w:val="28"/>
          <w:highlight w:val="none"/>
          <w:u w:val="single"/>
          <w14:textFill>
            <w14:solidFill>
              <w14:schemeClr w14:val="tx1"/>
            </w14:solidFill>
          </w14:textFill>
        </w:rPr>
        <w:t xml:space="preserve">  按发包人要求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竣工结算申请的资料清单和份数：</w:t>
      </w:r>
      <w:r>
        <w:rPr>
          <w:rFonts w:hint="eastAsia" w:ascii="宋体"/>
          <w:color w:val="000000" w:themeColor="text1"/>
          <w:sz w:val="24"/>
          <w:szCs w:val="28"/>
          <w:highlight w:val="none"/>
          <w:u w:val="single"/>
          <w14:textFill>
            <w14:solidFill>
              <w14:schemeClr w14:val="tx1"/>
            </w14:solidFill>
          </w14:textFill>
        </w:rPr>
        <w:t xml:space="preserve"> 按发包人要求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竣工结算申请单的内容应包括：</w:t>
      </w:r>
      <w:r>
        <w:rPr>
          <w:rFonts w:hint="eastAsia" w:ascii="宋体"/>
          <w:color w:val="000000" w:themeColor="text1"/>
          <w:sz w:val="24"/>
          <w:szCs w:val="28"/>
          <w:highlight w:val="none"/>
          <w:u w:val="single"/>
          <w14:textFill>
            <w14:solidFill>
              <w14:schemeClr w14:val="tx1"/>
            </w14:solidFill>
          </w14:textFill>
        </w:rPr>
        <w:t xml:space="preserve"> 按发包人要求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14.5.2 竣工结算审核</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发包人审批竣工付款申请单的期限：</w:t>
      </w:r>
      <w:r>
        <w:rPr>
          <w:rFonts w:hint="eastAsia" w:ascii="宋体"/>
          <w:color w:val="000000" w:themeColor="text1"/>
          <w:sz w:val="24"/>
          <w:szCs w:val="28"/>
          <w:highlight w:val="none"/>
          <w:u w:val="single"/>
          <w14:textFill>
            <w14:solidFill>
              <w14:schemeClr w14:val="tx1"/>
            </w14:solidFill>
          </w14:textFill>
        </w:rPr>
        <w:t xml:space="preserve"> 工程师应在收到竣工结算申请单后30天内完成核查并报送发包人。发包人出具书面审核意见后，方可进行竣工结算</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发包人完成竣工付款的期限：</w:t>
      </w:r>
      <w:r>
        <w:rPr>
          <w:rFonts w:hint="eastAsia" w:ascii="宋体"/>
          <w:color w:val="000000" w:themeColor="text1"/>
          <w:sz w:val="24"/>
          <w:szCs w:val="28"/>
          <w:highlight w:val="none"/>
          <w:u w:val="single"/>
          <w14:textFill>
            <w14:solidFill>
              <w14:schemeClr w14:val="tx1"/>
            </w14:solidFill>
          </w14:textFill>
        </w:rPr>
        <w:t>承包人按规定办理竣工付款申请，发包人应在签发竣工付款证书后的60天内向财政部门申请支付，发包人向财政部门提交付款申请视为按期支付，涉及因支付办理审批时间延迟导致的付款时间延迟的，不属于发包人违约行为，承包人不得因此向发包人主张任何赔偿或其他法律责任。</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关于竣工付款证书异议部分复核的方式和程序：</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76" w:name="_Toc102746129"/>
      <w:r>
        <w:rPr>
          <w:rFonts w:hint="eastAsia"/>
          <w:color w:val="000000" w:themeColor="text1"/>
          <w:highlight w:val="none"/>
          <w14:textFill>
            <w14:solidFill>
              <w14:schemeClr w14:val="tx1"/>
            </w14:solidFill>
          </w14:textFill>
        </w:rPr>
        <w:t>14.6 质量保证金</w:t>
      </w:r>
      <w:bookmarkEnd w:id="1376"/>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14.6.1 承包人提供质量保证金的方式</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质量保证金采用以下第</w:t>
      </w:r>
      <w:r>
        <w:rPr>
          <w:rFonts w:hint="eastAsia" w:ascii="宋体"/>
          <w:color w:val="000000" w:themeColor="text1"/>
          <w:sz w:val="24"/>
          <w:szCs w:val="28"/>
          <w:highlight w:val="none"/>
          <w:u w:val="single"/>
          <w14:textFill>
            <w14:solidFill>
              <w14:schemeClr w14:val="tx1"/>
            </w14:solidFill>
          </w14:textFill>
        </w:rPr>
        <w:t xml:space="preserve"> （2） </w:t>
      </w:r>
      <w:r>
        <w:rPr>
          <w:rFonts w:hint="eastAsia" w:ascii="宋体"/>
          <w:color w:val="000000" w:themeColor="text1"/>
          <w:sz w:val="24"/>
          <w:szCs w:val="28"/>
          <w:highlight w:val="none"/>
          <w14:textFill>
            <w14:solidFill>
              <w14:schemeClr w14:val="tx1"/>
            </w14:solidFill>
          </w14:textFill>
        </w:rPr>
        <w:t>种方式：</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工程质量保证担保，保证金额为：</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 xml:space="preserve">(2) </w:t>
      </w:r>
      <w:r>
        <w:rPr>
          <w:rFonts w:hint="eastAsia" w:ascii="宋体"/>
          <w:color w:val="000000" w:themeColor="text1"/>
          <w:sz w:val="24"/>
          <w:szCs w:val="28"/>
          <w:highlight w:val="none"/>
          <w:u w:val="single"/>
          <w14:textFill>
            <w14:solidFill>
              <w14:schemeClr w14:val="tx1"/>
            </w14:solidFill>
          </w14:textFill>
        </w:rPr>
        <w:t xml:space="preserve">   3  </w:t>
      </w:r>
      <w:r>
        <w:rPr>
          <w:rFonts w:hint="eastAsia" w:ascii="宋体"/>
          <w:color w:val="000000" w:themeColor="text1"/>
          <w:sz w:val="24"/>
          <w:szCs w:val="28"/>
          <w:highlight w:val="none"/>
          <w14:textFill>
            <w14:solidFill>
              <w14:schemeClr w14:val="tx1"/>
            </w14:solidFill>
          </w14:textFill>
        </w:rPr>
        <w:t>%的工程款；</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(3) 其他方式：</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w:t>
      </w:r>
      <w:r>
        <w:rPr>
          <w:rFonts w:hint="eastAsia"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14.6.2 质量保证金的预留</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质量保证金的预留采取以下第</w:t>
      </w:r>
      <w:r>
        <w:rPr>
          <w:rFonts w:hint="eastAsia" w:ascii="宋体"/>
          <w:color w:val="000000" w:themeColor="text1"/>
          <w:sz w:val="24"/>
          <w:szCs w:val="28"/>
          <w:highlight w:val="none"/>
          <w:u w:val="single"/>
          <w14:textFill>
            <w14:solidFill>
              <w14:schemeClr w14:val="tx1"/>
            </w14:solidFill>
          </w14:textFill>
        </w:rPr>
        <w:t xml:space="preserve">  </w:t>
      </w:r>
      <w:r>
        <w:rPr>
          <w:rFonts w:ascii="宋体"/>
          <w:color w:val="000000" w:themeColor="text1"/>
          <w:sz w:val="24"/>
          <w:szCs w:val="28"/>
          <w:highlight w:val="none"/>
          <w:u w:val="single"/>
          <w14:textFill>
            <w14:solidFill>
              <w14:schemeClr w14:val="tx1"/>
            </w14:solidFill>
          </w14:textFill>
        </w:rPr>
        <w:t xml:space="preserve">(2)  </w:t>
      </w:r>
      <w:r>
        <w:rPr>
          <w:rFonts w:hint="eastAsia" w:ascii="宋体"/>
          <w:color w:val="000000" w:themeColor="text1"/>
          <w:sz w:val="24"/>
          <w:szCs w:val="28"/>
          <w:highlight w:val="none"/>
          <w14:textFill>
            <w14:solidFill>
              <w14:schemeClr w14:val="tx1"/>
            </w14:solidFill>
          </w14:textFill>
        </w:rPr>
        <w:t>种方式：</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 在支付工程进度款时逐次预留的质量保证金的比例：</w:t>
      </w:r>
      <w:r>
        <w:rPr>
          <w:rFonts w:hint="eastAsia" w:ascii="宋体"/>
          <w:color w:val="000000" w:themeColor="text1"/>
          <w:sz w:val="24"/>
          <w:szCs w:val="28"/>
          <w:highlight w:val="none"/>
          <w:u w:val="single"/>
          <w14:textFill>
            <w14:solidFill>
              <w14:schemeClr w14:val="tx1"/>
            </w14:solidFill>
          </w14:textFill>
        </w:rPr>
        <w:t xml:space="preserve"> 3%  </w:t>
      </w:r>
      <w:r>
        <w:rPr>
          <w:rFonts w:hint="eastAsia" w:ascii="宋体"/>
          <w:color w:val="000000" w:themeColor="text1"/>
          <w:sz w:val="24"/>
          <w:szCs w:val="28"/>
          <w:highlight w:val="none"/>
          <w14:textFill>
            <w14:solidFill>
              <w14:schemeClr w14:val="tx1"/>
            </w14:solidFill>
          </w14:textFill>
        </w:rPr>
        <w:t>，在此情形下，质量保证金的计算基数不包括预付款的支付、扣回以及价格调整的金额；</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 工程竣工结算时一次性预留专用合同条件第14.6.1项第(2)目约定的工程款预留比例的质量保证金；</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 xml:space="preserve">(3) 其他预留方式: </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关于质量保证金的补充约定：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77" w:name="_Toc102746130"/>
      <w:r>
        <w:rPr>
          <w:rFonts w:hint="eastAsia"/>
          <w:color w:val="000000" w:themeColor="text1"/>
          <w:highlight w:val="none"/>
          <w14:textFill>
            <w14:solidFill>
              <w14:schemeClr w14:val="tx1"/>
            </w14:solidFill>
          </w14:textFill>
        </w:rPr>
        <w:t>14.7 最终结清</w:t>
      </w:r>
      <w:bookmarkEnd w:id="1377"/>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14.7.1 最终结清申请单</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当事人双方关于最终结清申请的其他约定：</w:t>
      </w:r>
      <w:r>
        <w:rPr>
          <w:rFonts w:hint="eastAsia" w:ascii="宋体"/>
          <w:color w:val="000000" w:themeColor="text1"/>
          <w:sz w:val="24"/>
          <w:szCs w:val="28"/>
          <w:highlight w:val="none"/>
          <w:u w:val="single"/>
          <w14:textFill>
            <w14:solidFill>
              <w14:schemeClr w14:val="tx1"/>
            </w14:solidFill>
          </w14:textFill>
        </w:rPr>
        <w:t xml:space="preserve">  / </w:t>
      </w:r>
      <w:r>
        <w:rPr>
          <w:rFonts w:ascii="宋体"/>
          <w:color w:val="000000" w:themeColor="text1"/>
          <w:sz w:val="24"/>
          <w:szCs w:val="28"/>
          <w:highlight w:val="none"/>
          <w:u w:val="single"/>
          <w14:textFill>
            <w14:solidFill>
              <w14:schemeClr w14:val="tx1"/>
            </w14:solidFill>
          </w14:textFill>
        </w:rPr>
        <w:t xml:space="preserve">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14.7.2 最终结清证书和支付</w:t>
      </w:r>
    </w:p>
    <w:p>
      <w:pPr>
        <w:snapToGrid w:val="0"/>
        <w:spacing w:line="360" w:lineRule="auto"/>
        <w:ind w:firstLine="600"/>
        <w:rPr>
          <w:rFonts w:asci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当事人双方关于最终结清支付的其他约定：</w:t>
      </w:r>
      <w:r>
        <w:rPr>
          <w:rFonts w:hint="eastAsia" w:ascii="宋体"/>
          <w:color w:val="000000" w:themeColor="text1"/>
          <w:sz w:val="24"/>
          <w:szCs w:val="28"/>
          <w:highlight w:val="none"/>
          <w:u w:val="single"/>
          <w14:textFill>
            <w14:solidFill>
              <w14:schemeClr w14:val="tx1"/>
            </w14:solidFill>
          </w14:textFill>
        </w:rPr>
        <w:t xml:space="preserve"> 承包人的最终结清支付申请经发包人审核无误后，颁发正式最终结算证书。发包人应在颁发最终结清证书后30天内完成支付。</w:t>
      </w:r>
    </w:p>
    <w:p>
      <w:pPr>
        <w:pStyle w:val="200"/>
        <w:rPr>
          <w:color w:val="000000" w:themeColor="text1"/>
          <w:highlight w:val="none"/>
          <w14:textFill>
            <w14:solidFill>
              <w14:schemeClr w14:val="tx1"/>
            </w14:solidFill>
          </w14:textFill>
        </w:rPr>
      </w:pPr>
      <w:bookmarkStart w:id="1378" w:name="_Toc5912"/>
      <w:bookmarkStart w:id="1379" w:name="_Toc13925"/>
      <w:bookmarkStart w:id="1380" w:name="_Toc12043"/>
      <w:bookmarkStart w:id="1381" w:name="_Toc18177"/>
      <w:bookmarkStart w:id="1382" w:name="_Toc54862346"/>
      <w:bookmarkStart w:id="1383" w:name="_Toc30640"/>
      <w:bookmarkStart w:id="1384" w:name="_Toc102746131"/>
      <w:bookmarkStart w:id="1385" w:name="_Toc6025"/>
      <w:bookmarkStart w:id="1386" w:name="_Toc20433"/>
      <w:bookmarkStart w:id="1387" w:name="_Toc23836"/>
      <w:r>
        <w:rPr>
          <w:rFonts w:hint="eastAsia"/>
          <w:color w:val="000000" w:themeColor="text1"/>
          <w:highlight w:val="none"/>
          <w14:textFill>
            <w14:solidFill>
              <w14:schemeClr w14:val="tx1"/>
            </w14:solidFill>
          </w14:textFill>
        </w:rPr>
        <w:t>第15条 违约</w:t>
      </w:r>
      <w:bookmarkEnd w:id="1378"/>
      <w:bookmarkEnd w:id="1379"/>
      <w:bookmarkEnd w:id="1380"/>
      <w:bookmarkEnd w:id="1381"/>
      <w:bookmarkEnd w:id="1382"/>
      <w:bookmarkEnd w:id="1383"/>
      <w:bookmarkEnd w:id="1384"/>
      <w:bookmarkEnd w:id="1385"/>
      <w:bookmarkEnd w:id="1386"/>
      <w:bookmarkEnd w:id="1387"/>
    </w:p>
    <w:p>
      <w:pPr>
        <w:pStyle w:val="196"/>
        <w:spacing w:before="156"/>
        <w:ind w:firstLine="241"/>
        <w:rPr>
          <w:color w:val="000000" w:themeColor="text1"/>
          <w:highlight w:val="none"/>
          <w14:textFill>
            <w14:solidFill>
              <w14:schemeClr w14:val="tx1"/>
            </w14:solidFill>
          </w14:textFill>
        </w:rPr>
      </w:pPr>
      <w:bookmarkStart w:id="1388" w:name="_Toc102746132"/>
      <w:r>
        <w:rPr>
          <w:rFonts w:hint="eastAsia"/>
          <w:color w:val="000000" w:themeColor="text1"/>
          <w:highlight w:val="none"/>
          <w14:textFill>
            <w14:solidFill>
              <w14:schemeClr w14:val="tx1"/>
            </w14:solidFill>
          </w14:textFill>
        </w:rPr>
        <w:t>15.1 发包人违约</w:t>
      </w:r>
      <w:bookmarkEnd w:id="1388"/>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15.1.1 发包人违约的情形</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发包人违约的其他情形</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69"/>
        <w:spacing w:before="156" w:after="120"/>
        <w:ind w:firstLine="600" w:firstLineChars="2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15.1.2 </w:t>
      </w:r>
      <w:r>
        <w:rPr>
          <w:rFonts w:hint="eastAsia"/>
          <w:color w:val="000000" w:themeColor="text1"/>
          <w:highlight w:val="none"/>
          <w14:textFill>
            <w14:solidFill>
              <w14:schemeClr w14:val="tx1"/>
            </w14:solidFill>
          </w14:textFill>
        </w:rPr>
        <w:t>通知改正</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发包人发生除第</w:t>
      </w:r>
      <w:r>
        <w:rPr>
          <w:rFonts w:ascii="宋体"/>
          <w:color w:val="000000" w:themeColor="text1"/>
          <w:sz w:val="24"/>
          <w:highlight w:val="none"/>
          <w14:textFill>
            <w14:solidFill>
              <w14:schemeClr w14:val="tx1"/>
            </w14:solidFill>
          </w14:textFill>
        </w:rPr>
        <w:t>15.1.1</w:t>
      </w:r>
      <w:r>
        <w:rPr>
          <w:rFonts w:hint="eastAsia" w:ascii="宋体"/>
          <w:color w:val="000000" w:themeColor="text1"/>
          <w:sz w:val="24"/>
          <w:highlight w:val="none"/>
          <w14:textFill>
            <w14:solidFill>
              <w14:schemeClr w14:val="tx1"/>
            </w14:solidFill>
          </w14:textFill>
        </w:rPr>
        <w:t>项第</w:t>
      </w:r>
      <w:r>
        <w:rPr>
          <w:rFonts w:ascii="宋体"/>
          <w:color w:val="000000" w:themeColor="text1"/>
          <w:sz w:val="24"/>
          <w:highlight w:val="none"/>
          <w14:textFill>
            <w14:solidFill>
              <w14:schemeClr w14:val="tx1"/>
            </w14:solidFill>
          </w14:textFill>
        </w:rPr>
        <w:t>(6)</w:t>
      </w:r>
      <w:r>
        <w:rPr>
          <w:rFonts w:hint="eastAsia" w:ascii="宋体"/>
          <w:color w:val="000000" w:themeColor="text1"/>
          <w:sz w:val="24"/>
          <w:highlight w:val="none"/>
          <w14:textFill>
            <w14:solidFill>
              <w14:schemeClr w14:val="tx1"/>
            </w14:solidFill>
          </w14:textFill>
        </w:rPr>
        <w:t>目以外的违约情况时，承包人可向发包人发出通知，要求发包人采取有效措施纠正违约行为。发包人收到承包人通知后</w:t>
      </w:r>
      <w:r>
        <w:rPr>
          <w:rFonts w:ascii="宋体"/>
          <w:color w:val="000000" w:themeColor="text1"/>
          <w:sz w:val="24"/>
          <w:highlight w:val="none"/>
          <w14:textFill>
            <w14:solidFill>
              <w14:schemeClr w14:val="tx1"/>
            </w14:solidFill>
          </w14:textFill>
        </w:rPr>
        <w:t>42</w:t>
      </w:r>
      <w:r>
        <w:rPr>
          <w:rFonts w:hint="eastAsia" w:ascii="宋体"/>
          <w:color w:val="000000" w:themeColor="text1"/>
          <w:sz w:val="24"/>
          <w:highlight w:val="none"/>
          <w14:textFill>
            <w14:solidFill>
              <w14:schemeClr w14:val="tx1"/>
            </w14:solidFill>
          </w14:textFill>
        </w:rPr>
        <w:t>天内仍不纠正违约行为也没有作必要的情况说明的，承包人有权暂停相应部位工程实施，并通知工程师</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15.1.3 发包人违约的责任</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发包人违约责任的承担方式和计算方法：</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389" w:name="_Toc102746133"/>
      <w:r>
        <w:rPr>
          <w:rFonts w:hint="eastAsia"/>
          <w:color w:val="000000" w:themeColor="text1"/>
          <w:highlight w:val="none"/>
          <w14:textFill>
            <w14:solidFill>
              <w14:schemeClr w14:val="tx1"/>
            </w14:solidFill>
          </w14:textFill>
        </w:rPr>
        <w:t>15.2 承包人违约</w:t>
      </w:r>
      <w:bookmarkEnd w:id="1389"/>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15.2.1 承包人违约的情形</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承包人违约的其他情形：</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15.2.2 通知改正</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工程师通知承包人改正的合理期限是：</w:t>
      </w:r>
      <w:r>
        <w:rPr>
          <w:rFonts w:hint="eastAsia" w:ascii="宋体"/>
          <w:color w:val="000000" w:themeColor="text1"/>
          <w:sz w:val="24"/>
          <w:szCs w:val="28"/>
          <w:highlight w:val="none"/>
          <w:u w:val="single"/>
          <w14:textFill>
            <w14:solidFill>
              <w14:schemeClr w14:val="tx1"/>
            </w14:solidFill>
          </w14:textFill>
        </w:rPr>
        <w:t xml:space="preserve">  14天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15.2.3 承包人违约的责任</w:t>
      </w:r>
    </w:p>
    <w:p>
      <w:pPr>
        <w:pStyle w:val="40"/>
        <w:adjustRightInd w:val="0"/>
        <w:snapToGrid w:val="0"/>
        <w:spacing w:before="0" w:beforeAutospacing="0" w:after="0" w:afterAutospacing="0" w:line="360" w:lineRule="auto"/>
        <w:ind w:firstLine="480" w:firstLineChars="200"/>
        <w:jc w:val="both"/>
        <w:rPr>
          <w:rFonts w:hAnsi="Times New Roman"/>
          <w:color w:val="000000" w:themeColor="text1"/>
          <w:kern w:val="2"/>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15.2.3.1</w:t>
      </w:r>
      <w:r>
        <w:rPr>
          <w:rFonts w:hint="eastAsia" w:hAnsi="Times New Roman"/>
          <w:color w:val="000000" w:themeColor="text1"/>
          <w:sz w:val="24"/>
          <w:szCs w:val="28"/>
          <w:highlight w:val="none"/>
          <w14:textFill>
            <w14:solidFill>
              <w14:schemeClr w14:val="tx1"/>
            </w14:solidFill>
          </w14:textFill>
        </w:rPr>
        <w:t>承包人</w:t>
      </w:r>
      <w:r>
        <w:rPr>
          <w:rFonts w:hint="eastAsia" w:hAnsi="Times New Roman"/>
          <w:color w:val="000000" w:themeColor="text1"/>
          <w:kern w:val="2"/>
          <w:sz w:val="24"/>
          <w:szCs w:val="28"/>
          <w:highlight w:val="none"/>
          <w14:textFill>
            <w14:solidFill>
              <w14:schemeClr w14:val="tx1"/>
            </w14:solidFill>
          </w14:textFill>
        </w:rPr>
        <w:t>承担的违约标准存在档次选择时，需根据</w:t>
      </w:r>
      <w:r>
        <w:rPr>
          <w:rFonts w:hint="eastAsia" w:hAnsi="Times New Roman"/>
          <w:color w:val="000000" w:themeColor="text1"/>
          <w:sz w:val="24"/>
          <w:szCs w:val="28"/>
          <w:highlight w:val="none"/>
          <w14:textFill>
            <w14:solidFill>
              <w14:schemeClr w14:val="tx1"/>
            </w14:solidFill>
          </w14:textFill>
        </w:rPr>
        <w:t>承包人</w:t>
      </w:r>
      <w:r>
        <w:rPr>
          <w:rFonts w:hint="eastAsia" w:hAnsi="Times New Roman"/>
          <w:color w:val="000000" w:themeColor="text1"/>
          <w:kern w:val="2"/>
          <w:sz w:val="24"/>
          <w:szCs w:val="28"/>
          <w:highlight w:val="none"/>
          <w14:textFill>
            <w14:solidFill>
              <w14:schemeClr w14:val="tx1"/>
            </w14:solidFill>
          </w14:textFill>
        </w:rPr>
        <w:t>服务合同金额确定，合同金额1000万（含本数）以下的，适用第一等级标准；合同金额1000万至2000万（不含本数）的，适用第二等级标准；合同金额2000万(含本数)及以上的，适用第三等级标准。第三等级标准为最高标准。</w:t>
      </w:r>
    </w:p>
    <w:p>
      <w:pPr>
        <w:pStyle w:val="40"/>
        <w:adjustRightInd w:val="0"/>
        <w:snapToGrid w:val="0"/>
        <w:spacing w:before="0" w:beforeAutospacing="0" w:after="0" w:afterAutospacing="0" w:line="360" w:lineRule="auto"/>
        <w:ind w:firstLine="480" w:firstLineChars="200"/>
        <w:jc w:val="both"/>
        <w:rPr>
          <w:rFonts w:hAnsi="Times New Roman"/>
          <w:color w:val="000000" w:themeColor="text1"/>
          <w:kern w:val="2"/>
          <w:sz w:val="24"/>
          <w:szCs w:val="28"/>
          <w:highlight w:val="none"/>
          <w14:textFill>
            <w14:solidFill>
              <w14:schemeClr w14:val="tx1"/>
            </w14:solidFill>
          </w14:textFill>
        </w:rPr>
      </w:pPr>
      <w:r>
        <w:rPr>
          <w:rFonts w:hint="eastAsia" w:hAnsi="Times New Roman"/>
          <w:color w:val="000000" w:themeColor="text1"/>
          <w:kern w:val="2"/>
          <w:sz w:val="24"/>
          <w:szCs w:val="28"/>
          <w:highlight w:val="none"/>
          <w14:textFill>
            <w14:solidFill>
              <w14:schemeClr w14:val="tx1"/>
            </w14:solidFill>
          </w14:textFill>
        </w:rPr>
        <w:t>（1）一般违约责任。</w:t>
      </w:r>
      <w:r>
        <w:rPr>
          <w:rFonts w:hint="eastAsia" w:hAnsi="Times New Roman"/>
          <w:color w:val="000000" w:themeColor="text1"/>
          <w:sz w:val="24"/>
          <w:szCs w:val="28"/>
          <w:highlight w:val="none"/>
          <w14:textFill>
            <w14:solidFill>
              <w14:schemeClr w14:val="tx1"/>
            </w14:solidFill>
          </w14:textFill>
        </w:rPr>
        <w:t>承包人</w:t>
      </w:r>
      <w:r>
        <w:rPr>
          <w:rFonts w:hint="eastAsia" w:hAnsi="Times New Roman"/>
          <w:color w:val="000000" w:themeColor="text1"/>
          <w:kern w:val="2"/>
          <w:sz w:val="24"/>
          <w:szCs w:val="28"/>
          <w:highlight w:val="none"/>
          <w14:textFill>
            <w14:solidFill>
              <w14:schemeClr w14:val="tx1"/>
            </w14:solidFill>
          </w14:textFill>
        </w:rPr>
        <w:t>违反本合同的约定须承担一般违约责任时，必须向发包人交纳违约金(□3000元/次，□5000元/次,□</w:t>
      </w:r>
      <w:r>
        <w:rPr>
          <w:rFonts w:hint="eastAsia" w:hAnsi="Times New Roman"/>
          <w:color w:val="000000" w:themeColor="text1"/>
          <w:kern w:val="2"/>
          <w:sz w:val="24"/>
          <w:szCs w:val="28"/>
          <w:highlight w:val="none"/>
          <w14:textFill>
            <w14:solidFill>
              <w14:schemeClr w14:val="tx1"/>
            </w14:solidFill>
          </w14:textFill>
        </w:rPr>
        <w:sym w:font="Wingdings 2" w:char="0052"/>
      </w:r>
      <w:r>
        <w:rPr>
          <w:rFonts w:hint="eastAsia" w:hAnsi="Times New Roman"/>
          <w:color w:val="000000" w:themeColor="text1"/>
          <w:kern w:val="2"/>
          <w:sz w:val="24"/>
          <w:szCs w:val="28"/>
          <w:highlight w:val="none"/>
          <w14:textFill>
            <w14:solidFill>
              <w14:schemeClr w14:val="tx1"/>
            </w14:solidFill>
          </w14:textFill>
        </w:rPr>
        <w:t>10000元/次)。</w:t>
      </w:r>
    </w:p>
    <w:p>
      <w:pPr>
        <w:pStyle w:val="40"/>
        <w:adjustRightInd w:val="0"/>
        <w:snapToGrid w:val="0"/>
        <w:spacing w:before="0" w:beforeAutospacing="0" w:after="0" w:afterAutospacing="0" w:line="360" w:lineRule="auto"/>
        <w:ind w:firstLine="480" w:firstLineChars="200"/>
        <w:jc w:val="both"/>
        <w:rPr>
          <w:rFonts w:hAnsi="Times New Roman"/>
          <w:color w:val="000000" w:themeColor="text1"/>
          <w:kern w:val="2"/>
          <w:sz w:val="24"/>
          <w:szCs w:val="28"/>
          <w:highlight w:val="none"/>
          <w14:textFill>
            <w14:solidFill>
              <w14:schemeClr w14:val="tx1"/>
            </w14:solidFill>
          </w14:textFill>
        </w:rPr>
      </w:pPr>
      <w:r>
        <w:rPr>
          <w:rFonts w:hint="eastAsia" w:hAnsi="Times New Roman"/>
          <w:color w:val="000000" w:themeColor="text1"/>
          <w:kern w:val="2"/>
          <w:sz w:val="24"/>
          <w:szCs w:val="28"/>
          <w:highlight w:val="none"/>
          <w14:textFill>
            <w14:solidFill>
              <w14:schemeClr w14:val="tx1"/>
            </w14:solidFill>
          </w14:textFill>
        </w:rPr>
        <w:t>（2）严重违约责任。</w:t>
      </w:r>
      <w:r>
        <w:rPr>
          <w:rFonts w:hint="eastAsia" w:hAnsi="Times New Roman"/>
          <w:color w:val="000000" w:themeColor="text1"/>
          <w:sz w:val="24"/>
          <w:szCs w:val="28"/>
          <w:highlight w:val="none"/>
          <w14:textFill>
            <w14:solidFill>
              <w14:schemeClr w14:val="tx1"/>
            </w14:solidFill>
          </w14:textFill>
        </w:rPr>
        <w:t>承包人</w:t>
      </w:r>
      <w:r>
        <w:rPr>
          <w:rFonts w:hint="eastAsia" w:hAnsi="Times New Roman"/>
          <w:color w:val="000000" w:themeColor="text1"/>
          <w:kern w:val="2"/>
          <w:sz w:val="24"/>
          <w:szCs w:val="28"/>
          <w:highlight w:val="none"/>
          <w14:textFill>
            <w14:solidFill>
              <w14:schemeClr w14:val="tx1"/>
            </w14:solidFill>
          </w14:textFill>
        </w:rPr>
        <w:t>违反本合同的约定须承担严重违约责任时，必须向发包人交纳违约金(□10000元/次，□20000元/次，</w:t>
      </w:r>
      <w:r>
        <w:rPr>
          <w:rFonts w:hint="eastAsia" w:hAnsi="Times New Roman"/>
          <w:color w:val="000000" w:themeColor="text1"/>
          <w:kern w:val="2"/>
          <w:sz w:val="24"/>
          <w:szCs w:val="28"/>
          <w:highlight w:val="none"/>
          <w14:textFill>
            <w14:solidFill>
              <w14:schemeClr w14:val="tx1"/>
            </w14:solidFill>
          </w14:textFill>
        </w:rPr>
        <w:sym w:font="Wingdings 2" w:char="0052"/>
      </w:r>
      <w:r>
        <w:rPr>
          <w:rFonts w:hint="eastAsia" w:hAnsi="Times New Roman"/>
          <w:color w:val="000000" w:themeColor="text1"/>
          <w:kern w:val="2"/>
          <w:sz w:val="24"/>
          <w:szCs w:val="28"/>
          <w:highlight w:val="none"/>
          <w14:textFill>
            <w14:solidFill>
              <w14:schemeClr w14:val="tx1"/>
            </w14:solidFill>
          </w14:textFill>
        </w:rPr>
        <w:t>30000元/次)。</w:t>
      </w:r>
    </w:p>
    <w:p>
      <w:pPr>
        <w:pStyle w:val="40"/>
        <w:adjustRightInd w:val="0"/>
        <w:snapToGrid w:val="0"/>
        <w:spacing w:before="0" w:beforeAutospacing="0" w:after="0" w:afterAutospacing="0" w:line="360" w:lineRule="auto"/>
        <w:ind w:firstLine="480" w:firstLineChars="200"/>
        <w:rPr>
          <w:rFonts w:hAnsi="Times New Roman"/>
          <w:color w:val="000000" w:themeColor="text1"/>
          <w:kern w:val="2"/>
          <w:sz w:val="24"/>
          <w:szCs w:val="28"/>
          <w:highlight w:val="none"/>
          <w14:textFill>
            <w14:solidFill>
              <w14:schemeClr w14:val="tx1"/>
            </w14:solidFill>
          </w14:textFill>
        </w:rPr>
      </w:pPr>
      <w:r>
        <w:rPr>
          <w:rFonts w:hint="eastAsia" w:hAnsi="Times New Roman"/>
          <w:color w:val="000000" w:themeColor="text1"/>
          <w:kern w:val="2"/>
          <w:sz w:val="24"/>
          <w:szCs w:val="28"/>
          <w:highlight w:val="none"/>
          <w14:textFill>
            <w14:solidFill>
              <w14:schemeClr w14:val="tx1"/>
            </w14:solidFill>
          </w14:textFill>
        </w:rPr>
        <w:t>（3）赔偿损失。因</w:t>
      </w:r>
      <w:r>
        <w:rPr>
          <w:rFonts w:hint="eastAsia" w:hAnsi="Times New Roman"/>
          <w:color w:val="000000" w:themeColor="text1"/>
          <w:sz w:val="24"/>
          <w:szCs w:val="28"/>
          <w:highlight w:val="none"/>
          <w14:textFill>
            <w14:solidFill>
              <w14:schemeClr w14:val="tx1"/>
            </w14:solidFill>
          </w14:textFill>
        </w:rPr>
        <w:t>承包人</w:t>
      </w:r>
      <w:r>
        <w:rPr>
          <w:rFonts w:hint="eastAsia" w:hAnsi="Times New Roman"/>
          <w:color w:val="000000" w:themeColor="text1"/>
          <w:kern w:val="2"/>
          <w:sz w:val="24"/>
          <w:szCs w:val="28"/>
          <w:highlight w:val="none"/>
          <w14:textFill>
            <w14:solidFill>
              <w14:schemeClr w14:val="tx1"/>
            </w14:solidFill>
          </w14:textFill>
        </w:rPr>
        <w:t>原因造成发包人经济损失的，</w:t>
      </w:r>
      <w:r>
        <w:rPr>
          <w:rFonts w:hint="eastAsia" w:hAnsi="Times New Roman"/>
          <w:color w:val="000000" w:themeColor="text1"/>
          <w:sz w:val="24"/>
          <w:szCs w:val="28"/>
          <w:highlight w:val="none"/>
          <w14:textFill>
            <w14:solidFill>
              <w14:schemeClr w14:val="tx1"/>
            </w14:solidFill>
          </w14:textFill>
        </w:rPr>
        <w:t>承包人</w:t>
      </w:r>
      <w:r>
        <w:rPr>
          <w:rFonts w:hint="eastAsia" w:hAnsi="Times New Roman"/>
          <w:color w:val="000000" w:themeColor="text1"/>
          <w:kern w:val="2"/>
          <w:sz w:val="24"/>
          <w:szCs w:val="28"/>
          <w:highlight w:val="none"/>
          <w14:textFill>
            <w14:solidFill>
              <w14:schemeClr w14:val="tx1"/>
            </w14:solidFill>
          </w14:textFill>
        </w:rPr>
        <w:t>应赔偿发包人的经济损失，该损失包括但不限于因追责</w:t>
      </w:r>
      <w:r>
        <w:rPr>
          <w:rFonts w:hint="eastAsia" w:hAnsi="Times New Roman"/>
          <w:color w:val="000000" w:themeColor="text1"/>
          <w:sz w:val="24"/>
          <w:szCs w:val="28"/>
          <w:highlight w:val="none"/>
          <w14:textFill>
            <w14:solidFill>
              <w14:schemeClr w14:val="tx1"/>
            </w14:solidFill>
          </w14:textFill>
        </w:rPr>
        <w:t>承包人</w:t>
      </w:r>
      <w:r>
        <w:rPr>
          <w:rFonts w:hint="eastAsia" w:hAnsi="Times New Roman"/>
          <w:color w:val="000000" w:themeColor="text1"/>
          <w:kern w:val="2"/>
          <w:sz w:val="24"/>
          <w:szCs w:val="28"/>
          <w:highlight w:val="none"/>
          <w14:textFill>
            <w14:solidFill>
              <w14:schemeClr w14:val="tx1"/>
            </w14:solidFill>
          </w14:textFill>
        </w:rPr>
        <w:t>违约责任而支出的诉讼费、保全费、律师费、公证费、调查费等。</w:t>
      </w:r>
    </w:p>
    <w:p>
      <w:pPr>
        <w:tabs>
          <w:tab w:val="left" w:pos="1125"/>
        </w:tabs>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（4）部分解除合同。当承包人违反本合同的约定达到部分解除合同的条件时，发包人有权向承包人发出书面部分解除合同的通知，该通知在送达承包人时即生效。</w:t>
      </w:r>
      <w:r>
        <w:rPr>
          <w:rFonts w:hint="eastAsia" w:ascii="宋体" w:hAnsi="宋体"/>
          <w:color w:val="000000" w:themeColor="text1"/>
          <w:kern w:val="0"/>
          <w:sz w:val="24"/>
          <w:szCs w:val="28"/>
          <w:highlight w:val="none"/>
          <w14:textFill>
            <w14:solidFill>
              <w14:schemeClr w14:val="tx1"/>
            </w14:solidFill>
          </w14:textFill>
        </w:rPr>
        <w:t>承包人必须在2天内停止该部分工程的施工，并将机械、材料、物件、人员从该部分工程的施工现场撤离。停工后3天内，发包人、工程师将会同承包人对已完成工程量进行清点，并只承认和接受已发生并投入且符合质量验收标准的部分，对已订货未到现场或在现场未使用的材料、设备等均不予承认，由承包人自行处理；对于承包人已施工但经检验不合格的工程，承包人必须在发包人限定的期限内拆除，并清运出工地，由此带来的承包人损失发包人不负任何责任。</w:t>
      </w:r>
    </w:p>
    <w:p>
      <w:pPr>
        <w:tabs>
          <w:tab w:val="left" w:pos="1125"/>
        </w:tabs>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清点完成后3日内，不被发包人承认接受的被解除部分的工程成果，承包人均应将发包人已支付的该被解除部分的工程对应的费用全额退还给发包人，发包人亦有权从其于本合同项下尚未支付的应付款项中直接抵扣该费用。承包人必须作好与发包人重新确定承包单位的配合工作，在7天内作好已施工部分技术资料和实物的交底、移交工作。承包人因没有履行上述义务而给发包人带来工期延误和其它损失，承包人应承担发包人实际损失赔偿责任，发包人有权解除全部合同。</w:t>
      </w:r>
    </w:p>
    <w:p>
      <w:pPr>
        <w:tabs>
          <w:tab w:val="left" w:pos="1125"/>
        </w:tabs>
        <w:adjustRightInd w:val="0"/>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5）解除合同。当承包人违反本合同的约定符合解除合同的条件时，发包人有权向承包人发出书面解除合同的通知，该通知在送达承包人时即生效。当承包人违反本合同的约定符合解除合同的条件时，发包人有权向承包人发出书面解除合同的通知，该通知在送达承包人时即生效，承包人应在解除合同之日起七日内向发包人支付本合同金额20%的违约金并赔偿发包人的实际损失。</w:t>
      </w:r>
    </w:p>
    <w:p>
      <w:pPr>
        <w:pStyle w:val="40"/>
        <w:adjustRightInd w:val="0"/>
        <w:snapToGrid w:val="0"/>
        <w:spacing w:before="0" w:beforeAutospacing="0" w:after="0" w:afterAutospacing="0" w:line="360" w:lineRule="auto"/>
        <w:ind w:firstLine="480" w:firstLineChars="200"/>
        <w:jc w:val="both"/>
        <w:rPr>
          <w:rFonts w:hAnsi="Times New Roman"/>
          <w:color w:val="000000" w:themeColor="text1"/>
          <w:kern w:val="2"/>
          <w:sz w:val="24"/>
          <w:szCs w:val="28"/>
          <w:highlight w:val="none"/>
          <w14:textFill>
            <w14:solidFill>
              <w14:schemeClr w14:val="tx1"/>
            </w14:solidFill>
          </w14:textFill>
        </w:rPr>
      </w:pPr>
      <w:r>
        <w:rPr>
          <w:rFonts w:hint="eastAsia" w:hAnsi="Times New Roman"/>
          <w:color w:val="000000" w:themeColor="text1"/>
          <w:kern w:val="2"/>
          <w:sz w:val="24"/>
          <w:szCs w:val="28"/>
          <w:highlight w:val="none"/>
          <w14:textFill>
            <w14:solidFill>
              <w14:schemeClr w14:val="tx1"/>
            </w14:solidFill>
          </w14:textFill>
        </w:rPr>
        <w:t>（6）</w:t>
      </w:r>
      <w:r>
        <w:rPr>
          <w:rFonts w:hint="eastAsia"/>
          <w:color w:val="000000" w:themeColor="text1"/>
          <w:sz w:val="24"/>
          <w:szCs w:val="28"/>
          <w:highlight w:val="none"/>
          <w14:textFill>
            <w14:solidFill>
              <w14:schemeClr w14:val="tx1"/>
            </w14:solidFill>
          </w14:textFill>
        </w:rPr>
        <w:t>赔偿损失。</w:t>
      </w:r>
      <w:r>
        <w:rPr>
          <w:rFonts w:hint="eastAsia" w:hAnsi="Times New Roman"/>
          <w:color w:val="000000" w:themeColor="text1"/>
          <w:kern w:val="2"/>
          <w:sz w:val="24"/>
          <w:szCs w:val="28"/>
          <w:highlight w:val="none"/>
          <w14:textFill>
            <w14:solidFill>
              <w14:schemeClr w14:val="tx1"/>
            </w14:solidFill>
          </w14:textFill>
        </w:rPr>
        <w:t>承包人按本合同约定应缴纳的违约金和赔偿金应分别计算。如违约金不足以弥补给发包人造成的损失的，另承包人应赔偿发包人实际的损失。</w:t>
      </w:r>
    </w:p>
    <w:p>
      <w:pPr>
        <w:snapToGrid w:val="0"/>
        <w:spacing w:line="360" w:lineRule="auto"/>
        <w:ind w:right="-92" w:rightChars="-44" w:firstLine="420" w:firstLineChars="175"/>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15.2.3.2在本合同有效期内，承包人承担一般违约责任累计达3次的，另行追加严重违约责任1次；承包人承担严重违约责任累计达到10次的，发包人有权单方通知解除合同。</w:t>
      </w:r>
      <w:r>
        <w:rPr>
          <w:rFonts w:hint="eastAsia" w:ascii="宋体" w:hAnsi="宋体"/>
          <w:color w:val="000000" w:themeColor="text1"/>
          <w:kern w:val="0"/>
          <w:sz w:val="24"/>
          <w:szCs w:val="28"/>
          <w:highlight w:val="none"/>
          <w14:textFill>
            <w14:solidFill>
              <w14:schemeClr w14:val="tx1"/>
            </w14:solidFill>
          </w14:textFill>
        </w:rPr>
        <w:t>同时发包人保留向相关的行政主管部门通报承包人违约情况的权利。</w:t>
      </w:r>
    </w:p>
    <w:p>
      <w:pPr>
        <w:pStyle w:val="40"/>
        <w:adjustRightInd w:val="0"/>
        <w:snapToGrid w:val="0"/>
        <w:spacing w:before="0" w:beforeAutospacing="0" w:after="0" w:afterAutospacing="0" w:line="360" w:lineRule="auto"/>
        <w:ind w:firstLine="480" w:firstLineChars="200"/>
        <w:jc w:val="both"/>
        <w:rPr>
          <w:rFonts w:hAnsi="Times New Roman"/>
          <w:color w:val="000000" w:themeColor="text1"/>
          <w:kern w:val="2"/>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15.2.3.3</w:t>
      </w:r>
      <w:r>
        <w:rPr>
          <w:rFonts w:hint="eastAsia" w:hAnsi="Times New Roman"/>
          <w:color w:val="000000" w:themeColor="text1"/>
          <w:kern w:val="2"/>
          <w:sz w:val="24"/>
          <w:szCs w:val="28"/>
          <w:highlight w:val="none"/>
          <w14:textFill>
            <w14:solidFill>
              <w14:schemeClr w14:val="tx1"/>
            </w14:solidFill>
          </w14:textFill>
        </w:rPr>
        <w:t>在承包人参与发包人（业主）所负责的全部工程项目合同中，承包人累计达到2次严重违约的，暂停承包人参与发包人（业主）所负责的工程项目投标资格3个月；累计达到3次严重违约的，暂停投标资格6个月；累计达到5次严重违约的，暂停投标资格12个月；累计达到10次严重违约的，禁止参与发包人（业主）后续项目的投标。</w:t>
      </w:r>
    </w:p>
    <w:p>
      <w:pPr>
        <w:pStyle w:val="40"/>
        <w:adjustRightInd w:val="0"/>
        <w:snapToGrid w:val="0"/>
        <w:spacing w:before="0" w:beforeAutospacing="0" w:after="0" w:afterAutospacing="0" w:line="360" w:lineRule="auto"/>
        <w:ind w:firstLine="480" w:firstLineChars="200"/>
        <w:jc w:val="both"/>
        <w:rPr>
          <w:rFonts w:hAnsi="Times New Roman"/>
          <w:color w:val="000000" w:themeColor="text1"/>
          <w:kern w:val="2"/>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15.2.3.4</w:t>
      </w:r>
      <w:r>
        <w:rPr>
          <w:rFonts w:hint="eastAsia" w:hAnsi="Times New Roman"/>
          <w:color w:val="000000" w:themeColor="text1"/>
          <w:kern w:val="2"/>
          <w:sz w:val="24"/>
          <w:szCs w:val="28"/>
          <w:highlight w:val="none"/>
          <w14:textFill>
            <w14:solidFill>
              <w14:schemeClr w14:val="tx1"/>
            </w14:solidFill>
          </w14:textFill>
        </w:rPr>
        <w:t>承包人违约需向发包人支付违约金、赔偿金时，按在应付款中扣除或提取履约担保的方式执行。必要时，发包人有权书面通知承包人交纳，承包人必须在发包人规定的时间内主动交纳。</w:t>
      </w:r>
    </w:p>
    <w:p>
      <w:pPr>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15.2.3.5</w:t>
      </w:r>
      <w:r>
        <w:rPr>
          <w:rFonts w:hint="eastAsia" w:ascii="宋体" w:hAnsi="宋体"/>
          <w:color w:val="000000" w:themeColor="text1"/>
          <w:kern w:val="0"/>
          <w:sz w:val="24"/>
          <w:szCs w:val="28"/>
          <w:highlight w:val="none"/>
          <w14:textFill>
            <w14:solidFill>
              <w14:schemeClr w14:val="tx1"/>
            </w14:solidFill>
          </w14:textFill>
        </w:rPr>
        <w:t>不定期综合考评的违约责任</w:t>
      </w:r>
    </w:p>
    <w:p>
      <w:pPr>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承包人现场各项管理工作一般由工程师负责监督。当发包人临时决定对施工现场各项管理工作进行检查时，工程师参与。由发包人临时检查发现的问题，违约标准按本合同约定的违约标准提高一个档次执行。</w:t>
      </w:r>
    </w:p>
    <w:p>
      <w:pPr>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15.2.3.6</w:t>
      </w:r>
      <w:r>
        <w:rPr>
          <w:rFonts w:hint="eastAsia" w:ascii="宋体" w:hAnsi="宋体"/>
          <w:color w:val="000000" w:themeColor="text1"/>
          <w:kern w:val="0"/>
          <w:sz w:val="24"/>
          <w:szCs w:val="28"/>
          <w:highlight w:val="none"/>
          <w14:textFill>
            <w14:solidFill>
              <w14:schemeClr w14:val="tx1"/>
            </w14:solidFill>
          </w14:textFill>
        </w:rPr>
        <w:t>在任何索赔和争议期间，不论索赔是否有据，均不能免除承包人按合同约定履行义务，承包人不得以此为借口拒不履行或拖延合同的履行，否则，发包人有权终止合同，并要求承包人赔偿由此导致发包人的实际损失。</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.7</w:t>
      </w:r>
      <w:r>
        <w:rPr>
          <w:rFonts w:hint="eastAsia" w:ascii="宋体"/>
          <w:color w:val="000000" w:themeColor="text1"/>
          <w:sz w:val="24"/>
          <w:szCs w:val="28"/>
          <w:highlight w:val="none"/>
          <w14:textFill>
            <w14:solidFill>
              <w14:schemeClr w14:val="tx1"/>
            </w14:solidFill>
          </w14:textFill>
        </w:rPr>
        <w:t>工期延误方面的违约责任</w:t>
      </w:r>
    </w:p>
    <w:p>
      <w:pPr>
        <w:snapToGrid w:val="0"/>
        <w:spacing w:line="360" w:lineRule="auto"/>
        <w:ind w:firstLine="240" w:firstLineChars="1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（1）承包人未经工程师及发包人同意延期开工的，每迟延开工1天，应给发包人支付对应工程合同价款的</w:t>
      </w:r>
      <w:r>
        <w:rPr>
          <w:rFonts w:hint="eastAsia" w:ascii="宋体" w:hAnsi="宋体"/>
          <w:color w:val="000000" w:themeColor="text1"/>
          <w:sz w:val="24"/>
          <w:szCs w:val="28"/>
          <w:highlight w:val="none"/>
          <w:u w:val="single"/>
          <w14:textFill>
            <w14:solidFill>
              <w14:schemeClr w14:val="tx1"/>
            </w14:solidFill>
          </w14:textFill>
        </w:rPr>
        <w:t xml:space="preserve"> 1 </w:t>
      </w:r>
      <w:r>
        <w:rPr>
          <w:rFonts w:hint="eastAsia" w:ascii="宋体" w:hAnsi="宋体"/>
          <w:color w:val="000000" w:themeColor="text1"/>
          <w:sz w:val="24"/>
          <w:szCs w:val="28"/>
          <w:highlight w:val="none"/>
          <w14:textFill>
            <w14:solidFill>
              <w14:schemeClr w14:val="tx1"/>
            </w14:solidFill>
          </w14:textFill>
        </w:rPr>
        <w:t>‰的违约金，且不低于每天</w:t>
      </w:r>
      <w:r>
        <w:rPr>
          <w:rFonts w:hint="eastAsia" w:ascii="宋体" w:hAnsi="宋体"/>
          <w:color w:val="000000" w:themeColor="text1"/>
          <w:sz w:val="24"/>
          <w:szCs w:val="28"/>
          <w:highlight w:val="none"/>
          <w:u w:val="single"/>
          <w14:textFill>
            <w14:solidFill>
              <w14:schemeClr w14:val="tx1"/>
            </w14:solidFill>
          </w14:textFill>
        </w:rPr>
        <w:t>0.2</w:t>
      </w:r>
      <w:r>
        <w:rPr>
          <w:rFonts w:hint="eastAsia" w:ascii="宋体" w:hAnsi="宋体"/>
          <w:color w:val="000000" w:themeColor="text1"/>
          <w:sz w:val="24"/>
          <w:szCs w:val="28"/>
          <w:highlight w:val="none"/>
          <w14:textFill>
            <w14:solidFill>
              <w14:schemeClr w14:val="tx1"/>
            </w14:solidFill>
          </w14:textFill>
        </w:rPr>
        <w:t>万元；迟延开工超过10天的，发包人有权解除合同，将本工程另行发包，并不免除承包人的违约赔偿责任。</w:t>
      </w:r>
    </w:p>
    <w:p>
      <w:pPr>
        <w:snapToGrid w:val="0"/>
        <w:spacing w:line="360" w:lineRule="auto"/>
        <w:ind w:firstLine="240" w:firstLineChars="1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2）承包人违反合同条件第4条的约定，延期交付施工组织设计，延期3天以内的（含3天），发包人给予书面警告；延期4～7天的，承包人应承担一次一般违约责任；延期8～10天的，承包人应承担一次严重违约责任；延期11天以上的（含11天），发包人有权单方面解除合同。并且要求承包人退还所有已收取款项，因此造成损失的，承包人还需另行赔偿。</w:t>
      </w:r>
    </w:p>
    <w:p>
      <w:pPr>
        <w:snapToGrid w:val="0"/>
        <w:spacing w:line="360" w:lineRule="auto"/>
        <w:ind w:firstLine="240" w:firstLineChars="1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（3）承包人原因造成关键节点工期延误，每延误一天，承担严重违约责任一次，累计延误达到</w:t>
      </w:r>
      <w:r>
        <w:rPr>
          <w:rFonts w:hint="eastAsia" w:ascii="宋体" w:hAnsi="宋体"/>
          <w:color w:val="000000" w:themeColor="text1"/>
          <w:sz w:val="24"/>
          <w:szCs w:val="28"/>
          <w:highlight w:val="none"/>
          <w:u w:val="single"/>
          <w14:textFill>
            <w14:solidFill>
              <w14:schemeClr w14:val="tx1"/>
            </w14:solidFill>
          </w14:textFill>
        </w:rPr>
        <w:t xml:space="preserve"> 10 </w:t>
      </w:r>
      <w:r>
        <w:rPr>
          <w:rFonts w:hint="eastAsia" w:ascii="宋体" w:hAnsi="宋体"/>
          <w:color w:val="000000" w:themeColor="text1"/>
          <w:sz w:val="24"/>
          <w:szCs w:val="28"/>
          <w:highlight w:val="none"/>
          <w14:textFill>
            <w14:solidFill>
              <w14:schemeClr w14:val="tx1"/>
            </w14:solidFill>
          </w14:textFill>
        </w:rPr>
        <w:t>天的，在此之后每延误一天，承担双倍严重违约责任一次，同时发包人有权向相关行政主管部门通报；累计延误达到</w:t>
      </w:r>
      <w:r>
        <w:rPr>
          <w:rFonts w:hint="eastAsia" w:ascii="宋体" w:hAnsi="宋体"/>
          <w:color w:val="000000" w:themeColor="text1"/>
          <w:sz w:val="24"/>
          <w:szCs w:val="28"/>
          <w:highlight w:val="none"/>
          <w:u w:val="single"/>
          <w14:textFill>
            <w14:solidFill>
              <w14:schemeClr w14:val="tx1"/>
            </w14:solidFill>
          </w14:textFill>
        </w:rPr>
        <w:t xml:space="preserve"> 30 </w:t>
      </w:r>
      <w:r>
        <w:rPr>
          <w:rFonts w:hint="eastAsia" w:ascii="宋体" w:hAnsi="宋体"/>
          <w:color w:val="000000" w:themeColor="text1"/>
          <w:sz w:val="24"/>
          <w:szCs w:val="28"/>
          <w:highlight w:val="none"/>
          <w14:textFill>
            <w14:solidFill>
              <w14:schemeClr w14:val="tx1"/>
            </w14:solidFill>
          </w14:textFill>
        </w:rPr>
        <w:t>天的，在此之后每延误一天，承担三倍严重违约责任一次，且发包人有权停止支付任何款项。发现工期延误承包人应在2天内制定出具体可行的自行赶工措施，报监理、发包人批准，如认为承包人赶工计划已不可行，则发包人有权将该部分工程直接分配给第三方承接，工程款在承包人的进度款中扣减，承包人并应承担严重违约责任两次。</w:t>
      </w:r>
    </w:p>
    <w:p>
      <w:pPr>
        <w:snapToGrid w:val="0"/>
        <w:spacing w:line="360" w:lineRule="auto"/>
        <w:ind w:firstLine="240" w:firstLineChars="1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（4）承包人违反合同条款约定造成本工程不能按照约定的竣工日期竣工的，每逾期1天，</w:t>
      </w:r>
      <w:r>
        <w:rPr>
          <w:rFonts w:hint="eastAsia" w:ascii="宋体" w:hAnsi="宋体"/>
          <w:color w:val="000000" w:themeColor="text1"/>
          <w:sz w:val="24"/>
          <w:szCs w:val="28"/>
          <w:highlight w:val="none"/>
          <w14:textFill>
            <w14:solidFill>
              <w14:schemeClr w14:val="tx1"/>
            </w14:solidFill>
          </w14:textFill>
        </w:rPr>
        <w:t>承包人向发包人支付误期违约金人民币</w:t>
      </w:r>
      <w:r>
        <w:rPr>
          <w:rFonts w:hint="eastAsia" w:ascii="宋体" w:hAnsi="宋体"/>
          <w:color w:val="000000" w:themeColor="text1"/>
          <w:sz w:val="24"/>
          <w:szCs w:val="28"/>
          <w:highlight w:val="none"/>
          <w:u w:val="single"/>
          <w14:textFill>
            <w14:solidFill>
              <w14:schemeClr w14:val="tx1"/>
            </w14:solidFill>
          </w14:textFill>
        </w:rPr>
        <w:t>1万</w:t>
      </w:r>
      <w:r>
        <w:rPr>
          <w:rFonts w:hint="eastAsia" w:ascii="宋体" w:hAnsi="宋体"/>
          <w:color w:val="000000" w:themeColor="text1"/>
          <w:sz w:val="24"/>
          <w:szCs w:val="28"/>
          <w:highlight w:val="none"/>
          <w14:textFill>
            <w14:solidFill>
              <w14:schemeClr w14:val="tx1"/>
            </w14:solidFill>
          </w14:textFill>
        </w:rPr>
        <w:t>元</w:t>
      </w:r>
      <w:r>
        <w:rPr>
          <w:rFonts w:hint="eastAsia" w:ascii="宋体" w:hAnsi="宋体"/>
          <w:color w:val="000000" w:themeColor="text1"/>
          <w:kern w:val="0"/>
          <w:sz w:val="24"/>
          <w:szCs w:val="28"/>
          <w:highlight w:val="none"/>
          <w14:textFill>
            <w14:solidFill>
              <w14:schemeClr w14:val="tx1"/>
            </w14:solidFill>
          </w14:textFill>
        </w:rPr>
        <w:t>，同时由发包人按照对本工程最有利的原则，按如下约定选择处理：</w:t>
      </w:r>
    </w:p>
    <w:p>
      <w:pPr>
        <w:adjustRightInd w:val="0"/>
        <w:snapToGrid w:val="0"/>
        <w:spacing w:line="360" w:lineRule="auto"/>
        <w:ind w:right="11"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1）承包人按上述约定向发包人支付违约金并在发包人限定的时间内竣工；如承包人仍不能在发包人限定的时间内竣工，承包人除按上述约定支付违约金外（直至本工程全部竣工为止），还在工程结算时追加违约金，追加的违约金金额按对应工程结算总价款的2%计取，同时承包人还应据实赔偿发包人的实际损失。</w:t>
      </w:r>
    </w:p>
    <w:p>
      <w:pPr>
        <w:adjustRightInd w:val="0"/>
        <w:snapToGrid w:val="0"/>
        <w:spacing w:line="360" w:lineRule="auto"/>
        <w:ind w:right="11"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2）由发包人将未完工程量从本合同中分割，交由第三方完成，由此发生的费用全部从本合同价款中支付，同时由承包人向发包人支付未完工程量价款20%的违约金并赔偿发包人的实际损失。</w:t>
      </w:r>
    </w:p>
    <w:p>
      <w:pPr>
        <w:adjustRightInd w:val="0"/>
        <w:snapToGrid w:val="0"/>
        <w:spacing w:line="360" w:lineRule="auto"/>
        <w:ind w:right="11"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8</w:t>
      </w:r>
      <w:r>
        <w:rPr>
          <w:rFonts w:hint="eastAsia" w:ascii="宋体" w:hAnsi="宋体"/>
          <w:color w:val="000000" w:themeColor="text1"/>
          <w:kern w:val="0"/>
          <w:sz w:val="24"/>
          <w:szCs w:val="28"/>
          <w:highlight w:val="none"/>
          <w14:textFill>
            <w14:solidFill>
              <w14:schemeClr w14:val="tx1"/>
            </w14:solidFill>
          </w14:textFill>
        </w:rPr>
        <w:t>材料（包括绿化苗木）使用违约责任</w:t>
      </w:r>
    </w:p>
    <w:p>
      <w:pPr>
        <w:adjustRightInd w:val="0"/>
        <w:snapToGrid w:val="0"/>
        <w:spacing w:line="360" w:lineRule="auto"/>
        <w:ind w:right="11"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按规范和相关规定要求，承包人提供的材料经抽查不合格的，其检测费用由承包人承担，造成工期延误发包人不予顺延工期；同时对该批次材料须扩大范围、增加双倍数量抽检，若仍不合格，则该批次材料视为不合格。对被认定为不合格的材料批次，承包人必须在发包人通知的限期内全部无条件拆除、更换，并运出施工现场；工期延误、费用增加等一切损失均由承包人承担，同时承包人还应按该批材料价值的</w:t>
      </w:r>
      <w:r>
        <w:rPr>
          <w:rFonts w:hint="eastAsia" w:ascii="宋体" w:hAnsi="宋体"/>
          <w:color w:val="000000" w:themeColor="text1"/>
          <w:kern w:val="0"/>
          <w:sz w:val="24"/>
          <w:szCs w:val="28"/>
          <w:highlight w:val="none"/>
          <w:u w:val="single"/>
          <w14:textFill>
            <w14:solidFill>
              <w14:schemeClr w14:val="tx1"/>
            </w14:solidFill>
          </w14:textFill>
        </w:rPr>
        <w:t>5%</w:t>
      </w:r>
      <w:r>
        <w:rPr>
          <w:rFonts w:hint="eastAsia" w:ascii="宋体" w:hAnsi="宋体"/>
          <w:color w:val="000000" w:themeColor="text1"/>
          <w:kern w:val="0"/>
          <w:sz w:val="24"/>
          <w:szCs w:val="28"/>
          <w:highlight w:val="none"/>
          <w14:textFill>
            <w14:solidFill>
              <w14:schemeClr w14:val="tx1"/>
            </w14:solidFill>
          </w14:textFill>
        </w:rPr>
        <w:t>，向发包人支付</w:t>
      </w:r>
      <w:r>
        <w:rPr>
          <w:rFonts w:hint="eastAsia" w:ascii="宋体"/>
          <w:color w:val="000000" w:themeColor="text1"/>
          <w:sz w:val="24"/>
          <w:szCs w:val="28"/>
          <w:highlight w:val="none"/>
          <w14:textFill>
            <w14:solidFill>
              <w14:schemeClr w14:val="tx1"/>
            </w14:solidFill>
          </w14:textFill>
        </w:rPr>
        <w:t>违约金</w:t>
      </w:r>
      <w:r>
        <w:rPr>
          <w:rFonts w:hint="eastAsia" w:ascii="宋体" w:hAnsi="宋体"/>
          <w:color w:val="000000" w:themeColor="text1"/>
          <w:kern w:val="0"/>
          <w:sz w:val="24"/>
          <w:szCs w:val="28"/>
          <w:highlight w:val="none"/>
          <w14:textFill>
            <w14:solidFill>
              <w14:schemeClr w14:val="tx1"/>
            </w14:solidFill>
          </w14:textFill>
        </w:rPr>
        <w:t>，但最少不低于</w:t>
      </w:r>
      <w:r>
        <w:rPr>
          <w:rFonts w:hint="eastAsia" w:ascii="宋体" w:hAnsi="宋体"/>
          <w:color w:val="000000" w:themeColor="text1"/>
          <w:kern w:val="0"/>
          <w:sz w:val="24"/>
          <w:szCs w:val="28"/>
          <w:highlight w:val="none"/>
          <w:u w:val="single"/>
          <w14:textFill>
            <w14:solidFill>
              <w14:schemeClr w14:val="tx1"/>
            </w14:solidFill>
          </w14:textFill>
        </w:rPr>
        <w:t>1万元</w:t>
      </w:r>
      <w:r>
        <w:rPr>
          <w:rFonts w:hint="eastAsia" w:ascii="宋体" w:hAnsi="宋体"/>
          <w:color w:val="000000" w:themeColor="text1"/>
          <w:kern w:val="0"/>
          <w:sz w:val="24"/>
          <w:szCs w:val="28"/>
          <w:highlight w:val="none"/>
          <w14:textFill>
            <w14:solidFill>
              <w14:schemeClr w14:val="tx1"/>
            </w14:solidFill>
          </w14:textFill>
        </w:rPr>
        <w:t>。</w:t>
      </w:r>
    </w:p>
    <w:p>
      <w:pPr>
        <w:adjustRightInd w:val="0"/>
        <w:snapToGrid w:val="0"/>
        <w:spacing w:line="360" w:lineRule="auto"/>
        <w:ind w:right="11"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9</w:t>
      </w:r>
      <w:r>
        <w:rPr>
          <w:rFonts w:hint="eastAsia" w:ascii="宋体"/>
          <w:color w:val="000000" w:themeColor="text1"/>
          <w:sz w:val="24"/>
          <w:szCs w:val="28"/>
          <w:highlight w:val="none"/>
          <w14:textFill>
            <w14:solidFill>
              <w14:schemeClr w14:val="tx1"/>
            </w14:solidFill>
          </w14:textFill>
        </w:rPr>
        <w:t>工程实体检测（含隐蔽验收检测、桩基础检测等所有实体检测内容）</w:t>
      </w:r>
      <w:r>
        <w:rPr>
          <w:rFonts w:hint="eastAsia" w:ascii="宋体" w:hAnsi="宋体"/>
          <w:color w:val="000000" w:themeColor="text1"/>
          <w:kern w:val="0"/>
          <w:sz w:val="24"/>
          <w:szCs w:val="28"/>
          <w:highlight w:val="none"/>
          <w14:textFill>
            <w14:solidFill>
              <w14:schemeClr w14:val="tx1"/>
            </w14:solidFill>
          </w14:textFill>
        </w:rPr>
        <w:t>违约责任</w:t>
      </w:r>
    </w:p>
    <w:p>
      <w:pPr>
        <w:snapToGrid w:val="0"/>
        <w:spacing w:line="360" w:lineRule="auto"/>
        <w:ind w:right="11" w:firstLine="480" w:firstLineChars="200"/>
        <w:rPr>
          <w:rFonts w:ascii="宋体"/>
          <w:color w:val="000000" w:themeColor="text1"/>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按规范和相关规定要求，发包人委托的第三方检测单位或质量监督抽检单位在本工程施工过程或验收过程中，实体检测报告反映工程质量不合格的，承包人应采取相应措施马上整改。检测单位按复检规定重新组织检测工作，此两次检测费用（包括但不限于第一次检测、复检的所有检测人员和技术、检测设备进退场和专家评审费用）和整改费用由承包人承担，造成工期延误发包人不予顺延工期。如复检仍不合格，将认定此实体工程质量检测不合格，并追究相关人员责任，上报建设行政主管部门和质量监督部门处理；由此造成的工期延误、费用增加等一切损失均由承包人承担。</w:t>
      </w:r>
    </w:p>
    <w:p>
      <w:pPr>
        <w:snapToGrid w:val="0"/>
        <w:spacing w:line="360" w:lineRule="auto"/>
        <w:ind w:right="11"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10</w:t>
      </w:r>
      <w:r>
        <w:rPr>
          <w:rFonts w:hint="eastAsia" w:ascii="宋体" w:hAnsi="宋体"/>
          <w:color w:val="000000" w:themeColor="text1"/>
          <w:sz w:val="24"/>
          <w:szCs w:val="28"/>
          <w:highlight w:val="none"/>
          <w14:textFill>
            <w14:solidFill>
              <w14:schemeClr w14:val="tx1"/>
            </w14:solidFill>
          </w14:textFill>
        </w:rPr>
        <w:t>施工质量违约责任</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对每次施工质量的抽查，如发现存在质量不合格或严重违反操作规程的现象，发包人有权要求承包人停工、返工；返工后经检查合格才准进入下一工序，工期不予顺延；承包人不及时整改或整改后仍存在质量不合格情况，承包人向发包人承担一般违约责任一次；累计发生3次检查不合格，承包人必须承担严重违约责任1次。如承包人有意隐瞒质量问题或存在严重质量隐患，则一经发现承包人必须向发包人承担严重违约责任2次。</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如经抽查发现存在不按图施工、偷工减料的情况，发包人有权要求承包人停工、返工等，承包人要严格按要求整改并保证后续工程质量。另外，对涉及偷工减料的已完工隐蔽工程部分，全部按抽查的最低标准计算工程量，并以此作为该部分工程的结算工程量。</w:t>
      </w:r>
    </w:p>
    <w:p>
      <w:pPr>
        <w:snapToGrid w:val="0"/>
        <w:spacing w:line="360" w:lineRule="auto"/>
        <w:ind w:right="11"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15.2.3.1</w:t>
      </w:r>
      <w:r>
        <w:rPr>
          <w:rFonts w:ascii="宋体"/>
          <w:color w:val="000000" w:themeColor="text1"/>
          <w:sz w:val="24"/>
          <w:szCs w:val="28"/>
          <w:highlight w:val="none"/>
          <w14:textFill>
            <w14:solidFill>
              <w14:schemeClr w14:val="tx1"/>
            </w14:solidFill>
          </w14:textFill>
        </w:rPr>
        <w:t>1</w:t>
      </w:r>
      <w:r>
        <w:rPr>
          <w:rFonts w:hint="eastAsia" w:ascii="宋体" w:hAnsi="宋体"/>
          <w:color w:val="000000" w:themeColor="text1"/>
          <w:sz w:val="24"/>
          <w:szCs w:val="28"/>
          <w:highlight w:val="none"/>
          <w14:textFill>
            <w14:solidFill>
              <w14:schemeClr w14:val="tx1"/>
            </w14:solidFill>
          </w14:textFill>
        </w:rPr>
        <w:t>分项工程质量控制点检查</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按照质监部门、监理单位及有关规范要求，承包人对各分项工程必须报验检查的各类质量控制点，实行先自检后申请报验的程序，并对自检结果负责。如承包人申请报验后，经检查发现质量不合格，承包人应进行返工整改；承包人不及时整改或整改后仍存在质量不合格情况，每不合格一次，承包人应承担一般违约责任一次，三次以上检查不合格，从第三次开始，承包人应承担严重违约责任一次。对不合格的分项工程，承包人必须全部返工，返工后经检查合格才准进入下一分项工程，工期不予顺延。</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15.2.3.1</w:t>
      </w:r>
      <w:r>
        <w:rPr>
          <w:rFonts w:ascii="宋体"/>
          <w:color w:val="000000" w:themeColor="text1"/>
          <w:sz w:val="24"/>
          <w:szCs w:val="28"/>
          <w:highlight w:val="none"/>
          <w14:textFill>
            <w14:solidFill>
              <w14:schemeClr w14:val="tx1"/>
            </w14:solidFill>
          </w14:textFill>
        </w:rPr>
        <w:t>2</w:t>
      </w:r>
      <w:r>
        <w:rPr>
          <w:rFonts w:hint="eastAsia" w:ascii="宋体" w:hAnsi="宋体"/>
          <w:color w:val="000000" w:themeColor="text1"/>
          <w:sz w:val="24"/>
          <w:szCs w:val="28"/>
          <w:highlight w:val="none"/>
          <w14:textFill>
            <w14:solidFill>
              <w14:schemeClr w14:val="tx1"/>
            </w14:solidFill>
          </w14:textFill>
        </w:rPr>
        <w:t>工程竣工验收达不到合格质量标准的，承包人应限期返工或修补缺陷达到合同约定的质量标准外，费用由承包人承担。限期返工或修补缺陷后仍达不到合格质量标准的，承包人向发包人支付本工程合同金额</w:t>
      </w:r>
      <w:r>
        <w:rPr>
          <w:rFonts w:hint="eastAsia" w:ascii="宋体" w:hAnsi="宋体"/>
          <w:color w:val="000000" w:themeColor="text1"/>
          <w:sz w:val="24"/>
          <w:szCs w:val="28"/>
          <w:highlight w:val="none"/>
          <w:u w:val="single"/>
          <w14:textFill>
            <w14:solidFill>
              <w14:schemeClr w14:val="tx1"/>
            </w14:solidFill>
          </w14:textFill>
        </w:rPr>
        <w:t>20</w:t>
      </w:r>
      <w:r>
        <w:rPr>
          <w:rFonts w:hint="eastAsia" w:ascii="宋体" w:hAnsi="宋体"/>
          <w:color w:val="000000" w:themeColor="text1"/>
          <w:sz w:val="24"/>
          <w:szCs w:val="28"/>
          <w:highlight w:val="none"/>
          <w14:textFill>
            <w14:solidFill>
              <w14:schemeClr w14:val="tx1"/>
            </w14:solidFill>
          </w14:textFill>
        </w:rPr>
        <w:t>％的违约金。经承包人返工修补仍不合格，需降低标准使用或者报废的，则发包人有权停止支付余款，并且承包人应赔偿发包人因此遭受的实际损失。</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15.2.3.1</w:t>
      </w:r>
      <w:r>
        <w:rPr>
          <w:rFonts w:ascii="宋体"/>
          <w:color w:val="000000" w:themeColor="text1"/>
          <w:sz w:val="24"/>
          <w:szCs w:val="28"/>
          <w:highlight w:val="none"/>
          <w14:textFill>
            <w14:solidFill>
              <w14:schemeClr w14:val="tx1"/>
            </w14:solidFill>
          </w14:textFill>
        </w:rPr>
        <w:t>3</w:t>
      </w:r>
      <w:r>
        <w:rPr>
          <w:rFonts w:hint="eastAsia" w:ascii="宋体" w:hAnsi="宋体"/>
          <w:color w:val="000000" w:themeColor="text1"/>
          <w:sz w:val="24"/>
          <w:szCs w:val="28"/>
          <w:highlight w:val="none"/>
          <w14:textFill>
            <w14:solidFill>
              <w14:schemeClr w14:val="tx1"/>
            </w14:solidFill>
          </w14:textFill>
        </w:rPr>
        <w:t>在本工程保修期内发现重大质量不合格问题（该重大质量问题应界定为达不到要求的质量标准，属质量保修的问题除外），承包人必须在规定的期限返工并达到合同约定的质量等级，并承担违约责任，按结算工程造价的</w:t>
      </w:r>
      <w:r>
        <w:rPr>
          <w:rFonts w:hint="eastAsia" w:ascii="宋体" w:hAnsi="宋体"/>
          <w:color w:val="000000" w:themeColor="text1"/>
          <w:sz w:val="24"/>
          <w:szCs w:val="28"/>
          <w:highlight w:val="none"/>
          <w:u w:val="single"/>
          <w14:textFill>
            <w14:solidFill>
              <w14:schemeClr w14:val="tx1"/>
            </w14:solidFill>
          </w14:textFill>
        </w:rPr>
        <w:t xml:space="preserve"> 5 </w:t>
      </w:r>
      <w:r>
        <w:rPr>
          <w:rFonts w:hint="eastAsia" w:ascii="宋体" w:hAnsi="宋体"/>
          <w:color w:val="000000" w:themeColor="text1"/>
          <w:sz w:val="24"/>
          <w:szCs w:val="28"/>
          <w:highlight w:val="none"/>
          <w14:textFill>
            <w14:solidFill>
              <w14:schemeClr w14:val="tx1"/>
            </w14:solidFill>
          </w14:textFill>
        </w:rPr>
        <w:t>%计算向发包人支付违约金。经承包人返工修补仍不合格，需降低标准使用或者报废的，则发包人有权停止支付保修金，并且承包人应赔偿发包人因此遭受的实际损失。</w:t>
      </w:r>
    </w:p>
    <w:p>
      <w:pPr>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由于承包人的原因发生工程质量事故的，承包人应全额赔偿发包人的损失并承担相关法律责任。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15.2.3.1</w:t>
      </w:r>
      <w:r>
        <w:rPr>
          <w:rFonts w:ascii="宋体"/>
          <w:color w:val="000000" w:themeColor="text1"/>
          <w:sz w:val="24"/>
          <w:szCs w:val="28"/>
          <w:highlight w:val="none"/>
          <w14:textFill>
            <w14:solidFill>
              <w14:schemeClr w14:val="tx1"/>
            </w14:solidFill>
          </w14:textFill>
        </w:rPr>
        <w:t>4</w:t>
      </w:r>
      <w:r>
        <w:rPr>
          <w:rFonts w:hint="eastAsia" w:ascii="宋体" w:hAnsi="宋体"/>
          <w:color w:val="000000" w:themeColor="text1"/>
          <w:sz w:val="24"/>
          <w:szCs w:val="28"/>
          <w:highlight w:val="none"/>
          <w14:textFill>
            <w14:solidFill>
              <w14:schemeClr w14:val="tx1"/>
            </w14:solidFill>
          </w14:textFill>
        </w:rPr>
        <w:t>安全防护和文明施工、环境保护方面的违约责任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（1）在政府行政主管部门组织的安全生产检查中，</w:t>
      </w:r>
      <w:r>
        <w:rPr>
          <w:rFonts w:hint="eastAsia" w:ascii="宋体" w:hAnsi="宋体"/>
          <w:color w:val="000000" w:themeColor="text1"/>
          <w:kern w:val="0"/>
          <w:sz w:val="24"/>
          <w:szCs w:val="28"/>
          <w:highlight w:val="none"/>
          <w14:textFill>
            <w14:solidFill>
              <w14:schemeClr w14:val="tx1"/>
            </w14:solidFill>
          </w14:textFill>
        </w:rPr>
        <w:t>承包人的施工场地被评为不合格工地或者被通报批评或者被新闻媒体曝光的，承包人必须承担一次严重违约责任，并立即采取切实有效措施予以整改；拒不采取切实有效措施整改或整改效果不明显的，发包人有权部分或全部解除合同。</w:t>
      </w:r>
    </w:p>
    <w:p>
      <w:pPr>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承包人在工程师进行的安全生产检查中，被发现存在安全隐患的，承包人应限期改正。同样问题发生2次的或累计类似问题发生3次，承包人必须承担一般违约责任1次；此类问题的认定，以工程师书面通知、指令、通报和会议纪要为准。</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承包人因自身原因造成的重大安全事故（含工程质量事故）的，除按国家规定由相关行政主管部门处罚外，承包人需赔偿发包人因此遭受的实际损失，并承担严重违约责任4次，发包人有权部分解除合同或解除合同。若因此造成发包人被相关行政主管部门处罚，处罚金由承包人承担。</w:t>
      </w:r>
    </w:p>
    <w:p>
      <w:pPr>
        <w:adjustRightInd w:val="0"/>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w:t>
      </w:r>
      <w:r>
        <w:rPr>
          <w:rFonts w:hint="eastAsia" w:ascii="宋体" w:hAnsi="宋体"/>
          <w:color w:val="000000" w:themeColor="text1"/>
          <w:kern w:val="0"/>
          <w:sz w:val="24"/>
          <w:szCs w:val="28"/>
          <w:highlight w:val="none"/>
          <w14:textFill>
            <w14:solidFill>
              <w14:schemeClr w14:val="tx1"/>
            </w14:solidFill>
          </w14:textFill>
        </w:rPr>
        <w:t>发包人、工程师按照合同约定，对承包人安全文明施工措施进行对照检查。经检查发现承包人因自身原因未能落实的，承包人必须限期改正；如限期届满未改正的，承包人须承担一次一般违约责任。</w:t>
      </w:r>
    </w:p>
    <w:p>
      <w:pPr>
        <w:snapToGrid w:val="0"/>
        <w:spacing w:line="360" w:lineRule="auto"/>
        <w:ind w:firstLine="480"/>
        <w:rPr>
          <w:rFonts w:ascii="宋体"/>
          <w:color w:val="000000" w:themeColor="text1"/>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5）承包人在施工过程中因其自身原因造成周围环境卫生状况较差，被其它施工单位或周围居民投诉的，承包人必须在当天内整改。若故意拖延或类似问题累计被投诉2次以上且经查实的，承包人必须承担一次严重违约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15.2.3.1</w:t>
      </w:r>
      <w:r>
        <w:rPr>
          <w:rFonts w:ascii="宋体"/>
          <w:color w:val="000000" w:themeColor="text1"/>
          <w:sz w:val="24"/>
          <w:szCs w:val="28"/>
          <w:highlight w:val="none"/>
          <w14:textFill>
            <w14:solidFill>
              <w14:schemeClr w14:val="tx1"/>
            </w14:solidFill>
          </w14:textFill>
        </w:rPr>
        <w:t>5</w:t>
      </w:r>
      <w:r>
        <w:rPr>
          <w:rFonts w:hint="eastAsia" w:ascii="宋体" w:hAnsi="宋体"/>
          <w:color w:val="000000" w:themeColor="text1"/>
          <w:sz w:val="24"/>
          <w:szCs w:val="28"/>
          <w:highlight w:val="none"/>
          <w14:textFill>
            <w14:solidFill>
              <w14:schemeClr w14:val="tx1"/>
            </w14:solidFill>
          </w14:textFill>
        </w:rPr>
        <w:t>投资控制方面的违约责任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（1）承包人提交工程师、发包人的进度款计量及计价数据与发包人核定数据相比，差值超过10％（不含10％）范围，承包人应每次承担一般违约责任1次，但双方有争议的除外。</w:t>
      </w:r>
    </w:p>
    <w:p>
      <w:pPr>
        <w:snapToGrid w:val="0"/>
        <w:spacing w:line="360" w:lineRule="auto"/>
        <w:ind w:firstLine="448"/>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（2）承包人提交工程师、发包人的工程结算款与本工程结算终审部门的审核价相比，核减金额超过送审金额的 5%的部分承包人须承担结算价编制不合理的违约责任，并无条件同意发包人按超出5%部分所对应核减金额的</w:t>
      </w:r>
      <w:r>
        <w:rPr>
          <w:rFonts w:hint="eastAsia" w:ascii="宋体" w:hAnsi="宋体"/>
          <w:color w:val="000000" w:themeColor="text1"/>
          <w:sz w:val="24"/>
          <w:szCs w:val="28"/>
          <w:highlight w:val="none"/>
          <w:u w:val="single"/>
          <w14:textFill>
            <w14:solidFill>
              <w14:schemeClr w14:val="tx1"/>
            </w14:solidFill>
          </w14:textFill>
        </w:rPr>
        <w:t xml:space="preserve"> 4 </w:t>
      </w:r>
      <w:r>
        <w:rPr>
          <w:rFonts w:hint="eastAsia" w:ascii="宋体" w:hAnsi="宋体"/>
          <w:color w:val="000000" w:themeColor="text1"/>
          <w:sz w:val="24"/>
          <w:szCs w:val="28"/>
          <w:highlight w:val="none"/>
          <w14:textFill>
            <w14:solidFill>
              <w14:schemeClr w14:val="tx1"/>
            </w14:solidFill>
          </w14:textFill>
        </w:rPr>
        <w:t>％作为违约金，该违约金直接从承包人工程结算款中予以扣减。</w:t>
      </w:r>
    </w:p>
    <w:p>
      <w:pPr>
        <w:snapToGrid w:val="0"/>
        <w:spacing w:line="360" w:lineRule="auto"/>
        <w:ind w:firstLine="448"/>
        <w:rPr>
          <w:rFonts w:ascii="宋体" w:hAnsi="宋体"/>
          <w:color w:val="000000" w:themeColor="text1"/>
          <w:sz w:val="24"/>
          <w:szCs w:val="28"/>
          <w:highlight w:val="none"/>
          <w:u w:val="singl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（3）承包人应保证提供的竣工图纸与实际相符，如在结算审核过程中一旦发现竣工图与实际不符，经确认因此造成承包人多报造价超过</w:t>
      </w:r>
      <w:r>
        <w:rPr>
          <w:rFonts w:hint="eastAsia" w:ascii="宋体" w:hAnsi="宋体"/>
          <w:color w:val="000000" w:themeColor="text1"/>
          <w:sz w:val="24"/>
          <w:szCs w:val="28"/>
          <w:highlight w:val="none"/>
          <w:u w:val="single"/>
          <w14:textFill>
            <w14:solidFill>
              <w14:schemeClr w14:val="tx1"/>
            </w14:solidFill>
          </w14:textFill>
        </w:rPr>
        <w:t xml:space="preserve"> 5 </w:t>
      </w:r>
      <w:r>
        <w:rPr>
          <w:rFonts w:hint="eastAsia" w:ascii="宋体" w:hAnsi="宋体"/>
          <w:color w:val="000000" w:themeColor="text1"/>
          <w:sz w:val="24"/>
          <w:szCs w:val="28"/>
          <w:highlight w:val="none"/>
          <w14:textFill>
            <w14:solidFill>
              <w14:schemeClr w14:val="tx1"/>
            </w14:solidFill>
          </w14:textFill>
        </w:rPr>
        <w:t>万元（含</w:t>
      </w:r>
      <w:r>
        <w:rPr>
          <w:rFonts w:hint="eastAsia" w:ascii="宋体" w:hAnsi="宋体"/>
          <w:color w:val="000000" w:themeColor="text1"/>
          <w:sz w:val="24"/>
          <w:szCs w:val="28"/>
          <w:highlight w:val="none"/>
          <w:u w:val="single"/>
          <w14:textFill>
            <w14:solidFill>
              <w14:schemeClr w14:val="tx1"/>
            </w14:solidFill>
          </w14:textFill>
        </w:rPr>
        <w:t xml:space="preserve"> 5 </w:t>
      </w:r>
      <w:r>
        <w:rPr>
          <w:rFonts w:hint="eastAsia" w:ascii="宋体" w:hAnsi="宋体"/>
          <w:color w:val="000000" w:themeColor="text1"/>
          <w:sz w:val="24"/>
          <w:szCs w:val="28"/>
          <w:highlight w:val="none"/>
          <w14:textFill>
            <w14:solidFill>
              <w14:schemeClr w14:val="tx1"/>
            </w14:solidFill>
          </w14:textFill>
        </w:rPr>
        <w:t>万元）时，发包人除按实际调整造价外，还应在承包人的工程价款中直接扣减多报的金额。</w:t>
      </w:r>
    </w:p>
    <w:p>
      <w:pPr>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16</w:t>
      </w:r>
      <w:r>
        <w:rPr>
          <w:rFonts w:hint="eastAsia" w:ascii="宋体" w:hAnsi="宋体"/>
          <w:color w:val="000000" w:themeColor="text1"/>
          <w:kern w:val="0"/>
          <w:sz w:val="24"/>
          <w:szCs w:val="28"/>
          <w:highlight w:val="none"/>
          <w14:textFill>
            <w14:solidFill>
              <w14:schemeClr w14:val="tx1"/>
            </w14:solidFill>
          </w14:textFill>
        </w:rPr>
        <w:t>工程转包、分包方面的违约责任</w:t>
      </w:r>
    </w:p>
    <w:p>
      <w:pPr>
        <w:adjustRightInd w:val="0"/>
        <w:snapToGrid w:val="0"/>
        <w:spacing w:line="360" w:lineRule="auto"/>
        <w:ind w:right="11" w:firstLine="460" w:firstLineChars="192"/>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pPr>
        <w:snapToGrid w:val="0"/>
        <w:spacing w:line="360" w:lineRule="auto"/>
        <w:ind w:firstLine="480" w:firstLineChars="200"/>
        <w:rPr>
          <w:rFonts w:ascii="宋体" w:hAnsi="宋体"/>
          <w:color w:val="000000" w:themeColor="text1"/>
          <w:sz w:val="24"/>
          <w:szCs w:val="28"/>
          <w:highlight w:val="none"/>
          <w:u w:val="singl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17</w:t>
      </w:r>
      <w:r>
        <w:rPr>
          <w:rFonts w:hint="eastAsia" w:ascii="宋体" w:hAnsi="宋体"/>
          <w:color w:val="000000" w:themeColor="text1"/>
          <w:sz w:val="24"/>
          <w:szCs w:val="28"/>
          <w:highlight w:val="none"/>
          <w14:textFill>
            <w14:solidFill>
              <w14:schemeClr w14:val="tx1"/>
            </w14:solidFill>
          </w14:textFill>
        </w:rPr>
        <w:t>违反现场管理机构约定的违约责任：</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（1）如承包人未经批准更换项目经理，应向发包人支付</w:t>
      </w:r>
      <w:r>
        <w:rPr>
          <w:rFonts w:hint="eastAsia" w:ascii="宋体" w:hAnsi="宋体"/>
          <w:color w:val="000000" w:themeColor="text1"/>
          <w:sz w:val="24"/>
          <w:szCs w:val="28"/>
          <w:highlight w:val="none"/>
          <w:u w:val="single"/>
          <w14:textFill>
            <w14:solidFill>
              <w14:schemeClr w14:val="tx1"/>
            </w14:solidFill>
          </w14:textFill>
        </w:rPr>
        <w:t>10万元</w:t>
      </w:r>
      <w:r>
        <w:rPr>
          <w:rFonts w:hint="eastAsia" w:ascii="宋体" w:hAnsi="宋体"/>
          <w:color w:val="000000" w:themeColor="text1"/>
          <w:sz w:val="24"/>
          <w:szCs w:val="28"/>
          <w:highlight w:val="none"/>
          <w14:textFill>
            <w14:solidFill>
              <w14:schemeClr w14:val="tx1"/>
            </w14:solidFill>
          </w14:textFill>
        </w:rPr>
        <w:t>的违约金；承包人未经批准更换技术负责人，应向发包人支付合同价款</w:t>
      </w:r>
      <w:r>
        <w:rPr>
          <w:rFonts w:hint="eastAsia" w:ascii="宋体" w:hAnsi="宋体"/>
          <w:color w:val="000000" w:themeColor="text1"/>
          <w:sz w:val="24"/>
          <w:szCs w:val="28"/>
          <w:highlight w:val="none"/>
          <w:u w:val="single"/>
          <w14:textFill>
            <w14:solidFill>
              <w14:schemeClr w14:val="tx1"/>
            </w14:solidFill>
          </w14:textFill>
        </w:rPr>
        <w:t>5万元</w:t>
      </w:r>
      <w:r>
        <w:rPr>
          <w:rFonts w:hint="eastAsia" w:ascii="宋体" w:hAnsi="宋体"/>
          <w:color w:val="000000" w:themeColor="text1"/>
          <w:sz w:val="24"/>
          <w:szCs w:val="28"/>
          <w:highlight w:val="none"/>
          <w14:textFill>
            <w14:solidFill>
              <w14:schemeClr w14:val="tx1"/>
            </w14:solidFill>
          </w14:textFill>
        </w:rPr>
        <w:t>的违约金；承包人未经批准更换安全员，应向发包人支付合同价款</w:t>
      </w:r>
      <w:r>
        <w:rPr>
          <w:rFonts w:hint="eastAsia" w:ascii="宋体" w:hAnsi="宋体"/>
          <w:color w:val="000000" w:themeColor="text1"/>
          <w:sz w:val="24"/>
          <w:szCs w:val="28"/>
          <w:highlight w:val="none"/>
          <w:u w:val="single"/>
          <w14:textFill>
            <w14:solidFill>
              <w14:schemeClr w14:val="tx1"/>
            </w14:solidFill>
          </w14:textFill>
        </w:rPr>
        <w:t>3万元</w:t>
      </w:r>
      <w:r>
        <w:rPr>
          <w:rFonts w:hint="eastAsia" w:ascii="宋体" w:hAnsi="宋体"/>
          <w:color w:val="000000" w:themeColor="text1"/>
          <w:sz w:val="24"/>
          <w:szCs w:val="28"/>
          <w:highlight w:val="none"/>
          <w14:textFill>
            <w14:solidFill>
              <w14:schemeClr w14:val="tx1"/>
            </w14:solidFill>
          </w14:textFill>
        </w:rPr>
        <w:t>的违约金。承包人经发包人批准更换项目经理，应向发包人支付</w:t>
      </w:r>
      <w:r>
        <w:rPr>
          <w:rFonts w:hint="eastAsia" w:ascii="宋体" w:hAnsi="宋体"/>
          <w:color w:val="000000" w:themeColor="text1"/>
          <w:sz w:val="24"/>
          <w:szCs w:val="28"/>
          <w:highlight w:val="none"/>
          <w:u w:val="single"/>
          <w14:textFill>
            <w14:solidFill>
              <w14:schemeClr w14:val="tx1"/>
            </w14:solidFill>
          </w14:textFill>
        </w:rPr>
        <w:t>5万元</w:t>
      </w:r>
      <w:r>
        <w:rPr>
          <w:rFonts w:hint="eastAsia" w:ascii="宋体" w:hAnsi="宋体"/>
          <w:color w:val="000000" w:themeColor="text1"/>
          <w:sz w:val="24"/>
          <w:szCs w:val="28"/>
          <w:highlight w:val="none"/>
          <w14:textFill>
            <w14:solidFill>
              <w14:schemeClr w14:val="tx1"/>
            </w14:solidFill>
          </w14:textFill>
        </w:rPr>
        <w:t>的违约金；承包人经发包人批准更换技术负责人，应向发包人支付</w:t>
      </w:r>
      <w:r>
        <w:rPr>
          <w:rFonts w:hint="eastAsia" w:ascii="宋体" w:hAnsi="宋体"/>
          <w:color w:val="000000" w:themeColor="text1"/>
          <w:sz w:val="24"/>
          <w:szCs w:val="28"/>
          <w:highlight w:val="none"/>
          <w:u w:val="single"/>
          <w14:textFill>
            <w14:solidFill>
              <w14:schemeClr w14:val="tx1"/>
            </w14:solidFill>
          </w14:textFill>
        </w:rPr>
        <w:t>3万元</w:t>
      </w:r>
      <w:r>
        <w:rPr>
          <w:rFonts w:hint="eastAsia" w:ascii="宋体" w:hAnsi="宋体"/>
          <w:color w:val="000000" w:themeColor="text1"/>
          <w:sz w:val="24"/>
          <w:szCs w:val="28"/>
          <w:highlight w:val="none"/>
          <w14:textFill>
            <w14:solidFill>
              <w14:schemeClr w14:val="tx1"/>
            </w14:solidFill>
          </w14:textFill>
        </w:rPr>
        <w:t>的违约金；承包人经发包人批准更换安全员，应向发包人支付</w:t>
      </w:r>
      <w:r>
        <w:rPr>
          <w:rFonts w:hint="eastAsia" w:ascii="宋体" w:hAnsi="宋体"/>
          <w:color w:val="000000" w:themeColor="text1"/>
          <w:sz w:val="24"/>
          <w:szCs w:val="28"/>
          <w:highlight w:val="none"/>
          <w:u w:val="single"/>
          <w14:textFill>
            <w14:solidFill>
              <w14:schemeClr w14:val="tx1"/>
            </w14:solidFill>
          </w14:textFill>
        </w:rPr>
        <w:t>1万元</w:t>
      </w:r>
      <w:r>
        <w:rPr>
          <w:rFonts w:hint="eastAsia" w:ascii="宋体" w:hAnsi="宋体"/>
          <w:color w:val="000000" w:themeColor="text1"/>
          <w:sz w:val="24"/>
          <w:szCs w:val="28"/>
          <w:highlight w:val="none"/>
          <w14:textFill>
            <w14:solidFill>
              <w14:schemeClr w14:val="tx1"/>
            </w14:solidFill>
          </w14:textFill>
        </w:rPr>
        <w:t>的违约金。以上所有更换的人员资质不得低于原人员资质。因不可抗力承包人需更换以上人员，并获得发包人批准，则无需向发包人支付违约金。不可抗力因素由发包人认可。</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如工程已具备开工条件，但承包人投标文件所报的项目经理、技术负责人、安全员仍不到位，承包人需承担严重违约责任1次，总监理工程师可以签发开工令，工期开始正式计算，但现场不允许正式施工。由于上述成员不到位，监理可以向承包人发出停工令，待有关人员到位后才批准复工，停工期间工期不予顺延。由此产生的工期等损失由承包人自负，造成发包人损失的，应赔偿发包人的实际损失。</w:t>
      </w:r>
    </w:p>
    <w:p>
      <w:pPr>
        <w:snapToGrid w:val="0"/>
        <w:spacing w:line="360" w:lineRule="auto"/>
        <w:ind w:firstLine="540" w:firstLineChars="225"/>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施工过程中，项目经理、技术负责人、安全员迟到、早退、擅自离开岗位均视为岗位空缺，监理工程师可以发出书面通知，承包人必须在24小时内纠正，并要求承包人作出书面解释和保证；此种情况每出现1次承包人承担一般违约责任1次；出现2次，承包人必须承担严重违约责任1次，此后，每出现一次，承包人均需承担严重违约责任1次。</w:t>
      </w:r>
    </w:p>
    <w:p>
      <w:pPr>
        <w:snapToGrid w:val="0"/>
        <w:spacing w:line="360" w:lineRule="auto"/>
        <w:ind w:firstLine="540" w:firstLineChars="225"/>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（4）如承包人项目经理及主要负责人有兼职情况，承包人必须立即撤换该人员，同时承包人必须承担一般违约责任1次且新换人员的资质不得低于原资质。</w:t>
      </w:r>
    </w:p>
    <w:p>
      <w:pPr>
        <w:snapToGrid w:val="0"/>
        <w:spacing w:line="360" w:lineRule="auto"/>
        <w:ind w:firstLine="48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（5）如监理、发包人要求承包人撤换不合格人员，承包人拒不执行，则自撤换通知下达7天后，可自行认为该岗位已空缺，承包人需承担严重违约责任1次。如相关人员为项目经理或主要负责人员，则按15.2.3.</w:t>
      </w:r>
      <w:r>
        <w:rPr>
          <w:rFonts w:ascii="宋体" w:hAnsi="宋体"/>
          <w:color w:val="000000" w:themeColor="text1"/>
          <w:sz w:val="24"/>
          <w:szCs w:val="28"/>
          <w:highlight w:val="none"/>
          <w14:textFill>
            <w14:solidFill>
              <w14:schemeClr w14:val="tx1"/>
            </w14:solidFill>
          </w14:textFill>
        </w:rPr>
        <w:t>17</w:t>
      </w:r>
      <w:r>
        <w:rPr>
          <w:rFonts w:hint="eastAsia" w:ascii="宋体" w:hAnsi="宋体"/>
          <w:color w:val="000000" w:themeColor="text1"/>
          <w:sz w:val="24"/>
          <w:szCs w:val="28"/>
          <w:highlight w:val="none"/>
          <w14:textFill>
            <w14:solidFill>
              <w14:schemeClr w14:val="tx1"/>
            </w14:solidFill>
          </w14:textFill>
        </w:rPr>
        <w:t>（4）约定承担违约责任。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18</w:t>
      </w:r>
      <w:r>
        <w:rPr>
          <w:rFonts w:hint="eastAsia" w:ascii="宋体" w:hAnsi="宋体"/>
          <w:color w:val="000000" w:themeColor="text1"/>
          <w:sz w:val="24"/>
          <w:szCs w:val="28"/>
          <w:highlight w:val="none"/>
          <w14:textFill>
            <w14:solidFill>
              <w14:schemeClr w14:val="tx1"/>
            </w14:solidFill>
          </w14:textFill>
        </w:rPr>
        <w:t>违反机械、设备投入约定的违约责任</w:t>
      </w:r>
    </w:p>
    <w:p>
      <w:pPr>
        <w:snapToGrid w:val="0"/>
        <w:spacing w:line="360" w:lineRule="auto"/>
        <w:ind w:firstLine="480" w:firstLineChars="200"/>
        <w:rPr>
          <w:rFonts w:ascii="宋体" w:hAnsi="宋体"/>
          <w:color w:val="000000" w:themeColor="text1"/>
          <w:sz w:val="24"/>
          <w:szCs w:val="28"/>
          <w:highlight w:val="none"/>
          <w:u w:val="singl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在施工期间的各阶段，发包人及监理工程师将对照承包人的投标文件检查其投入主要机械、设备，承包人违反投标承诺，未按投标文件的的承诺投入主要机械设备，则各阶段投入设备每少1台（套），承包人承担一般违约责任1次，由此造成工期延误的，承包人承担工期违约方面的责任，工期不予顺延。</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19</w:t>
      </w:r>
      <w:r>
        <w:rPr>
          <w:rFonts w:hint="eastAsia" w:ascii="宋体" w:hAnsi="宋体"/>
          <w:color w:val="000000" w:themeColor="text1"/>
          <w:sz w:val="24"/>
          <w:szCs w:val="28"/>
          <w:highlight w:val="none"/>
          <w14:textFill>
            <w14:solidFill>
              <w14:schemeClr w14:val="tx1"/>
            </w14:solidFill>
          </w14:textFill>
        </w:rPr>
        <w:t>承包人未按时支付分包工程工程款方面的违约责任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承包人未按时支付分包工程工程款的，一旦发现，即给予书面警告。若分包人投诉有效的，承包人承担一般违约责任1次，造成停工误工的，承包人必须承担严重违约责任1次。如此造成发包人其他损失的，由承包人负责赔偿。</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20</w:t>
      </w:r>
      <w:r>
        <w:rPr>
          <w:rFonts w:hint="eastAsia" w:ascii="宋体" w:hAnsi="宋体"/>
          <w:color w:val="000000" w:themeColor="text1"/>
          <w:sz w:val="24"/>
          <w:szCs w:val="28"/>
          <w:highlight w:val="none"/>
          <w14:textFill>
            <w14:solidFill>
              <w14:schemeClr w14:val="tx1"/>
            </w14:solidFill>
          </w14:textFill>
        </w:rPr>
        <w:t>民工工资支付方面的违约责任</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（1）承包人违反有关规定，被民工投诉属实的，承包人必须在3天内予以发放拖欠的款项。若继续拖延被投诉2次及以上，经查实，承包人必须承担一般违约责任1次。</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2）若仍然不予整改并发放拖欠的款项，使民工采取停工、集聚围阻发包人办公地点甚至政府办公部门等过激行动的，承包人必须承担严重违约责任1次，并立即采取切实有效措施予以整改；拒不采取切实有效的措施整改的，或整改效果不明显的，发包人有权在工程进度款中直接支付给民工，承包人对此应给予积极配合，提供相关工资支付材料，否则由此引起的错误支付的责任由承包人自行承担。</w:t>
      </w:r>
    </w:p>
    <w:p>
      <w:pPr>
        <w:snapToGrid w:val="0"/>
        <w:spacing w:line="360" w:lineRule="auto"/>
        <w:ind w:firstLine="480" w:firstLineChars="200"/>
        <w:rPr>
          <w:rFonts w:ascii="宋体" w:hAnsi="宋体"/>
          <w:color w:val="000000" w:themeColor="text1"/>
          <w:sz w:val="24"/>
          <w:szCs w:val="28"/>
          <w:highlight w:val="none"/>
          <w14:textFill>
            <w14:solidFill>
              <w14:schemeClr w14:val="tx1"/>
            </w14:solidFill>
          </w14:textFill>
        </w:rPr>
      </w:pPr>
      <w:r>
        <w:rPr>
          <w:rFonts w:hint="eastAsia" w:ascii="宋体" w:hAnsi="宋体"/>
          <w:color w:val="000000" w:themeColor="text1"/>
          <w:sz w:val="24"/>
          <w:szCs w:val="28"/>
          <w:highlight w:val="none"/>
          <w14:textFill>
            <w14:solidFill>
              <w14:schemeClr w14:val="tx1"/>
            </w14:solidFill>
          </w14:textFill>
        </w:rPr>
        <w:t>（3）承包人应妥善处理好分包人、本项目的设备、材料供应商等债务人（统称“第三人”）的关系，如果承包人与第三人发生纠纷对工程进度造成影响或经济损失，承包人除应承担全部责任，还应向发包人承担严重违约责任1次。同时，发包人有权在工程进度款中直接向第三人支付相关的款项。</w:t>
      </w:r>
    </w:p>
    <w:p>
      <w:pPr>
        <w:adjustRightInd w:val="0"/>
        <w:snapToGrid w:val="0"/>
        <w:spacing w:line="360" w:lineRule="auto"/>
        <w:ind w:right="11"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21</w:t>
      </w:r>
      <w:r>
        <w:rPr>
          <w:rFonts w:hint="eastAsia" w:ascii="宋体"/>
          <w:color w:val="000000" w:themeColor="text1"/>
          <w:sz w:val="24"/>
          <w:szCs w:val="28"/>
          <w:highlight w:val="none"/>
          <w14:textFill>
            <w14:solidFill>
              <w14:schemeClr w14:val="tx1"/>
            </w14:solidFill>
          </w14:textFill>
        </w:rPr>
        <w:t>本项目如为成联合体，工程施工过程中，出现承包人中</w:t>
      </w:r>
      <w:r>
        <w:rPr>
          <w:rFonts w:hint="eastAsia" w:ascii="宋体" w:hAnsi="宋体"/>
          <w:color w:val="000000" w:themeColor="text1"/>
          <w:kern w:val="0"/>
          <w:sz w:val="24"/>
          <w:szCs w:val="28"/>
          <w:highlight w:val="none"/>
          <w14:textFill>
            <w14:solidFill>
              <w14:schemeClr w14:val="tx1"/>
            </w14:solidFill>
          </w14:textFill>
        </w:rPr>
        <w:t>主办方</w:t>
      </w:r>
      <w:r>
        <w:rPr>
          <w:rFonts w:hint="eastAsia" w:ascii="宋体"/>
          <w:color w:val="000000" w:themeColor="text1"/>
          <w:sz w:val="24"/>
          <w:szCs w:val="28"/>
          <w:highlight w:val="none"/>
          <w14:textFill>
            <w14:solidFill>
              <w14:schemeClr w14:val="tx1"/>
            </w14:solidFill>
          </w14:textFill>
        </w:rPr>
        <w:t>和成员方之间责任不明晰且互相推诿，影响工程进展，给发包人造成损失的，承包人应承担严重违约责任。</w:t>
      </w:r>
    </w:p>
    <w:p>
      <w:pPr>
        <w:snapToGrid w:val="0"/>
        <w:spacing w:line="360" w:lineRule="auto"/>
        <w:ind w:firstLine="480" w:firstLineChars="2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22</w:t>
      </w:r>
      <w:r>
        <w:rPr>
          <w:rFonts w:hint="eastAsia" w:ascii="宋体" w:hAnsi="宋体"/>
          <w:snapToGrid w:val="0"/>
          <w:color w:val="000000" w:themeColor="text1"/>
          <w:kern w:val="0"/>
          <w:sz w:val="24"/>
          <w:szCs w:val="28"/>
          <w:highlight w:val="none"/>
          <w14:textFill>
            <w14:solidFill>
              <w14:schemeClr w14:val="tx1"/>
            </w14:solidFill>
          </w14:textFill>
        </w:rPr>
        <w:t>承包人提供伪造、变造资料、文件的，发包人有权解除合同、不予支付任何费用、追回已支付费用，并保留追究承包人行为导致工期延误等一切法律责任的权利。</w:t>
      </w:r>
    </w:p>
    <w:p>
      <w:pPr>
        <w:adjustRightInd w:val="0"/>
        <w:snapToGrid w:val="0"/>
        <w:spacing w:line="360" w:lineRule="auto"/>
        <w:ind w:right="11"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w:t>
      </w:r>
      <w:r>
        <w:rPr>
          <w:rFonts w:ascii="宋体"/>
          <w:color w:val="000000" w:themeColor="text1"/>
          <w:sz w:val="24"/>
          <w:szCs w:val="28"/>
          <w:highlight w:val="none"/>
          <w14:textFill>
            <w14:solidFill>
              <w14:schemeClr w14:val="tx1"/>
            </w14:solidFill>
          </w14:textFill>
        </w:rPr>
        <w:t>23</w:t>
      </w:r>
      <w:r>
        <w:rPr>
          <w:rFonts w:hint="eastAsia" w:ascii="宋体" w:hAnsi="宋体"/>
          <w:color w:val="000000" w:themeColor="text1"/>
          <w:kern w:val="0"/>
          <w:sz w:val="24"/>
          <w:szCs w:val="28"/>
          <w:highlight w:val="none"/>
          <w14:textFill>
            <w14:solidFill>
              <w14:schemeClr w14:val="tx1"/>
            </w14:solidFill>
          </w14:textFill>
        </w:rPr>
        <w:t>除上述约定之外，承包人不履行或不完全履行合同其它义务的，均构成违约，应当承担一次一般违约责任。情节较轻的，可给予书面警告；情节较重的，应当承担一次严重违约责任。</w:t>
      </w:r>
    </w:p>
    <w:p>
      <w:pPr>
        <w:pStyle w:val="23"/>
        <w:snapToGri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15.2.3.24</w:t>
      </w:r>
      <w:r>
        <w:rPr>
          <w:rFonts w:hint="eastAsia"/>
          <w:color w:val="000000" w:themeColor="text1"/>
          <w:sz w:val="24"/>
          <w:highlight w:val="none"/>
          <w14:textFill>
            <w14:solidFill>
              <w14:schemeClr w14:val="tx1"/>
            </w14:solidFill>
          </w14:textFill>
        </w:rPr>
        <w:t>本合同其他约定与</w:t>
      </w:r>
      <w:r>
        <w:rPr>
          <w:color w:val="000000" w:themeColor="text1"/>
          <w:sz w:val="24"/>
          <w:highlight w:val="none"/>
          <w14:textFill>
            <w14:solidFill>
              <w14:schemeClr w14:val="tx1"/>
            </w14:solidFill>
          </w14:textFill>
        </w:rPr>
        <w:t>15.2.3</w:t>
      </w:r>
      <w:r>
        <w:rPr>
          <w:rFonts w:hint="eastAsia"/>
          <w:color w:val="000000" w:themeColor="text1"/>
          <w:sz w:val="24"/>
          <w:highlight w:val="none"/>
          <w14:textFill>
            <w14:solidFill>
              <w14:schemeClr w14:val="tx1"/>
            </w14:solidFill>
          </w14:textFill>
        </w:rPr>
        <w:t>条款约定不一致的，按严者执行。</w:t>
      </w:r>
    </w:p>
    <w:p>
      <w:pPr>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15.2.3.2</w:t>
      </w:r>
      <w:r>
        <w:rPr>
          <w:rFonts w:ascii="宋体"/>
          <w:color w:val="000000" w:themeColor="text1"/>
          <w:sz w:val="24"/>
          <w:szCs w:val="28"/>
          <w:highlight w:val="none"/>
          <w14:textFill>
            <w14:solidFill>
              <w14:schemeClr w14:val="tx1"/>
            </w14:solidFill>
          </w14:textFill>
        </w:rPr>
        <w:t>5</w:t>
      </w:r>
      <w:r>
        <w:rPr>
          <w:rFonts w:hint="eastAsia" w:ascii="宋体" w:hAnsi="宋体"/>
          <w:color w:val="000000" w:themeColor="text1"/>
          <w:kern w:val="0"/>
          <w:sz w:val="24"/>
          <w:szCs w:val="28"/>
          <w:highlight w:val="none"/>
          <w14:textFill>
            <w14:solidFill>
              <w14:schemeClr w14:val="tx1"/>
            </w14:solidFill>
          </w14:textFill>
        </w:rPr>
        <w:t>承包人违约责任的认定方式及送达程序及违约金的处理</w:t>
      </w:r>
    </w:p>
    <w:p>
      <w:pPr>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（1）认定方式：以发包人发出的通知、通报、会议纪要等书面文件确定的内容为准。</w:t>
      </w:r>
    </w:p>
    <w:p>
      <w:pPr>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（2）送达程序：发包人以下列方式之一将书面违约处理决定送达承包人：</w:t>
      </w:r>
    </w:p>
    <w:p>
      <w:pPr>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1）承包人指定人员签收。</w:t>
      </w:r>
    </w:p>
    <w:p>
      <w:pPr>
        <w:adjustRightInd w:val="0"/>
        <w:snapToGrid w:val="0"/>
        <w:spacing w:line="360" w:lineRule="auto"/>
        <w:ind w:firstLine="480" w:firstLineChars="200"/>
        <w:rPr>
          <w:rFonts w:ascii="宋体" w:hAnsi="宋体"/>
          <w:color w:val="000000" w:themeColor="text1"/>
          <w:kern w:val="0"/>
          <w:sz w:val="24"/>
          <w:szCs w:val="28"/>
          <w:highlight w:val="none"/>
          <w14:textFill>
            <w14:solidFill>
              <w14:schemeClr w14:val="tx1"/>
            </w14:solidFill>
          </w14:textFill>
        </w:rPr>
      </w:pPr>
      <w:r>
        <w:rPr>
          <w:rFonts w:hint="eastAsia" w:ascii="宋体" w:hAnsi="宋体"/>
          <w:color w:val="000000" w:themeColor="text1"/>
          <w:kern w:val="0"/>
          <w:sz w:val="24"/>
          <w:szCs w:val="28"/>
          <w:highlight w:val="none"/>
          <w14:textFill>
            <w14:solidFill>
              <w14:schemeClr w14:val="tx1"/>
            </w14:solidFill>
          </w14:textFill>
        </w:rPr>
        <w:t>2）发包人邮寄送达。</w:t>
      </w:r>
    </w:p>
    <w:p>
      <w:pPr>
        <w:pStyle w:val="40"/>
        <w:adjustRightInd w:val="0"/>
        <w:snapToGrid w:val="0"/>
        <w:spacing w:before="0" w:beforeAutospacing="0" w:after="0" w:afterAutospacing="0" w:line="360" w:lineRule="auto"/>
        <w:ind w:firstLine="480" w:firstLineChars="200"/>
        <w:jc w:val="both"/>
        <w:rPr>
          <w:color w:val="000000" w:themeColor="text1"/>
          <w:sz w:val="24"/>
          <w:szCs w:val="28"/>
          <w:highlight w:val="none"/>
          <w14:textFill>
            <w14:solidFill>
              <w14:schemeClr w14:val="tx1"/>
            </w14:solidFill>
          </w14:textFill>
        </w:rPr>
      </w:pPr>
      <w:r>
        <w:rPr>
          <w:rFonts w:hint="eastAsia"/>
          <w:color w:val="000000" w:themeColor="text1"/>
          <w:sz w:val="24"/>
          <w:szCs w:val="28"/>
          <w:highlight w:val="none"/>
          <w14:textFill>
            <w14:solidFill>
              <w14:schemeClr w14:val="tx1"/>
            </w14:solidFill>
          </w14:textFill>
        </w:rPr>
        <w:t>（3）发包人以书面形式作出的违约处理决定一经送达承包人立即生效。承包人如有足够证据证明不应由其承担违约责任的，属不需支付违约金的，应在收到违约处理决定后3天内以书面形式向发包人提出异议并附上有关证据；属需要支付违约金的，应在工程结算报告送达监理单位前以书面形式向发包人提出异议并附有关证据，发包人在收到承包人的异议后15天内审核完毕且作出书面决定并通知承包人。在异议审核期间，承包人须正常施工，不得以审核未确定为由拖延或者中止工程施工。</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承包人违约责任的承担方式和计算方法：</w:t>
      </w:r>
      <w:r>
        <w:rPr>
          <w:rFonts w:hint="eastAsia" w:ascii="宋体"/>
          <w:color w:val="000000" w:themeColor="text1"/>
          <w:sz w:val="24"/>
          <w:szCs w:val="28"/>
          <w:highlight w:val="none"/>
          <w:u w:val="single"/>
          <w14:textFill>
            <w14:solidFill>
              <w14:schemeClr w14:val="tx1"/>
            </w14:solidFill>
          </w14:textFill>
        </w:rPr>
        <w:t xml:space="preserve">  按合同约定  </w:t>
      </w:r>
      <w:r>
        <w:rPr>
          <w:rFonts w:hint="eastAsia" w:ascii="宋体"/>
          <w:color w:val="000000" w:themeColor="text1"/>
          <w:sz w:val="24"/>
          <w:szCs w:val="28"/>
          <w:highlight w:val="none"/>
          <w14:textFill>
            <w14:solidFill>
              <w14:schemeClr w14:val="tx1"/>
            </w14:solidFill>
          </w14:textFill>
        </w:rPr>
        <w:t>。</w:t>
      </w:r>
    </w:p>
    <w:p>
      <w:pPr>
        <w:pStyle w:val="200"/>
        <w:rPr>
          <w:color w:val="000000" w:themeColor="text1"/>
          <w:highlight w:val="none"/>
          <w14:textFill>
            <w14:solidFill>
              <w14:schemeClr w14:val="tx1"/>
            </w14:solidFill>
          </w14:textFill>
        </w:rPr>
      </w:pPr>
      <w:bookmarkStart w:id="1390" w:name="_Toc2099"/>
      <w:bookmarkStart w:id="1391" w:name="_Toc8319"/>
      <w:bookmarkStart w:id="1392" w:name="_Toc102746134"/>
      <w:bookmarkStart w:id="1393" w:name="_Toc4628"/>
      <w:bookmarkStart w:id="1394" w:name="_Toc994"/>
      <w:bookmarkStart w:id="1395" w:name="_Toc22584"/>
      <w:bookmarkStart w:id="1396" w:name="_Toc20858"/>
      <w:bookmarkStart w:id="1397" w:name="_Toc54862347"/>
      <w:bookmarkStart w:id="1398" w:name="_Toc25899"/>
      <w:bookmarkStart w:id="1399" w:name="_Toc28298"/>
      <w:r>
        <w:rPr>
          <w:rFonts w:hint="eastAsia"/>
          <w:color w:val="000000" w:themeColor="text1"/>
          <w:highlight w:val="none"/>
          <w14:textFill>
            <w14:solidFill>
              <w14:schemeClr w14:val="tx1"/>
            </w14:solidFill>
          </w14:textFill>
        </w:rPr>
        <w:t>第16条 合同解除</w:t>
      </w:r>
      <w:bookmarkEnd w:id="1390"/>
      <w:bookmarkEnd w:id="1391"/>
      <w:bookmarkEnd w:id="1392"/>
      <w:bookmarkEnd w:id="1393"/>
      <w:bookmarkEnd w:id="1394"/>
      <w:bookmarkEnd w:id="1395"/>
      <w:bookmarkEnd w:id="1396"/>
      <w:bookmarkEnd w:id="1397"/>
      <w:bookmarkEnd w:id="1398"/>
      <w:bookmarkEnd w:id="1399"/>
    </w:p>
    <w:p>
      <w:pPr>
        <w:pStyle w:val="196"/>
        <w:spacing w:before="156"/>
        <w:ind w:firstLine="241"/>
        <w:rPr>
          <w:color w:val="000000" w:themeColor="text1"/>
          <w:highlight w:val="none"/>
          <w14:textFill>
            <w14:solidFill>
              <w14:schemeClr w14:val="tx1"/>
            </w14:solidFill>
          </w14:textFill>
        </w:rPr>
      </w:pPr>
      <w:bookmarkStart w:id="1400" w:name="_Toc102746135"/>
      <w:r>
        <w:rPr>
          <w:rFonts w:hint="eastAsia"/>
          <w:color w:val="000000" w:themeColor="text1"/>
          <w:highlight w:val="none"/>
          <w14:textFill>
            <w14:solidFill>
              <w14:schemeClr w14:val="tx1"/>
            </w14:solidFill>
          </w14:textFill>
        </w:rPr>
        <w:t>16.1 由发包人解除合同</w:t>
      </w:r>
      <w:bookmarkEnd w:id="1400"/>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16.1.1 因承包人违约解除合同</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双方约定可由发包人解除合同的其他事由：</w:t>
      </w:r>
      <w:r>
        <w:rPr>
          <w:rFonts w:hint="eastAsia" w:ascii="宋体"/>
          <w:color w:val="000000" w:themeColor="text1"/>
          <w:sz w:val="24"/>
          <w:szCs w:val="28"/>
          <w:highlight w:val="none"/>
          <w:u w:val="single"/>
          <w14:textFill>
            <w14:solidFill>
              <w14:schemeClr w14:val="tx1"/>
            </w14:solidFill>
          </w14:textFill>
        </w:rPr>
        <w:t xml:space="preserve">  按合同约定</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16.1.5</w:t>
      </w:r>
      <w:r>
        <w:rPr>
          <w:rFonts w:hint="eastAsia"/>
          <w:color w:val="000000" w:themeColor="text1"/>
          <w:highlight w:val="none"/>
          <w14:textFill>
            <w14:solidFill>
              <w14:schemeClr w14:val="tx1"/>
            </w14:solidFill>
          </w14:textFill>
        </w:rPr>
        <w:t>承包人离场规定</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发包人向承包人发出解除合同及限期离场通知后，承包人需在限定期限内按合同约定清理现场并离场，如超期未完成的，每逾期</w:t>
      </w:r>
      <w:r>
        <w:rPr>
          <w:rFonts w:ascii="宋体"/>
          <w:color w:val="000000" w:themeColor="text1"/>
          <w:sz w:val="24"/>
          <w:szCs w:val="28"/>
          <w:highlight w:val="none"/>
          <w14:textFill>
            <w14:solidFill>
              <w14:schemeClr w14:val="tx1"/>
            </w14:solidFill>
          </w14:textFill>
        </w:rPr>
        <w:t>1</w:t>
      </w:r>
      <w:r>
        <w:rPr>
          <w:rFonts w:hint="eastAsia" w:ascii="宋体"/>
          <w:color w:val="000000" w:themeColor="text1"/>
          <w:sz w:val="24"/>
          <w:szCs w:val="28"/>
          <w:highlight w:val="none"/>
          <w14:textFill>
            <w14:solidFill>
              <w14:schemeClr w14:val="tx1"/>
            </w14:solidFill>
          </w14:textFill>
        </w:rPr>
        <w:t>天，承包人须按</w:t>
      </w:r>
      <w:r>
        <w:rPr>
          <w:rFonts w:ascii="宋体"/>
          <w:color w:val="000000" w:themeColor="text1"/>
          <w:sz w:val="24"/>
          <w:szCs w:val="28"/>
          <w:highlight w:val="none"/>
          <w14:textFill>
            <w14:solidFill>
              <w14:schemeClr w14:val="tx1"/>
            </w14:solidFill>
          </w14:textFill>
        </w:rPr>
        <w:t>10</w:t>
      </w:r>
      <w:r>
        <w:rPr>
          <w:rFonts w:hint="eastAsia" w:ascii="宋体"/>
          <w:color w:val="000000" w:themeColor="text1"/>
          <w:sz w:val="24"/>
          <w:szCs w:val="28"/>
          <w:highlight w:val="none"/>
          <w14:textFill>
            <w14:solidFill>
              <w14:schemeClr w14:val="tx1"/>
            </w14:solidFill>
          </w14:textFill>
        </w:rPr>
        <w:t>万元</w:t>
      </w:r>
      <w:r>
        <w:rPr>
          <w:rFonts w:ascii="宋体"/>
          <w:color w:val="000000" w:themeColor="text1"/>
          <w:sz w:val="24"/>
          <w:szCs w:val="28"/>
          <w:highlight w:val="none"/>
          <w14:textFill>
            <w14:solidFill>
              <w14:schemeClr w14:val="tx1"/>
            </w14:solidFill>
          </w14:textFill>
        </w:rPr>
        <w:t>/</w:t>
      </w:r>
      <w:r>
        <w:rPr>
          <w:rFonts w:hint="eastAsia" w:ascii="宋体"/>
          <w:color w:val="000000" w:themeColor="text1"/>
          <w:sz w:val="24"/>
          <w:szCs w:val="28"/>
          <w:highlight w:val="none"/>
          <w14:textFill>
            <w14:solidFill>
              <w14:schemeClr w14:val="tx1"/>
            </w14:solidFill>
          </w14:textFill>
        </w:rPr>
        <w:t>天的标准向发包人支付违约金，相关违约金可从发包人向承包人的应付金额中扣除，也可通过提取履约担保的方式收取；同时发包人有权通过司法途径申请强制执行，承包人自行承担一切损失。</w:t>
      </w:r>
    </w:p>
    <w:p>
      <w:pPr>
        <w:pStyle w:val="196"/>
        <w:spacing w:before="156"/>
        <w:ind w:firstLine="241"/>
        <w:rPr>
          <w:color w:val="000000" w:themeColor="text1"/>
          <w:highlight w:val="none"/>
          <w14:textFill>
            <w14:solidFill>
              <w14:schemeClr w14:val="tx1"/>
            </w14:solidFill>
          </w14:textFill>
        </w:rPr>
      </w:pPr>
      <w:bookmarkStart w:id="1401" w:name="_Toc102746136"/>
      <w:r>
        <w:rPr>
          <w:rFonts w:hint="eastAsia"/>
          <w:color w:val="000000" w:themeColor="text1"/>
          <w:highlight w:val="none"/>
          <w14:textFill>
            <w14:solidFill>
              <w14:schemeClr w14:val="tx1"/>
            </w14:solidFill>
          </w14:textFill>
        </w:rPr>
        <w:t>16.2 由承包人解除合同</w:t>
      </w:r>
      <w:bookmarkEnd w:id="1401"/>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16.2.1 因发包人违约解除合同</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删除通用条款16.2.1“因发包人违约解除合同”的全部条款，承包人的合同解除权按《中华人民共和国民法典》规定执行。</w:t>
      </w:r>
    </w:p>
    <w:p>
      <w:pPr>
        <w:pStyle w:val="200"/>
        <w:rPr>
          <w:color w:val="000000" w:themeColor="text1"/>
          <w:highlight w:val="none"/>
          <w14:textFill>
            <w14:solidFill>
              <w14:schemeClr w14:val="tx1"/>
            </w14:solidFill>
          </w14:textFill>
        </w:rPr>
      </w:pPr>
      <w:bookmarkStart w:id="1402" w:name="_Toc13727"/>
      <w:bookmarkStart w:id="1403" w:name="_Toc22240"/>
      <w:bookmarkStart w:id="1404" w:name="_Toc9797"/>
      <w:bookmarkStart w:id="1405" w:name="_Toc4654"/>
      <w:bookmarkStart w:id="1406" w:name="_Toc13355"/>
      <w:bookmarkStart w:id="1407" w:name="_Toc24200"/>
      <w:bookmarkStart w:id="1408" w:name="_Toc102746137"/>
      <w:bookmarkStart w:id="1409" w:name="_Toc14058"/>
      <w:bookmarkStart w:id="1410" w:name="_Toc54862348"/>
      <w:bookmarkStart w:id="1411" w:name="_Toc31657"/>
      <w:r>
        <w:rPr>
          <w:rFonts w:hint="eastAsia"/>
          <w:color w:val="000000" w:themeColor="text1"/>
          <w:highlight w:val="none"/>
          <w14:textFill>
            <w14:solidFill>
              <w14:schemeClr w14:val="tx1"/>
            </w14:solidFill>
          </w14:textFill>
        </w:rPr>
        <w:t>第17条 不可抗力</w:t>
      </w:r>
      <w:bookmarkEnd w:id="1402"/>
      <w:bookmarkEnd w:id="1403"/>
      <w:bookmarkEnd w:id="1404"/>
      <w:bookmarkEnd w:id="1405"/>
      <w:bookmarkEnd w:id="1406"/>
      <w:bookmarkEnd w:id="1407"/>
      <w:bookmarkEnd w:id="1408"/>
      <w:bookmarkEnd w:id="1409"/>
      <w:bookmarkEnd w:id="1410"/>
      <w:bookmarkEnd w:id="1411"/>
    </w:p>
    <w:p>
      <w:pPr>
        <w:pStyle w:val="196"/>
        <w:spacing w:before="156"/>
        <w:ind w:firstLine="241"/>
        <w:rPr>
          <w:color w:val="000000" w:themeColor="text1"/>
          <w:highlight w:val="none"/>
          <w14:textFill>
            <w14:solidFill>
              <w14:schemeClr w14:val="tx1"/>
            </w14:solidFill>
          </w14:textFill>
        </w:rPr>
      </w:pPr>
      <w:bookmarkStart w:id="1412" w:name="_Toc102746138"/>
      <w:r>
        <w:rPr>
          <w:rFonts w:hint="eastAsia"/>
          <w:color w:val="000000" w:themeColor="text1"/>
          <w:highlight w:val="none"/>
          <w14:textFill>
            <w14:solidFill>
              <w14:schemeClr w14:val="tx1"/>
            </w14:solidFill>
          </w14:textFill>
        </w:rPr>
        <w:t>17.1 不可抗力的定义</w:t>
      </w:r>
      <w:bookmarkEnd w:id="1412"/>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除通用合同条件约定的不可抗力事件之外，视为不可抗力的其他情形：</w:t>
      </w:r>
      <w:r>
        <w:rPr>
          <w:rFonts w:hint="eastAsia" w:ascii="宋体"/>
          <w:color w:val="000000" w:themeColor="text1"/>
          <w:sz w:val="24"/>
          <w:szCs w:val="28"/>
          <w:highlight w:val="none"/>
          <w:u w:val="single"/>
          <w14:textFill>
            <w14:solidFill>
              <w14:schemeClr w14:val="tx1"/>
            </w14:solidFill>
          </w14:textFill>
        </w:rPr>
        <w:t xml:space="preserve"> 上级政府颁布的法律法规</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413" w:name="_Toc102746139"/>
      <w:r>
        <w:rPr>
          <w:rFonts w:hint="eastAsia"/>
          <w:color w:val="000000" w:themeColor="text1"/>
          <w:highlight w:val="none"/>
          <w14:textFill>
            <w14:solidFill>
              <w14:schemeClr w14:val="tx1"/>
            </w14:solidFill>
          </w14:textFill>
        </w:rPr>
        <w:t>17.6 因不可抗力解除合同</w:t>
      </w:r>
      <w:bookmarkEnd w:id="1413"/>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合同解除后，发包人应当在商定或确定发包人应支付款项后的</w:t>
      </w:r>
      <w:r>
        <w:rPr>
          <w:rFonts w:hint="eastAsia" w:ascii="宋体"/>
          <w:color w:val="000000" w:themeColor="text1"/>
          <w:sz w:val="24"/>
          <w:szCs w:val="28"/>
          <w:highlight w:val="none"/>
          <w:u w:val="single"/>
          <w14:textFill>
            <w14:solidFill>
              <w14:schemeClr w14:val="tx1"/>
            </w14:solidFill>
          </w14:textFill>
        </w:rPr>
        <w:t xml:space="preserve">  180  </w:t>
      </w:r>
      <w:r>
        <w:rPr>
          <w:rFonts w:hint="eastAsia" w:ascii="宋体"/>
          <w:color w:val="000000" w:themeColor="text1"/>
          <w:sz w:val="24"/>
          <w:szCs w:val="28"/>
          <w:highlight w:val="none"/>
          <w14:textFill>
            <w14:solidFill>
              <w14:schemeClr w14:val="tx1"/>
            </w14:solidFill>
          </w14:textFill>
        </w:rPr>
        <w:t>天内完成款项的支付。</w:t>
      </w:r>
    </w:p>
    <w:p>
      <w:pPr>
        <w:pStyle w:val="200"/>
        <w:rPr>
          <w:color w:val="000000" w:themeColor="text1"/>
          <w:highlight w:val="none"/>
          <w14:textFill>
            <w14:solidFill>
              <w14:schemeClr w14:val="tx1"/>
            </w14:solidFill>
          </w14:textFill>
        </w:rPr>
      </w:pPr>
      <w:bookmarkStart w:id="1414" w:name="_Toc4784276"/>
      <w:bookmarkEnd w:id="1414"/>
      <w:bookmarkStart w:id="1415" w:name="_Toc4784277"/>
      <w:bookmarkEnd w:id="1415"/>
      <w:bookmarkStart w:id="1416" w:name="_Toc17983"/>
      <w:bookmarkStart w:id="1417" w:name="_Toc16432"/>
      <w:bookmarkStart w:id="1418" w:name="_Toc26686"/>
      <w:bookmarkStart w:id="1419" w:name="_Toc4191"/>
      <w:bookmarkStart w:id="1420" w:name="_Toc5076"/>
      <w:bookmarkStart w:id="1421" w:name="_Toc5255"/>
      <w:bookmarkStart w:id="1422" w:name="_Toc54862349"/>
      <w:bookmarkStart w:id="1423" w:name="_Toc102746140"/>
      <w:bookmarkStart w:id="1424" w:name="_Toc30399"/>
      <w:bookmarkStart w:id="1425" w:name="_Toc27460"/>
      <w:r>
        <w:rPr>
          <w:rFonts w:hint="eastAsia"/>
          <w:color w:val="000000" w:themeColor="text1"/>
          <w:highlight w:val="none"/>
          <w14:textFill>
            <w14:solidFill>
              <w14:schemeClr w14:val="tx1"/>
            </w14:solidFill>
          </w14:textFill>
        </w:rPr>
        <w:t>第18条 保险</w:t>
      </w:r>
      <w:bookmarkEnd w:id="1416"/>
      <w:bookmarkEnd w:id="1417"/>
      <w:bookmarkEnd w:id="1418"/>
      <w:bookmarkEnd w:id="1419"/>
      <w:bookmarkEnd w:id="1420"/>
      <w:bookmarkEnd w:id="1421"/>
      <w:bookmarkEnd w:id="1422"/>
      <w:bookmarkEnd w:id="1423"/>
      <w:bookmarkEnd w:id="1424"/>
      <w:bookmarkEnd w:id="1425"/>
    </w:p>
    <w:p>
      <w:pPr>
        <w:pStyle w:val="196"/>
        <w:spacing w:before="156"/>
        <w:ind w:firstLine="241"/>
        <w:rPr>
          <w:color w:val="000000" w:themeColor="text1"/>
          <w:highlight w:val="none"/>
          <w14:textFill>
            <w14:solidFill>
              <w14:schemeClr w14:val="tx1"/>
            </w14:solidFill>
          </w14:textFill>
        </w:rPr>
      </w:pPr>
      <w:bookmarkStart w:id="1426" w:name="_Toc102746141"/>
      <w:r>
        <w:rPr>
          <w:rFonts w:hint="eastAsia"/>
          <w:color w:val="000000" w:themeColor="text1"/>
          <w:highlight w:val="none"/>
          <w14:textFill>
            <w14:solidFill>
              <w14:schemeClr w14:val="tx1"/>
            </w14:solidFill>
          </w14:textFill>
        </w:rPr>
        <w:t>18.1 设计和工程保险</w:t>
      </w:r>
      <w:bookmarkEnd w:id="1426"/>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18.1.1 双方当事人关于设计和工程保险的特别约定：</w:t>
      </w:r>
    </w:p>
    <w:p>
      <w:pPr>
        <w:pStyle w:val="158"/>
        <w:shd w:val="clear" w:color="auto" w:fill="auto"/>
        <w:tabs>
          <w:tab w:val="left" w:pos="0"/>
        </w:tabs>
        <w:snapToGrid w:val="0"/>
        <w:spacing w:before="0" w:line="360" w:lineRule="auto"/>
        <w:ind w:left="15" w:leftChars="7" w:right="-47" w:firstLine="499" w:firstLineChars="208"/>
        <w:jc w:val="both"/>
        <w:rPr>
          <w:rFonts w:hAnsi="仿宋_GB2312" w:cs="仿宋_GB2312"/>
          <w:color w:val="000000" w:themeColor="text1"/>
          <w:sz w:val="24"/>
          <w:szCs w:val="28"/>
          <w:highlight w:val="none"/>
          <w:lang w:val="zh-CN"/>
          <w14:textFill>
            <w14:solidFill>
              <w14:schemeClr w14:val="tx1"/>
            </w14:solidFill>
          </w14:textFill>
        </w:rPr>
      </w:pPr>
      <w:r>
        <w:rPr>
          <w:rFonts w:hint="eastAsia" w:hAnsi="仿宋_GB2312" w:cs="仿宋_GB2312"/>
          <w:color w:val="000000" w:themeColor="text1"/>
          <w:sz w:val="24"/>
          <w:szCs w:val="28"/>
          <w:highlight w:val="none"/>
          <w:lang w:val="zh-CN"/>
          <w14:textFill>
            <w14:solidFill>
              <w14:schemeClr w14:val="tx1"/>
            </w14:solidFill>
          </w14:textFill>
        </w:rPr>
        <w:sym w:font="Wingdings 2" w:char="F0A3"/>
      </w:r>
      <w:r>
        <w:rPr>
          <w:rFonts w:hint="eastAsia" w:hAnsi="仿宋_GB2312" w:cs="仿宋_GB2312"/>
          <w:color w:val="000000" w:themeColor="text1"/>
          <w:sz w:val="24"/>
          <w:szCs w:val="28"/>
          <w:highlight w:val="none"/>
          <w:lang w:val="zh-CN"/>
          <w14:textFill>
            <w14:solidFill>
              <w14:schemeClr w14:val="tx1"/>
            </w14:solidFill>
          </w14:textFill>
        </w:rPr>
        <w:t>（</w:t>
      </w:r>
      <w:r>
        <w:rPr>
          <w:rFonts w:hAnsi="仿宋_GB2312" w:cs="仿宋_GB2312"/>
          <w:color w:val="000000" w:themeColor="text1"/>
          <w:sz w:val="24"/>
          <w:szCs w:val="28"/>
          <w:highlight w:val="none"/>
          <w:lang w:val="zh-CN"/>
          <w14:textFill>
            <w14:solidFill>
              <w14:schemeClr w14:val="tx1"/>
            </w14:solidFill>
          </w14:textFill>
        </w:rPr>
        <w:t>1</w:t>
      </w:r>
      <w:r>
        <w:rPr>
          <w:rFonts w:hint="eastAsia" w:hAnsi="仿宋_GB2312" w:cs="仿宋_GB2312"/>
          <w:color w:val="000000" w:themeColor="text1"/>
          <w:sz w:val="24"/>
          <w:szCs w:val="28"/>
          <w:highlight w:val="none"/>
          <w:lang w:val="zh-CN"/>
          <w14:textFill>
            <w14:solidFill>
              <w14:schemeClr w14:val="tx1"/>
            </w14:solidFill>
          </w14:textFill>
        </w:rPr>
        <w:t>）承包人应购买发包人认可的、履行本合同所需要的建设工程设计责任保险，并使其于合同责任期内保持有效。工程设计责任保险应承担由于设计人设计工作的疏忽或过失而引发的工程质量事故所造成的建设工程本身的物质损失以及第三者人身伤亡、财产损失或费用的赔偿责任。</w:t>
      </w:r>
    </w:p>
    <w:p>
      <w:pPr>
        <w:pStyle w:val="158"/>
        <w:shd w:val="clear" w:color="auto" w:fill="auto"/>
        <w:tabs>
          <w:tab w:val="left" w:pos="0"/>
        </w:tabs>
        <w:snapToGrid w:val="0"/>
        <w:spacing w:before="0" w:line="360" w:lineRule="auto"/>
        <w:ind w:left="15" w:leftChars="7" w:right="-47" w:firstLine="499" w:firstLineChars="208"/>
        <w:jc w:val="both"/>
        <w:rPr>
          <w:rFonts w:hAnsi="仿宋_GB2312" w:cs="仿宋_GB2312"/>
          <w:color w:val="000000" w:themeColor="text1"/>
          <w:sz w:val="24"/>
          <w:szCs w:val="28"/>
          <w:highlight w:val="none"/>
          <w:lang w:val="zh-CN"/>
          <w14:textFill>
            <w14:solidFill>
              <w14:schemeClr w14:val="tx1"/>
            </w14:solidFill>
          </w14:textFill>
        </w:rPr>
      </w:pPr>
      <w:r>
        <w:rPr>
          <w:rFonts w:hint="eastAsia" w:hAnsi="仿宋_GB2312" w:cs="仿宋_GB2312"/>
          <w:color w:val="000000" w:themeColor="text1"/>
          <w:sz w:val="24"/>
          <w:szCs w:val="28"/>
          <w:highlight w:val="none"/>
          <w:lang w:val="zh-CN"/>
          <w14:textFill>
            <w14:solidFill>
              <w14:schemeClr w14:val="tx1"/>
            </w14:solidFill>
          </w14:textFill>
        </w:rPr>
        <w:sym w:font="Wingdings 2" w:char="F052"/>
      </w:r>
      <w:r>
        <w:rPr>
          <w:rFonts w:hint="eastAsia" w:hAnsi="仿宋_GB2312" w:cs="仿宋_GB2312"/>
          <w:color w:val="000000" w:themeColor="text1"/>
          <w:sz w:val="24"/>
          <w:szCs w:val="28"/>
          <w:highlight w:val="none"/>
          <w:lang w:val="zh-CN"/>
          <w14:textFill>
            <w14:solidFill>
              <w14:schemeClr w14:val="tx1"/>
            </w14:solidFill>
          </w14:textFill>
        </w:rPr>
        <w:t>（</w:t>
      </w:r>
      <w:r>
        <w:rPr>
          <w:rFonts w:hint="eastAsia" w:hAnsi="仿宋_GB2312" w:cs="仿宋_GB2312"/>
          <w:color w:val="000000" w:themeColor="text1"/>
          <w:sz w:val="24"/>
          <w:szCs w:val="28"/>
          <w:highlight w:val="none"/>
          <w14:textFill>
            <w14:solidFill>
              <w14:schemeClr w14:val="tx1"/>
            </w14:solidFill>
          </w14:textFill>
        </w:rPr>
        <w:t>1</w:t>
      </w:r>
      <w:r>
        <w:rPr>
          <w:rFonts w:hint="eastAsia" w:hAnsi="仿宋_GB2312" w:cs="仿宋_GB2312"/>
          <w:color w:val="000000" w:themeColor="text1"/>
          <w:sz w:val="24"/>
          <w:szCs w:val="28"/>
          <w:highlight w:val="none"/>
          <w:lang w:val="zh-CN"/>
          <w14:textFill>
            <w14:solidFill>
              <w14:schemeClr w14:val="tx1"/>
            </w14:solidFill>
          </w14:textFill>
        </w:rPr>
        <w:t>）承包人应购买建安工程一切险及第三者责任险，发包人不为此支付任何费用。因未购买保险导致的风险与责任，均由承包人自行承担。</w:t>
      </w:r>
    </w:p>
    <w:p>
      <w:pPr>
        <w:pStyle w:val="158"/>
        <w:shd w:val="clear" w:color="auto" w:fill="auto"/>
        <w:tabs>
          <w:tab w:val="left" w:pos="0"/>
        </w:tabs>
        <w:snapToGrid w:val="0"/>
        <w:spacing w:before="0" w:line="360" w:lineRule="auto"/>
        <w:ind w:left="15" w:leftChars="7" w:right="-47" w:firstLine="499" w:firstLineChars="208"/>
        <w:jc w:val="both"/>
        <w:rPr>
          <w:rFonts w:hAnsi="仿宋_GB2312" w:cs="仿宋_GB2312"/>
          <w:color w:val="000000" w:themeColor="text1"/>
          <w:sz w:val="24"/>
          <w:szCs w:val="28"/>
          <w:highlight w:val="none"/>
          <w:lang w:val="zh-CN"/>
          <w14:textFill>
            <w14:solidFill>
              <w14:schemeClr w14:val="tx1"/>
            </w14:solidFill>
          </w14:textFill>
        </w:rPr>
      </w:pPr>
      <w:r>
        <w:rPr>
          <w:rFonts w:hint="eastAsia" w:hAnsi="仿宋_GB2312" w:cs="仿宋_GB2312"/>
          <w:color w:val="000000" w:themeColor="text1"/>
          <w:sz w:val="24"/>
          <w:szCs w:val="28"/>
          <w:highlight w:val="none"/>
          <w:lang w:val="zh-CN"/>
          <w14:textFill>
            <w14:solidFill>
              <w14:schemeClr w14:val="tx1"/>
            </w14:solidFill>
          </w14:textFill>
        </w:rPr>
        <w:t>（2）承包人在投保时均应将本合同各方、本合同项下分包商、供货商、服务商同时列为保险合同项下的被保险人</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18.1.2 双方当事人关于第三方责任险的特别约定：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427" w:name="_Toc102746142"/>
      <w:r>
        <w:rPr>
          <w:rFonts w:hint="eastAsia"/>
          <w:color w:val="000000" w:themeColor="text1"/>
          <w:highlight w:val="none"/>
          <w14:textFill>
            <w14:solidFill>
              <w14:schemeClr w14:val="tx1"/>
            </w14:solidFill>
          </w14:textFill>
        </w:rPr>
        <w:t>18.2 工伤和意外伤害保险</w:t>
      </w:r>
      <w:bookmarkEnd w:id="1427"/>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18.2.3 关于工伤保险和意外伤害保险的特别约定：</w:t>
      </w:r>
      <w:r>
        <w:rPr>
          <w:rFonts w:hint="eastAsia"/>
          <w:color w:val="000000" w:themeColor="text1"/>
          <w:highlight w:val="none"/>
          <w:u w:val="single"/>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428" w:name="_Toc102746143"/>
      <w:r>
        <w:rPr>
          <w:rFonts w:hint="eastAsia"/>
          <w:color w:val="000000" w:themeColor="text1"/>
          <w:highlight w:val="none"/>
          <w14:textFill>
            <w14:solidFill>
              <w14:schemeClr w14:val="tx1"/>
            </w14:solidFill>
          </w14:textFill>
        </w:rPr>
        <w:t>18.3 货物保险</w:t>
      </w:r>
      <w:bookmarkEnd w:id="1428"/>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关于承包人应为其施工设备、材料、工程设备和临时工程等办理财产保险的特别约定：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429" w:name="_Toc102746144"/>
      <w:r>
        <w:rPr>
          <w:rFonts w:hint="eastAsia"/>
          <w:color w:val="000000" w:themeColor="text1"/>
          <w:highlight w:val="none"/>
          <w14:textFill>
            <w14:solidFill>
              <w14:schemeClr w14:val="tx1"/>
            </w14:solidFill>
          </w14:textFill>
        </w:rPr>
        <w:t>18.4 其他保险</w:t>
      </w:r>
      <w:bookmarkEnd w:id="1429"/>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关于其他保险的约定：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96"/>
        <w:spacing w:before="156"/>
        <w:ind w:firstLine="241"/>
        <w:rPr>
          <w:color w:val="000000" w:themeColor="text1"/>
          <w:highlight w:val="none"/>
          <w14:textFill>
            <w14:solidFill>
              <w14:schemeClr w14:val="tx1"/>
            </w14:solidFill>
          </w14:textFill>
        </w:rPr>
      </w:pPr>
      <w:bookmarkStart w:id="1430" w:name="_Toc102746145"/>
      <w:r>
        <w:rPr>
          <w:rFonts w:hint="eastAsia"/>
          <w:color w:val="000000" w:themeColor="text1"/>
          <w:highlight w:val="none"/>
          <w14:textFill>
            <w14:solidFill>
              <w14:schemeClr w14:val="tx1"/>
            </w14:solidFill>
          </w14:textFill>
        </w:rPr>
        <w:t>18.5 对各项保险的一般要求</w:t>
      </w:r>
      <w:bookmarkEnd w:id="1430"/>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18.5.2 保险凭证</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保险单的条件：</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168"/>
        <w:spacing w:before="156"/>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18.5.4 通知义务</w:t>
      </w:r>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关于变更保险合同时的通知义务的约定：</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w:t>
      </w:r>
    </w:p>
    <w:p>
      <w:pPr>
        <w:pStyle w:val="200"/>
        <w:rPr>
          <w:color w:val="000000" w:themeColor="text1"/>
          <w:highlight w:val="none"/>
          <w14:textFill>
            <w14:solidFill>
              <w14:schemeClr w14:val="tx1"/>
            </w14:solidFill>
          </w14:textFill>
        </w:rPr>
      </w:pPr>
      <w:bookmarkStart w:id="1431" w:name="_Toc99813200"/>
      <w:bookmarkStart w:id="1432" w:name="_Toc102746146"/>
      <w:bookmarkStart w:id="1433" w:name="_Toc19136"/>
      <w:bookmarkStart w:id="1434" w:name="_Toc4452"/>
      <w:bookmarkStart w:id="1435" w:name="_Toc3074"/>
      <w:bookmarkStart w:id="1436" w:name="_Toc14929"/>
      <w:bookmarkStart w:id="1437" w:name="_Toc345"/>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19</w:t>
      </w:r>
      <w:r>
        <w:rPr>
          <w:rFonts w:hint="eastAsia"/>
          <w:color w:val="000000" w:themeColor="text1"/>
          <w:highlight w:val="none"/>
          <w14:textFill>
            <w14:solidFill>
              <w14:schemeClr w14:val="tx1"/>
            </w14:solidFill>
          </w14:textFill>
        </w:rPr>
        <w:t>条</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索赔</w:t>
      </w:r>
      <w:bookmarkEnd w:id="1431"/>
      <w:bookmarkEnd w:id="1432"/>
      <w:bookmarkEnd w:id="1433"/>
      <w:bookmarkEnd w:id="1434"/>
      <w:bookmarkEnd w:id="1435"/>
      <w:bookmarkEnd w:id="1436"/>
      <w:bookmarkEnd w:id="1437"/>
    </w:p>
    <w:p>
      <w:pPr>
        <w:pStyle w:val="196"/>
        <w:spacing w:before="156"/>
        <w:ind w:firstLine="241"/>
        <w:rPr>
          <w:color w:val="000000" w:themeColor="text1"/>
          <w:highlight w:val="none"/>
          <w14:textFill>
            <w14:solidFill>
              <w14:schemeClr w14:val="tx1"/>
            </w14:solidFill>
          </w14:textFill>
        </w:rPr>
      </w:pPr>
      <w:bookmarkStart w:id="1438" w:name="_Toc99813201"/>
      <w:bookmarkStart w:id="1439" w:name="_Toc102746147"/>
      <w:r>
        <w:rPr>
          <w:color w:val="000000" w:themeColor="text1"/>
          <w:highlight w:val="none"/>
          <w14:textFill>
            <w14:solidFill>
              <w14:schemeClr w14:val="tx1"/>
            </w14:solidFill>
          </w14:textFill>
        </w:rPr>
        <w:t xml:space="preserve">19.2 </w:t>
      </w:r>
      <w:r>
        <w:rPr>
          <w:rFonts w:hint="eastAsia"/>
          <w:color w:val="000000" w:themeColor="text1"/>
          <w:highlight w:val="none"/>
          <w14:textFill>
            <w14:solidFill>
              <w14:schemeClr w14:val="tx1"/>
            </w14:solidFill>
          </w14:textFill>
        </w:rPr>
        <w:t>承包人索赔的处理程序</w:t>
      </w:r>
      <w:bookmarkEnd w:id="1438"/>
      <w:bookmarkEnd w:id="1439"/>
    </w:p>
    <w:p>
      <w:pPr>
        <w:snapToGrid w:val="0"/>
        <w:spacing w:line="360" w:lineRule="auto"/>
        <w:ind w:firstLine="601"/>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1</w:t>
      </w: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工程师收到承包人提交的索赔报告后，应及时审查索赔报告的内容、查验承包人的记录和证明材料，必要时工程师可要求承包人提交全部原始记录副本。</w:t>
      </w:r>
    </w:p>
    <w:p>
      <w:pPr>
        <w:snapToGrid w:val="0"/>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2</w:t>
      </w: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工程师应按第</w:t>
      </w:r>
      <w:r>
        <w:rPr>
          <w:rFonts w:ascii="宋体"/>
          <w:color w:val="000000" w:themeColor="text1"/>
          <w:sz w:val="24"/>
          <w:highlight w:val="none"/>
          <w14:textFill>
            <w14:solidFill>
              <w14:schemeClr w14:val="tx1"/>
            </w14:solidFill>
          </w14:textFill>
        </w:rPr>
        <w:t>3.6</w:t>
      </w:r>
      <w:r>
        <w:rPr>
          <w:rFonts w:hint="eastAsia" w:ascii="宋体"/>
          <w:color w:val="000000" w:themeColor="text1"/>
          <w:sz w:val="24"/>
          <w:highlight w:val="none"/>
          <w14:textFill>
            <w14:solidFill>
              <w14:schemeClr w14:val="tx1"/>
            </w14:solidFill>
          </w14:textFill>
        </w:rPr>
        <w:t>款</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商定或确定</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商定或确定追加的付款和（或）延长的工期，并在收到上述索赔报告或有关索赔的进一步证明材料后及时书面告知发包人，并在</w:t>
      </w:r>
      <w:r>
        <w:rPr>
          <w:rFonts w:ascii="宋体"/>
          <w:color w:val="000000" w:themeColor="text1"/>
          <w:sz w:val="24"/>
          <w:highlight w:val="none"/>
          <w:u w:val="single"/>
          <w14:textFill>
            <w14:solidFill>
              <w14:schemeClr w14:val="tx1"/>
            </w14:solidFill>
          </w14:textFill>
        </w:rPr>
        <w:t>42</w:t>
      </w:r>
      <w:r>
        <w:rPr>
          <w:rFonts w:hint="eastAsia" w:ascii="宋体"/>
          <w:color w:val="000000" w:themeColor="text1"/>
          <w:sz w:val="24"/>
          <w:highlight w:val="none"/>
          <w14:textFill>
            <w14:solidFill>
              <w14:schemeClr w14:val="tx1"/>
            </w14:solidFill>
          </w14:textFill>
        </w:rPr>
        <w:t>天内，将发包人书面认可的索赔处理结果答复承包人。工程师在收到索赔报告或有关索赔的进一步证明材料后的</w:t>
      </w:r>
      <w:r>
        <w:rPr>
          <w:rFonts w:ascii="宋体"/>
          <w:color w:val="000000" w:themeColor="text1"/>
          <w:sz w:val="24"/>
          <w:highlight w:val="none"/>
          <w:u w:val="single"/>
          <w14:textFill>
            <w14:solidFill>
              <w14:schemeClr w14:val="tx1"/>
            </w14:solidFill>
          </w14:textFill>
        </w:rPr>
        <w:t>42</w:t>
      </w:r>
      <w:r>
        <w:rPr>
          <w:rFonts w:hint="eastAsia" w:ascii="宋体"/>
          <w:color w:val="000000" w:themeColor="text1"/>
          <w:sz w:val="24"/>
          <w:highlight w:val="none"/>
          <w14:textFill>
            <w14:solidFill>
              <w14:schemeClr w14:val="tx1"/>
            </w14:solidFill>
          </w14:textFill>
        </w:rPr>
        <w:t>天内不予答复的，不视为认可索赔。</w:t>
      </w:r>
    </w:p>
    <w:p>
      <w:pPr>
        <w:snapToGrid w:val="0"/>
        <w:spacing w:line="360" w:lineRule="auto"/>
        <w:ind w:firstLine="6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w:t>
      </w:r>
      <w:r>
        <w:rPr>
          <w:rFonts w:ascii="宋体"/>
          <w:color w:val="000000" w:themeColor="text1"/>
          <w:sz w:val="24"/>
          <w:highlight w:val="none"/>
          <w14:textFill>
            <w14:solidFill>
              <w14:schemeClr w14:val="tx1"/>
            </w14:solidFill>
          </w14:textFill>
        </w:rPr>
        <w:t>3</w:t>
      </w:r>
      <w:r>
        <w:rPr>
          <w:rFonts w:hint="eastAsia" w:ascii="宋体"/>
          <w:color w:val="000000" w:themeColor="text1"/>
          <w:sz w:val="24"/>
          <w:highlight w:val="none"/>
          <w14:textFill>
            <w14:solidFill>
              <w14:schemeClr w14:val="tx1"/>
            </w14:solidFill>
          </w14:textFill>
        </w:rPr>
        <w:t>）承包人接受索赔处理结果的，承包人按规定办理索赔款项支付申请，发包人应在签发相关付款证书后的</w:t>
      </w:r>
      <w:r>
        <w:rPr>
          <w:rFonts w:ascii="宋体"/>
          <w:color w:val="000000" w:themeColor="text1"/>
          <w:sz w:val="24"/>
          <w:highlight w:val="none"/>
          <w:u w:val="single"/>
          <w14:textFill>
            <w14:solidFill>
              <w14:schemeClr w14:val="tx1"/>
            </w14:solidFill>
          </w14:textFill>
        </w:rPr>
        <w:t>60</w:t>
      </w:r>
      <w:r>
        <w:rPr>
          <w:rFonts w:hint="eastAsia" w:ascii="宋体"/>
          <w:color w:val="000000" w:themeColor="text1"/>
          <w:sz w:val="24"/>
          <w:highlight w:val="none"/>
          <w14:textFill>
            <w14:solidFill>
              <w14:schemeClr w14:val="tx1"/>
            </w14:solidFill>
          </w14:textFill>
        </w:rPr>
        <w:t>天内向财政部门申请支付，发包人向财政部门提交付款申请视为按期支付，涉及因支付办理审批时间延迟导致的付款时间延迟的，不属于发包人违约行为，承包人不得因此向发包人主张任何赔偿或其他法律责任。承包人不接受索赔处理结果的，按照第</w:t>
      </w:r>
      <w:r>
        <w:rPr>
          <w:rFonts w:ascii="宋体"/>
          <w:color w:val="000000" w:themeColor="text1"/>
          <w:sz w:val="24"/>
          <w:highlight w:val="none"/>
          <w14:textFill>
            <w14:solidFill>
              <w14:schemeClr w14:val="tx1"/>
            </w14:solidFill>
          </w14:textFill>
        </w:rPr>
        <w:t>20</w:t>
      </w:r>
      <w:r>
        <w:rPr>
          <w:rFonts w:hint="eastAsia" w:ascii="宋体"/>
          <w:color w:val="000000" w:themeColor="text1"/>
          <w:sz w:val="24"/>
          <w:highlight w:val="none"/>
          <w14:textFill>
            <w14:solidFill>
              <w14:schemeClr w14:val="tx1"/>
            </w14:solidFill>
          </w14:textFill>
        </w:rPr>
        <w:t>条</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争议解决</w:t>
      </w:r>
      <w:r>
        <w:rPr>
          <w:rFonts w:asci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约定处理。</w:t>
      </w:r>
    </w:p>
    <w:p>
      <w:pPr>
        <w:pStyle w:val="2"/>
        <w:rPr>
          <w:color w:val="000000" w:themeColor="text1"/>
          <w:highlight w:val="none"/>
          <w14:textFill>
            <w14:solidFill>
              <w14:schemeClr w14:val="tx1"/>
            </w14:solidFill>
          </w14:textFill>
        </w:rPr>
      </w:pPr>
    </w:p>
    <w:p>
      <w:pPr>
        <w:pStyle w:val="200"/>
        <w:rPr>
          <w:color w:val="000000" w:themeColor="text1"/>
          <w:highlight w:val="none"/>
          <w14:textFill>
            <w14:solidFill>
              <w14:schemeClr w14:val="tx1"/>
            </w14:solidFill>
          </w14:textFill>
        </w:rPr>
      </w:pPr>
      <w:bookmarkStart w:id="1440" w:name="_Toc14418"/>
      <w:bookmarkStart w:id="1441" w:name="_Toc5237"/>
      <w:bookmarkStart w:id="1442" w:name="_Toc13706"/>
      <w:bookmarkStart w:id="1443" w:name="_Toc54862350"/>
      <w:bookmarkStart w:id="1444" w:name="_Toc102746148"/>
      <w:bookmarkStart w:id="1445" w:name="_Toc17010"/>
      <w:bookmarkStart w:id="1446" w:name="_Toc16588"/>
      <w:bookmarkStart w:id="1447" w:name="_Toc13305"/>
      <w:bookmarkStart w:id="1448" w:name="_Toc30606"/>
      <w:bookmarkStart w:id="1449" w:name="_Toc17213"/>
      <w:r>
        <w:rPr>
          <w:rFonts w:hint="eastAsia"/>
          <w:color w:val="000000" w:themeColor="text1"/>
          <w:highlight w:val="none"/>
          <w14:textFill>
            <w14:solidFill>
              <w14:schemeClr w14:val="tx1"/>
            </w14:solidFill>
          </w14:textFill>
        </w:rPr>
        <w:t>第20条 争议解决</w:t>
      </w:r>
      <w:bookmarkEnd w:id="1440"/>
      <w:bookmarkEnd w:id="1441"/>
      <w:bookmarkEnd w:id="1442"/>
      <w:bookmarkEnd w:id="1443"/>
      <w:bookmarkEnd w:id="1444"/>
      <w:bookmarkEnd w:id="1445"/>
      <w:bookmarkEnd w:id="1446"/>
      <w:bookmarkEnd w:id="1447"/>
      <w:bookmarkEnd w:id="1448"/>
      <w:bookmarkEnd w:id="1449"/>
    </w:p>
    <w:p>
      <w:pPr>
        <w:pStyle w:val="196"/>
        <w:spacing w:before="156"/>
        <w:ind w:firstLine="241"/>
        <w:rPr>
          <w:color w:val="000000" w:themeColor="text1"/>
          <w:highlight w:val="none"/>
          <w14:textFill>
            <w14:solidFill>
              <w14:schemeClr w14:val="tx1"/>
            </w14:solidFill>
          </w14:textFill>
        </w:rPr>
      </w:pPr>
      <w:bookmarkStart w:id="1450" w:name="_Toc102746149"/>
      <w:r>
        <w:rPr>
          <w:rFonts w:hint="eastAsia"/>
          <w:color w:val="000000" w:themeColor="text1"/>
          <w:highlight w:val="none"/>
          <w14:textFill>
            <w14:solidFill>
              <w14:schemeClr w14:val="tx1"/>
            </w14:solidFill>
          </w14:textFill>
        </w:rPr>
        <w:t>20.3 争议评审</w:t>
      </w:r>
      <w:bookmarkEnd w:id="1450"/>
    </w:p>
    <w:p>
      <w:pPr>
        <w:snapToGrid w:val="0"/>
        <w:spacing w:line="360" w:lineRule="auto"/>
        <w:ind w:firstLine="600"/>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本合同不适用争议评审。</w:t>
      </w:r>
    </w:p>
    <w:p>
      <w:pPr>
        <w:pStyle w:val="196"/>
        <w:spacing w:before="156"/>
        <w:ind w:firstLine="241"/>
        <w:rPr>
          <w:color w:val="000000" w:themeColor="text1"/>
          <w:highlight w:val="none"/>
          <w14:textFill>
            <w14:solidFill>
              <w14:schemeClr w14:val="tx1"/>
            </w14:solidFill>
          </w14:textFill>
        </w:rPr>
      </w:pPr>
      <w:bookmarkStart w:id="1451" w:name="_Toc102746150"/>
      <w:r>
        <w:rPr>
          <w:rFonts w:hint="eastAsia"/>
          <w:color w:val="000000" w:themeColor="text1"/>
          <w:highlight w:val="none"/>
          <w14:textFill>
            <w14:solidFill>
              <w14:schemeClr w14:val="tx1"/>
            </w14:solidFill>
          </w14:textFill>
        </w:rPr>
        <w:t>20.4 仲裁或诉讼</w:t>
      </w:r>
      <w:bookmarkEnd w:id="1451"/>
    </w:p>
    <w:p>
      <w:pPr>
        <w:snapToGrid w:val="0"/>
        <w:spacing w:line="30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因合同及合同有关事项发生的争议，按下列第</w:t>
      </w:r>
      <w:r>
        <w:rPr>
          <w:rFonts w:hint="eastAsia" w:ascii="宋体"/>
          <w:color w:val="000000" w:themeColor="text1"/>
          <w:sz w:val="24"/>
          <w:szCs w:val="28"/>
          <w:highlight w:val="none"/>
          <w:u w:val="single"/>
          <w14:textFill>
            <w14:solidFill>
              <w14:schemeClr w14:val="tx1"/>
            </w14:solidFill>
          </w14:textFill>
        </w:rPr>
        <w:t xml:space="preserve">  （2）  </w:t>
      </w:r>
      <w:r>
        <w:rPr>
          <w:rFonts w:hint="eastAsia" w:ascii="宋体"/>
          <w:color w:val="000000" w:themeColor="text1"/>
          <w:sz w:val="24"/>
          <w:szCs w:val="28"/>
          <w:highlight w:val="none"/>
          <w14:textFill>
            <w14:solidFill>
              <w14:schemeClr w14:val="tx1"/>
            </w14:solidFill>
          </w14:textFill>
        </w:rPr>
        <w:t>种方式解决：</w:t>
      </w:r>
    </w:p>
    <w:p>
      <w:pPr>
        <w:snapToGrid w:val="0"/>
        <w:spacing w:line="30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（1）向</w:t>
      </w:r>
      <w:r>
        <w:rPr>
          <w:rFonts w:hint="eastAsia" w:ascii="宋体"/>
          <w:color w:val="000000" w:themeColor="text1"/>
          <w:sz w:val="24"/>
          <w:szCs w:val="28"/>
          <w:highlight w:val="none"/>
          <w:u w:val="single"/>
          <w14:textFill>
            <w14:solidFill>
              <w14:schemeClr w14:val="tx1"/>
            </w14:solidFill>
          </w14:textFill>
        </w:rPr>
        <w:t xml:space="preserve">  /  </w:t>
      </w:r>
      <w:r>
        <w:rPr>
          <w:rFonts w:hint="eastAsia" w:ascii="宋体"/>
          <w:color w:val="000000" w:themeColor="text1"/>
          <w:sz w:val="24"/>
          <w:szCs w:val="28"/>
          <w:highlight w:val="none"/>
          <w14:textFill>
            <w14:solidFill>
              <w14:schemeClr w14:val="tx1"/>
            </w14:solidFill>
          </w14:textFill>
        </w:rPr>
        <w:t>仲裁委员会申请仲裁；</w:t>
      </w:r>
    </w:p>
    <w:p>
      <w:pPr>
        <w:snapToGrid w:val="0"/>
        <w:spacing w:line="300" w:lineRule="auto"/>
        <w:ind w:firstLine="601"/>
        <w:rPr>
          <w:rFonts w:ascii="宋体"/>
          <w:color w:val="000000" w:themeColor="text1"/>
          <w:sz w:val="24"/>
          <w:szCs w:val="28"/>
          <w:highlight w:val="none"/>
          <w14:textFill>
            <w14:solidFill>
              <w14:schemeClr w14:val="tx1"/>
            </w14:solidFill>
          </w14:textFill>
        </w:rPr>
      </w:pPr>
      <w:r>
        <w:rPr>
          <w:rFonts w:hint="eastAsia" w:ascii="宋体"/>
          <w:color w:val="000000" w:themeColor="text1"/>
          <w:sz w:val="24"/>
          <w:szCs w:val="28"/>
          <w:highlight w:val="none"/>
          <w14:textFill>
            <w14:solidFill>
              <w14:schemeClr w14:val="tx1"/>
            </w14:solidFill>
          </w14:textFill>
        </w:rPr>
        <w:t>（2）向</w:t>
      </w:r>
      <w:r>
        <w:rPr>
          <w:rFonts w:hint="eastAsia" w:ascii="宋体"/>
          <w:color w:val="000000" w:themeColor="text1"/>
          <w:sz w:val="24"/>
          <w:szCs w:val="28"/>
          <w:highlight w:val="none"/>
          <w:u w:val="single"/>
          <w14:textFill>
            <w14:solidFill>
              <w14:schemeClr w14:val="tx1"/>
            </w14:solidFill>
          </w14:textFill>
        </w:rPr>
        <w:t xml:space="preserve"> 项目所在地人民法院</w:t>
      </w:r>
      <w:r>
        <w:rPr>
          <w:rFonts w:hint="eastAsia" w:ascii="宋体"/>
          <w:color w:val="000000" w:themeColor="text1"/>
          <w:sz w:val="24"/>
          <w:szCs w:val="28"/>
          <w:highlight w:val="none"/>
          <w14:textFill>
            <w14:solidFill>
              <w14:schemeClr w14:val="tx1"/>
            </w14:solidFill>
          </w14:textFill>
        </w:rPr>
        <w:t>起诉。</w:t>
      </w:r>
    </w:p>
    <w:p>
      <w:pPr>
        <w:pStyle w:val="4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452" w:name="_Toc15225"/>
      <w:bookmarkStart w:id="1453" w:name="_Toc54862351"/>
      <w:bookmarkStart w:id="1454" w:name="_Toc12199"/>
      <w:bookmarkStart w:id="1455" w:name="_Toc30767"/>
      <w:bookmarkStart w:id="1456" w:name="_Toc23285"/>
      <w:bookmarkStart w:id="1457" w:name="_Toc12512"/>
      <w:bookmarkStart w:id="1458" w:name="_Toc10552"/>
      <w:bookmarkStart w:id="1459" w:name="_Toc102746151"/>
      <w:bookmarkStart w:id="1460" w:name="_Toc24993"/>
      <w:bookmarkStart w:id="1461" w:name="_Toc3998"/>
      <w:r>
        <w:rPr>
          <w:rFonts w:hint="eastAsia"/>
          <w:color w:val="000000" w:themeColor="text1"/>
          <w:highlight w:val="none"/>
          <w14:textFill>
            <w14:solidFill>
              <w14:schemeClr w14:val="tx1"/>
            </w14:solidFill>
          </w14:textFill>
        </w:rPr>
        <w:t>第四部分 合同附件</w:t>
      </w:r>
      <w:bookmarkEnd w:id="1452"/>
      <w:bookmarkEnd w:id="1453"/>
      <w:bookmarkEnd w:id="1454"/>
      <w:bookmarkEnd w:id="1455"/>
      <w:bookmarkEnd w:id="1456"/>
      <w:bookmarkEnd w:id="1457"/>
      <w:bookmarkEnd w:id="1458"/>
      <w:bookmarkEnd w:id="1459"/>
      <w:bookmarkEnd w:id="1460"/>
      <w:bookmarkEnd w:id="1461"/>
    </w:p>
    <w:p>
      <w:pPr>
        <w:snapToGrid w:val="0"/>
        <w:spacing w:line="360" w:lineRule="auto"/>
        <w:rPr>
          <w:rFonts w:ascii="宋体"/>
          <w:color w:val="000000" w:themeColor="text1"/>
          <w:sz w:val="28"/>
          <w:szCs w:val="28"/>
          <w:highlight w:val="none"/>
          <w14:textFill>
            <w14:solidFill>
              <w14:schemeClr w14:val="tx1"/>
            </w14:solidFill>
          </w14:textFill>
        </w:rPr>
      </w:pP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2" w:name="_Toc8203"/>
      <w:r>
        <w:rPr>
          <w:rFonts w:ascii="宋体"/>
          <w:color w:val="000000" w:themeColor="text1"/>
          <w:sz w:val="24"/>
          <w:szCs w:val="24"/>
          <w:highlight w:val="none"/>
          <w14:textFill>
            <w14:solidFill>
              <w14:schemeClr w14:val="tx1"/>
            </w14:solidFill>
          </w14:textFill>
        </w:rPr>
        <w:t>附件1：</w:t>
      </w:r>
      <w:bookmarkEnd w:id="1462"/>
      <w:r>
        <w:rPr>
          <w:rFonts w:ascii="宋体"/>
          <w:color w:val="000000" w:themeColor="text1"/>
          <w:sz w:val="24"/>
          <w:szCs w:val="24"/>
          <w:highlight w:val="none"/>
          <w14:textFill>
            <w14:solidFill>
              <w14:schemeClr w14:val="tx1"/>
            </w14:solidFill>
          </w14:textFill>
        </w:rPr>
        <w:t>合同清单</w:t>
      </w:r>
      <w:r>
        <w:rPr>
          <w:rFonts w:hint="eastAsia" w:ascii="宋体"/>
          <w:color w:val="000000" w:themeColor="text1"/>
          <w:sz w:val="24"/>
          <w:szCs w:val="24"/>
          <w:highlight w:val="none"/>
          <w14:textFill>
            <w14:solidFill>
              <w14:schemeClr w14:val="tx1"/>
            </w14:solidFill>
          </w14:textFill>
        </w:rPr>
        <w:t>（即含清单的投标报价文件）</w:t>
      </w:r>
      <w:r>
        <w:rPr>
          <w:rFonts w:ascii="宋体"/>
          <w:color w:val="000000" w:themeColor="text1"/>
          <w:sz w:val="24"/>
          <w:szCs w:val="24"/>
          <w:highlight w:val="none"/>
          <w14:textFill>
            <w14:solidFill>
              <w14:schemeClr w14:val="tx1"/>
            </w14:solidFill>
          </w14:textFill>
        </w:rPr>
        <w:t>及结算原则</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3" w:name="_Toc32071"/>
      <w:r>
        <w:rPr>
          <w:rFonts w:ascii="宋体"/>
          <w:color w:val="000000" w:themeColor="text1"/>
          <w:sz w:val="24"/>
          <w:szCs w:val="24"/>
          <w:highlight w:val="none"/>
          <w14:textFill>
            <w14:solidFill>
              <w14:schemeClr w14:val="tx1"/>
            </w14:solidFill>
          </w14:textFill>
        </w:rPr>
        <w:t>附件2：</w:t>
      </w:r>
      <w:r>
        <w:rPr>
          <w:rFonts w:hint="eastAsia" w:ascii="宋体"/>
          <w:color w:val="000000" w:themeColor="text1"/>
          <w:sz w:val="24"/>
          <w:szCs w:val="24"/>
          <w:highlight w:val="none"/>
          <w14:textFill>
            <w14:solidFill>
              <w14:schemeClr w14:val="tx1"/>
            </w14:solidFill>
          </w14:textFill>
        </w:rPr>
        <w:t>《</w:t>
      </w:r>
      <w:r>
        <w:rPr>
          <w:rFonts w:ascii="宋体"/>
          <w:color w:val="000000" w:themeColor="text1"/>
          <w:sz w:val="24"/>
          <w:szCs w:val="24"/>
          <w:highlight w:val="none"/>
          <w14:textFill>
            <w14:solidFill>
              <w14:schemeClr w14:val="tx1"/>
            </w14:solidFill>
          </w14:textFill>
        </w:rPr>
        <w:t>发包人要求</w:t>
      </w:r>
      <w:bookmarkEnd w:id="1463"/>
      <w:r>
        <w:rPr>
          <w:rFonts w:hint="eastAsia" w:asci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4" w:name="_Toc5900"/>
      <w:r>
        <w:rPr>
          <w:rFonts w:ascii="宋体"/>
          <w:color w:val="000000" w:themeColor="text1"/>
          <w:sz w:val="24"/>
          <w:szCs w:val="24"/>
          <w:highlight w:val="none"/>
          <w14:textFill>
            <w14:solidFill>
              <w14:schemeClr w14:val="tx1"/>
            </w14:solidFill>
          </w14:textFill>
        </w:rPr>
        <w:t>附件3：发包人供应材料设备一览表</w:t>
      </w:r>
      <w:bookmarkEnd w:id="1464"/>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5" w:name="_Toc16192"/>
      <w:r>
        <w:rPr>
          <w:rFonts w:ascii="宋体"/>
          <w:color w:val="000000" w:themeColor="text1"/>
          <w:sz w:val="24"/>
          <w:szCs w:val="24"/>
          <w:highlight w:val="none"/>
          <w14:textFill>
            <w14:solidFill>
              <w14:schemeClr w14:val="tx1"/>
            </w14:solidFill>
          </w14:textFill>
        </w:rPr>
        <w:t>附件4：工程质量保修书</w:t>
      </w:r>
      <w:bookmarkEnd w:id="1465"/>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6" w:name="_Toc2124"/>
      <w:r>
        <w:rPr>
          <w:rFonts w:ascii="宋体"/>
          <w:color w:val="000000" w:themeColor="text1"/>
          <w:sz w:val="24"/>
          <w:szCs w:val="24"/>
          <w:highlight w:val="none"/>
          <w14:textFill>
            <w14:solidFill>
              <w14:schemeClr w14:val="tx1"/>
            </w14:solidFill>
          </w14:textFill>
        </w:rPr>
        <w:t>附件5：</w:t>
      </w:r>
      <w:r>
        <w:rPr>
          <w:rFonts w:hint="eastAsia" w:ascii="宋体"/>
          <w:color w:val="000000" w:themeColor="text1"/>
          <w:sz w:val="24"/>
          <w:szCs w:val="24"/>
          <w:highlight w:val="none"/>
          <w14:textFill>
            <w14:solidFill>
              <w14:schemeClr w14:val="tx1"/>
            </w14:solidFill>
          </w14:textFill>
        </w:rPr>
        <w:t>拟投入本工程的</w:t>
      </w:r>
      <w:r>
        <w:rPr>
          <w:rFonts w:ascii="宋体"/>
          <w:color w:val="000000" w:themeColor="text1"/>
          <w:sz w:val="24"/>
          <w:szCs w:val="24"/>
          <w:highlight w:val="none"/>
          <w14:textFill>
            <w14:solidFill>
              <w14:schemeClr w14:val="tx1"/>
            </w14:solidFill>
          </w14:textFill>
        </w:rPr>
        <w:t>主要</w:t>
      </w:r>
      <w:r>
        <w:rPr>
          <w:rFonts w:hint="eastAsia" w:ascii="宋体"/>
          <w:color w:val="000000" w:themeColor="text1"/>
          <w:sz w:val="24"/>
          <w:szCs w:val="24"/>
          <w:highlight w:val="none"/>
          <w14:textFill>
            <w14:solidFill>
              <w14:schemeClr w14:val="tx1"/>
            </w14:solidFill>
          </w14:textFill>
        </w:rPr>
        <w:t>施工设备表</w:t>
      </w:r>
      <w:bookmarkEnd w:id="1466"/>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7" w:name="_Toc16800"/>
      <w:r>
        <w:rPr>
          <w:rFonts w:ascii="宋体"/>
          <w:color w:val="000000" w:themeColor="text1"/>
          <w:sz w:val="24"/>
          <w:szCs w:val="24"/>
          <w:highlight w:val="none"/>
          <w14:textFill>
            <w14:solidFill>
              <w14:schemeClr w14:val="tx1"/>
            </w14:solidFill>
          </w14:textFill>
        </w:rPr>
        <w:t>附件6：</w:t>
      </w:r>
      <w:r>
        <w:rPr>
          <w:rFonts w:hint="eastAsia" w:ascii="宋体"/>
          <w:color w:val="000000" w:themeColor="text1"/>
          <w:sz w:val="24"/>
          <w:szCs w:val="24"/>
          <w:highlight w:val="none"/>
          <w14:textFill>
            <w14:solidFill>
              <w14:schemeClr w14:val="tx1"/>
            </w14:solidFill>
          </w14:textFill>
        </w:rPr>
        <w:t>承包人主要管理人员表</w:t>
      </w:r>
      <w:bookmarkEnd w:id="1467"/>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8" w:name="_Toc3050"/>
      <w:r>
        <w:rPr>
          <w:rFonts w:hint="eastAsia" w:ascii="宋体"/>
          <w:color w:val="000000" w:themeColor="text1"/>
          <w:sz w:val="24"/>
          <w:szCs w:val="24"/>
          <w:highlight w:val="none"/>
          <w14:textFill>
            <w14:solidFill>
              <w14:schemeClr w14:val="tx1"/>
            </w14:solidFill>
          </w14:textFill>
        </w:rPr>
        <w:t>附件</w:t>
      </w:r>
      <w:r>
        <w:rPr>
          <w:rFonts w:ascii="宋体"/>
          <w:color w:val="000000" w:themeColor="text1"/>
          <w:sz w:val="24"/>
          <w:szCs w:val="24"/>
          <w:highlight w:val="none"/>
          <w14:textFill>
            <w14:solidFill>
              <w14:schemeClr w14:val="tx1"/>
            </w14:solidFill>
          </w14:textFill>
        </w:rPr>
        <w:t>7</w:t>
      </w:r>
      <w:r>
        <w:rPr>
          <w:rFonts w:hint="eastAsia" w:ascii="宋体"/>
          <w:color w:val="000000" w:themeColor="text1"/>
          <w:sz w:val="24"/>
          <w:szCs w:val="24"/>
          <w:highlight w:val="none"/>
          <w14:textFill>
            <w14:solidFill>
              <w14:schemeClr w14:val="tx1"/>
            </w14:solidFill>
          </w14:textFill>
        </w:rPr>
        <w:t>：南沙区建设工程项目廉洁责任合同</w:t>
      </w:r>
      <w:bookmarkEnd w:id="1468"/>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69" w:name="_Toc28462"/>
      <w:r>
        <w:rPr>
          <w:rFonts w:hint="eastAsia" w:ascii="宋体"/>
          <w:color w:val="000000" w:themeColor="text1"/>
          <w:sz w:val="24"/>
          <w:szCs w:val="24"/>
          <w:highlight w:val="none"/>
          <w14:textFill>
            <w14:solidFill>
              <w14:schemeClr w14:val="tx1"/>
            </w14:solidFill>
          </w14:textFill>
        </w:rPr>
        <w:t>附件</w:t>
      </w:r>
      <w:r>
        <w:rPr>
          <w:rFonts w:ascii="宋体"/>
          <w:color w:val="000000" w:themeColor="text1"/>
          <w:sz w:val="24"/>
          <w:szCs w:val="24"/>
          <w:highlight w:val="none"/>
          <w14:textFill>
            <w14:solidFill>
              <w14:schemeClr w14:val="tx1"/>
            </w14:solidFill>
          </w14:textFill>
        </w:rPr>
        <w:t>8</w:t>
      </w:r>
      <w:r>
        <w:rPr>
          <w:rFonts w:hint="eastAsia" w:ascii="宋体"/>
          <w:color w:val="000000" w:themeColor="text1"/>
          <w:sz w:val="24"/>
          <w:szCs w:val="24"/>
          <w:highlight w:val="none"/>
          <w14:textFill>
            <w14:solidFill>
              <w14:schemeClr w14:val="tx1"/>
            </w14:solidFill>
          </w14:textFill>
        </w:rPr>
        <w:t>：中标通知书</w:t>
      </w:r>
      <w:bookmarkEnd w:id="1469"/>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70" w:name="_Toc20522"/>
      <w:r>
        <w:rPr>
          <w:rFonts w:hint="eastAsia" w:ascii="宋体"/>
          <w:color w:val="000000" w:themeColor="text1"/>
          <w:sz w:val="24"/>
          <w:szCs w:val="24"/>
          <w:highlight w:val="none"/>
          <w14:textFill>
            <w14:solidFill>
              <w14:schemeClr w14:val="tx1"/>
            </w14:solidFill>
          </w14:textFill>
        </w:rPr>
        <w:t>附件</w:t>
      </w:r>
      <w:r>
        <w:rPr>
          <w:rFonts w:ascii="宋体"/>
          <w:color w:val="000000" w:themeColor="text1"/>
          <w:sz w:val="24"/>
          <w:szCs w:val="24"/>
          <w:highlight w:val="none"/>
          <w14:textFill>
            <w14:solidFill>
              <w14:schemeClr w14:val="tx1"/>
            </w14:solidFill>
          </w14:textFill>
        </w:rPr>
        <w:t>9</w:t>
      </w:r>
      <w:r>
        <w:rPr>
          <w:rFonts w:hint="eastAsia" w:ascii="宋体"/>
          <w:color w:val="000000" w:themeColor="text1"/>
          <w:sz w:val="24"/>
          <w:szCs w:val="24"/>
          <w:highlight w:val="none"/>
          <w14:textFill>
            <w14:solidFill>
              <w14:schemeClr w14:val="tx1"/>
            </w14:solidFill>
          </w14:textFill>
        </w:rPr>
        <w:t>：承诺函、履约银行保函</w:t>
      </w:r>
      <w:bookmarkEnd w:id="1470"/>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71" w:name="_Toc22860"/>
      <w:r>
        <w:rPr>
          <w:rFonts w:hint="eastAsia" w:ascii="宋体"/>
          <w:color w:val="000000" w:themeColor="text1"/>
          <w:sz w:val="24"/>
          <w:szCs w:val="24"/>
          <w:highlight w:val="none"/>
          <w14:textFill>
            <w14:solidFill>
              <w14:schemeClr w14:val="tx1"/>
            </w14:solidFill>
          </w14:textFill>
        </w:rPr>
        <w:t>附件</w:t>
      </w:r>
      <w:r>
        <w:rPr>
          <w:rFonts w:ascii="宋体"/>
          <w:color w:val="000000" w:themeColor="text1"/>
          <w:sz w:val="24"/>
          <w:szCs w:val="24"/>
          <w:highlight w:val="none"/>
          <w14:textFill>
            <w14:solidFill>
              <w14:schemeClr w14:val="tx1"/>
            </w14:solidFill>
          </w14:textFill>
        </w:rPr>
        <w:t>10</w:t>
      </w:r>
      <w:r>
        <w:rPr>
          <w:rFonts w:hint="eastAsia" w:ascii="宋体"/>
          <w:color w:val="000000" w:themeColor="text1"/>
          <w:sz w:val="24"/>
          <w:szCs w:val="24"/>
          <w:highlight w:val="none"/>
          <w14:textFill>
            <w14:solidFill>
              <w14:schemeClr w14:val="tx1"/>
            </w14:solidFill>
          </w14:textFill>
        </w:rPr>
        <w:t>：招标答疑及澄清</w:t>
      </w:r>
      <w:bookmarkEnd w:id="1471"/>
    </w:p>
    <w:p>
      <w:pPr>
        <w:adjustRightInd w:val="0"/>
        <w:snapToGrid w:val="0"/>
        <w:spacing w:line="360" w:lineRule="auto"/>
        <w:ind w:firstLine="480" w:firstLineChars="200"/>
        <w:rPr>
          <w:rFonts w:ascii="宋体"/>
          <w:i/>
          <w:iCs/>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附件1</w:t>
      </w:r>
      <w:r>
        <w:rPr>
          <w:rFonts w:ascii="宋体"/>
          <w:color w:val="000000" w:themeColor="text1"/>
          <w:sz w:val="24"/>
          <w:szCs w:val="24"/>
          <w:highlight w:val="none"/>
          <w14:textFill>
            <w14:solidFill>
              <w14:schemeClr w14:val="tx1"/>
            </w14:solidFill>
          </w14:textFill>
        </w:rPr>
        <w:t>1</w:t>
      </w:r>
      <w:r>
        <w:rPr>
          <w:rFonts w:hint="eastAsia" w:ascii="宋体"/>
          <w:color w:val="000000" w:themeColor="text1"/>
          <w:sz w:val="24"/>
          <w:szCs w:val="24"/>
          <w:highlight w:val="none"/>
          <w14:textFill>
            <w14:solidFill>
              <w14:schemeClr w14:val="tx1"/>
            </w14:solidFill>
          </w14:textFill>
        </w:rPr>
        <w:t>：联合体协议书</w:t>
      </w:r>
      <w:r>
        <w:rPr>
          <w:rFonts w:hint="eastAsia" w:ascii="宋体"/>
          <w:i/>
          <w:iCs/>
          <w:color w:val="000000" w:themeColor="text1"/>
          <w:sz w:val="24"/>
          <w:szCs w:val="24"/>
          <w:highlight w:val="none"/>
          <w14:textFill>
            <w14:solidFill>
              <w14:schemeClr w14:val="tx1"/>
            </w14:solidFill>
          </w14:textFill>
        </w:rPr>
        <w:t>（如有则附，如无删除）</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bookmarkStart w:id="1472" w:name="_Toc4079"/>
      <w:r>
        <w:rPr>
          <w:rFonts w:hint="eastAsia" w:ascii="宋体"/>
          <w:color w:val="000000" w:themeColor="text1"/>
          <w:sz w:val="24"/>
          <w:szCs w:val="24"/>
          <w:highlight w:val="none"/>
          <w14:textFill>
            <w14:solidFill>
              <w14:schemeClr w14:val="tx1"/>
            </w14:solidFill>
          </w14:textFill>
        </w:rPr>
        <w:t>附件</w:t>
      </w:r>
      <w:r>
        <w:rPr>
          <w:rFonts w:ascii="宋体"/>
          <w:color w:val="000000" w:themeColor="text1"/>
          <w:sz w:val="24"/>
          <w:szCs w:val="24"/>
          <w:highlight w:val="none"/>
          <w14:textFill>
            <w14:solidFill>
              <w14:schemeClr w14:val="tx1"/>
            </w14:solidFill>
          </w14:textFill>
        </w:rPr>
        <w:t>12</w:t>
      </w:r>
      <w:r>
        <w:rPr>
          <w:rFonts w:hint="eastAsia" w:ascii="宋体"/>
          <w:color w:val="000000" w:themeColor="text1"/>
          <w:sz w:val="24"/>
          <w:szCs w:val="24"/>
          <w:highlight w:val="none"/>
          <w14:textFill>
            <w14:solidFill>
              <w14:schemeClr w14:val="tx1"/>
            </w14:solidFill>
          </w14:textFill>
        </w:rPr>
        <w:t>：可行性研究报告批复</w:t>
      </w:r>
      <w:bookmarkEnd w:id="1472"/>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附件</w:t>
      </w:r>
      <w:r>
        <w:rPr>
          <w:rFonts w:ascii="宋体"/>
          <w:color w:val="000000" w:themeColor="text1"/>
          <w:sz w:val="24"/>
          <w:szCs w:val="24"/>
          <w:highlight w:val="none"/>
          <w14:textFill>
            <w14:solidFill>
              <w14:schemeClr w14:val="tx1"/>
            </w14:solidFill>
          </w14:textFill>
        </w:rPr>
        <w:t>13</w:t>
      </w:r>
      <w:r>
        <w:rPr>
          <w:rFonts w:hint="eastAsia" w:ascii="宋体"/>
          <w:color w:val="000000" w:themeColor="text1"/>
          <w:sz w:val="24"/>
          <w:szCs w:val="24"/>
          <w:highlight w:val="none"/>
          <w14:textFill>
            <w14:solidFill>
              <w14:schemeClr w14:val="tx1"/>
            </w14:solidFill>
          </w14:textFill>
        </w:rPr>
        <w:t>：发改局确定本项目建设管理单位的复函</w:t>
      </w:r>
    </w:p>
    <w:p>
      <w:pPr>
        <w:pStyle w:val="23"/>
        <w:snapToGrid w:val="0"/>
        <w:spacing w:line="360" w:lineRule="auto"/>
        <w:rPr>
          <w:color w:val="000000" w:themeColor="text1"/>
          <w:sz w:val="28"/>
          <w:szCs w:val="28"/>
          <w:highlight w:val="none"/>
          <w14:textFill>
            <w14:solidFill>
              <w14:schemeClr w14:val="tx1"/>
            </w14:solidFill>
          </w14:textFill>
        </w:rPr>
      </w:pPr>
    </w:p>
    <w:p>
      <w:pPr>
        <w:snapToGrid w:val="0"/>
        <w:spacing w:line="360" w:lineRule="auto"/>
        <w:rPr>
          <w:rFonts w:ascii="宋体"/>
          <w:color w:val="000000" w:themeColor="text1"/>
          <w:sz w:val="28"/>
          <w:szCs w:val="28"/>
          <w:highlight w:val="none"/>
          <w14:textFill>
            <w14:solidFill>
              <w14:schemeClr w14:val="tx1"/>
            </w14:solidFill>
          </w14:textFill>
        </w:rPr>
      </w:pPr>
    </w:p>
    <w:p>
      <w:pPr>
        <w:snapToGrid w:val="0"/>
        <w:spacing w:line="360" w:lineRule="auto"/>
        <w:rPr>
          <w:rFonts w:ascii="宋体"/>
          <w:color w:val="000000" w:themeColor="text1"/>
          <w:sz w:val="28"/>
          <w:szCs w:val="28"/>
          <w:highlight w:val="none"/>
          <w14:textFill>
            <w14:solidFill>
              <w14:schemeClr w14:val="tx1"/>
            </w14:solidFill>
          </w14:textFill>
        </w:rPr>
      </w:pPr>
    </w:p>
    <w:p>
      <w:pPr>
        <w:snapToGrid w:val="0"/>
        <w:spacing w:line="360" w:lineRule="auto"/>
        <w:rPr>
          <w:rFonts w:ascii="宋体"/>
          <w:color w:val="000000" w:themeColor="text1"/>
          <w:sz w:val="28"/>
          <w:szCs w:val="28"/>
          <w:highlight w:val="none"/>
          <w14:textFill>
            <w14:solidFill>
              <w14:schemeClr w14:val="tx1"/>
            </w14:solidFill>
          </w14:textFill>
        </w:rPr>
      </w:pPr>
    </w:p>
    <w:p>
      <w:pPr>
        <w:pStyle w:val="5"/>
        <w:rPr>
          <w:color w:val="000000" w:themeColor="text1"/>
          <w:sz w:val="36"/>
          <w:szCs w:val="36"/>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473" w:name="_Toc18934"/>
      <w:bookmarkStart w:id="1474" w:name="_Toc19333"/>
      <w:bookmarkStart w:id="1475" w:name="_Toc18238"/>
      <w:bookmarkStart w:id="1476" w:name="_Toc16670"/>
      <w:bookmarkStart w:id="1477" w:name="_Toc14747"/>
      <w:bookmarkStart w:id="1478" w:name="_Toc32644"/>
      <w:bookmarkStart w:id="1479" w:name="_Toc20229"/>
      <w:bookmarkStart w:id="1480" w:name="_Toc6759"/>
      <w:bookmarkStart w:id="1481" w:name="_Toc102746152"/>
      <w:r>
        <w:rPr>
          <w:rFonts w:hint="eastAsia"/>
          <w:color w:val="000000" w:themeColor="text1"/>
          <w:highlight w:val="none"/>
          <w14:textFill>
            <w14:solidFill>
              <w14:schemeClr w14:val="tx1"/>
            </w14:solidFill>
          </w14:textFill>
        </w:rPr>
        <w:t>附件1：合同清单</w:t>
      </w:r>
      <w:bookmarkEnd w:id="1473"/>
      <w:bookmarkEnd w:id="1474"/>
      <w:bookmarkEnd w:id="1475"/>
      <w:bookmarkEnd w:id="1476"/>
      <w:bookmarkEnd w:id="1477"/>
      <w:bookmarkEnd w:id="1478"/>
      <w:bookmarkEnd w:id="1479"/>
      <w:bookmarkEnd w:id="1480"/>
      <w:bookmarkStart w:id="1482" w:name="_Hlk102744809"/>
      <w:r>
        <w:rPr>
          <w:rFonts w:hint="eastAsia"/>
          <w:color w:val="000000" w:themeColor="text1"/>
          <w:highlight w:val="none"/>
          <w14:textFill>
            <w14:solidFill>
              <w14:schemeClr w14:val="tx1"/>
            </w14:solidFill>
          </w14:textFill>
        </w:rPr>
        <w:t>（即含清单的投标报价文件）</w:t>
      </w:r>
      <w:bookmarkEnd w:id="1482"/>
      <w:r>
        <w:rPr>
          <w:rFonts w:hint="eastAsia"/>
          <w:color w:val="000000" w:themeColor="text1"/>
          <w:highlight w:val="none"/>
          <w14:textFill>
            <w14:solidFill>
              <w14:schemeClr w14:val="tx1"/>
            </w14:solidFill>
          </w14:textFill>
        </w:rPr>
        <w:t>及结算原则</w:t>
      </w:r>
      <w:bookmarkEnd w:id="1481"/>
    </w:p>
    <w:p>
      <w:pPr>
        <w:numPr>
          <w:ilvl w:val="0"/>
          <w:numId w:val="11"/>
        </w:numPr>
        <w:spacing w:line="360" w:lineRule="auto"/>
        <w:ind w:firstLine="525" w:firstLineChars="21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合同价格及清单（即含清单的投标报价文件）</w:t>
      </w:r>
    </w:p>
    <w:p>
      <w:pPr>
        <w:pStyle w:val="23"/>
        <w:rPr>
          <w:rFonts w:hAnsi="宋体" w:cs="宋体"/>
          <w:b/>
          <w:bCs/>
          <w:color w:val="000000" w:themeColor="text1"/>
          <w:sz w:val="24"/>
          <w:highlight w:val="none"/>
          <w14:textFill>
            <w14:solidFill>
              <w14:schemeClr w14:val="tx1"/>
            </w14:solidFill>
          </w14:textFill>
        </w:rPr>
      </w:pPr>
    </w:p>
    <w:p>
      <w:pPr>
        <w:pStyle w:val="23"/>
        <w:rPr>
          <w:color w:val="000000" w:themeColor="text1"/>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br w:type="page"/>
      </w:r>
    </w:p>
    <w:p>
      <w:pPr>
        <w:numPr>
          <w:ilvl w:val="0"/>
          <w:numId w:val="11"/>
        </w:numPr>
        <w:snapToGrid w:val="0"/>
        <w:spacing w:line="360" w:lineRule="auto"/>
        <w:ind w:firstLine="525" w:firstLineChars="218"/>
        <w:rPr>
          <w:rFonts w:ascii="宋体" w:hAnsi="宋体"/>
          <w:color w:val="000000" w:themeColor="text1"/>
          <w:sz w:val="24"/>
          <w:highlight w:val="none"/>
          <w14:textFill>
            <w14:solidFill>
              <w14:schemeClr w14:val="tx1"/>
            </w14:solidFill>
          </w14:textFill>
        </w:rPr>
      </w:pPr>
      <w:bookmarkStart w:id="1483" w:name="_Hlk102725727"/>
      <w:r>
        <w:rPr>
          <w:rFonts w:hint="eastAsia" w:ascii="宋体" w:hAnsi="宋体" w:cs="宋体"/>
          <w:b/>
          <w:bCs/>
          <w:color w:val="000000" w:themeColor="text1"/>
          <w:sz w:val="24"/>
          <w:highlight w:val="none"/>
          <w14:textFill>
            <w14:solidFill>
              <w14:schemeClr w14:val="tx1"/>
            </w14:solidFill>
          </w14:textFill>
        </w:rPr>
        <w:t>结算原则</w:t>
      </w:r>
    </w:p>
    <w:bookmarkEnd w:id="1483"/>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bookmarkStart w:id="1484" w:name="_Toc54862352"/>
      <w:bookmarkStart w:id="1485" w:name="_Hlk38571789"/>
      <w:r>
        <w:rPr>
          <w:rFonts w:hint="eastAsia" w:ascii="宋体" w:hAnsi="宋体"/>
          <w:color w:val="000000" w:themeColor="text1"/>
          <w:sz w:val="24"/>
          <w:highlight w:val="none"/>
          <w14:textFill>
            <w14:solidFill>
              <w14:schemeClr w14:val="tx1"/>
            </w14:solidFill>
          </w14:textFill>
        </w:rPr>
        <w:t>以签订的合同中确定的综合单价包干，工程量按实结算；按系数计算的措施项目费，以签订的合同中确定的系数不变，基数按实调整；按工程量计算的措施项目，以签订的合同中确定的综合单价包干，工程量按实结算；以“项”、“宗”等为单位的措施项目费，以合价包干，按“项”、“宗”等整项包干计取；按“项”、“宗”等为单位的其他项目费，以合价包干，按“项”、“宗”等整项包干计取。材料调差按相应的标准和种类进行调差；工程变更按变更结算原则进行结算。本项目其他费按费用包干，后续不予调整。</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(1)关于材料和人工调差：</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材料调差范围，以分项目大类别分，具体如下：钢材（含钢筋、钢铰线、钢板、大型钢构物、方钢、扁钢、工字钢、H型钢、槽钢、不锈钢）、水泥、商品混凝土、沥青混凝土、预应力砼管桩、铝材、光缆、保温材料、防水材料、门窗、中砂、细砂、回填砂土、航务水工用砂、毛石、碎石、石屑、电线、电缆、混凝土砌块、砂浆、花岗岩、仿花岗岩、透水砖、钢筋混凝土雨污水管、砼预制件（预制外墙板、预制楼梯、预制阳台、预制叠合板、预制柱、预制梁）；</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（b）人工调差范围：以递交投标文件截止日当天最新的信息价对应的人工费为基准。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主材和人工调差的触发条件：在实施期内，当广州市建设工程造价管理站当月发布的信息价涨落幅度超过递交投标文件截止日当天最新的信息价对应的材料价的10%，方可对超过部分的价差进行调整（例如：超过11%，只调1%，依此类推）；在实施期内，当广州市建设工程造价管理站当月发布的人工费价格涨落幅度超过递交投标文件截止日当天最新的信息价对应的人工费价格的10%，方可对超过部分的人工进行调整（例如：超过11%，只调1%，依此类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（d）材料和人工调差按月进行调整，调整费用不再下浮。</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（2）关于变更结算原则</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（a)变更综合单价确定原则：</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①若工程量清单已有相同的项目，则仍然采用原来的综合单价；</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②若工程量清单已有类似的项目，则仅通过调整单价分析内的工机料含量来调整综合单价。</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若工程量清单中既没有相同的项目，也没有可参照的类似项目，则按南沙区和招标人最新变更管理办法申报新项目综合单价，按投标下浮率[（招标控制价-投标总价）/招标控制价]下浮并经发包人审核确定后进行计价。其中人工、材料价格及机械台班单价按以下原则确定：</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ⅰ.若合同价格清单中已有相应人工、材料价格及机械台班的价格，则采用合同价格清单中已有的价格；</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ⅱ.若合同价格清单中无相应的人工、材料价格及机械台班，则采用变更时期（以变更申报时间为准）广州市建设工程造价管理站发布的《广州地区建设工程常用材料税前综合价格》确定；</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ⅲ.若合同价格清单及广州市建设工程造价管理站发布的《广州地区建设工程常用材料税前综合价格》中均无相应的材料价格及机械台班价格，则由承包人区分材料、机械的规格、品牌等，根据其实际采购价格并结合施工期间广州建筑市场价格报监理、发包人审核确定后，作为相应的结算价格，此部分材料及机械台班价格不再执行新增项目综合单价下浮的相关条款约定，按审核确定后的价格直接计入综合单价中。</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ⅳ. 变更工程项目的人工、材料、工程设备、机械台班采用合同价格清单中的价格且合同条款涉及价格调整的，计价时相应调整人工、材料、工程设备、机械台班价格。</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(b)变更措施项目费调整约定： </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①安全文明措施费，按系数计算的安全文明措施费，按申报时定额或相关规定的费率计取。</w:t>
      </w:r>
    </w:p>
    <w:p>
      <w:pPr>
        <w:snapToGrid w:val="0"/>
        <w:spacing w:line="336"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②按工程量计算的措施项目，按实际工程进行计算，单价按申报时根据定额或有关规定计取，并按投标下浮率[（招标控制价-投标总价）/招标控制价]下浮。</w:t>
      </w:r>
    </w:p>
    <w:p>
      <w:pPr>
        <w:snapToGrid w:val="0"/>
        <w:spacing w:line="336"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③以总价包干的措施费原则上不予调整，但下列原因除外：因规划建设行政主管部门原因造成重大设计方案调整的；非因承包人原因造成施工工艺发生重大改变的；承包人按发包人要求（超越普通要求）赶工的；因特殊原因，必须甩项的。遇征地拆迁或政策影响，子项目工程部分或全部须甩项完工的，按照甩项部分建安费占总建安费比例扣减计算。</w:t>
      </w:r>
    </w:p>
    <w:p>
      <w:pPr>
        <w:snapToGrid w:val="0"/>
        <w:spacing w:line="336"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(c)变更费用的规费和税金按照申报时有关规定计取，企业管理费和利润等取费按照合同价格清单计算。</w:t>
      </w:r>
    </w:p>
    <w:p>
      <w:pPr>
        <w:pStyle w:val="5"/>
        <w:spacing w:before="0" w:after="0"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br w:type="page"/>
      </w:r>
      <w:bookmarkStart w:id="1486" w:name="_Toc22189"/>
      <w:bookmarkStart w:id="1487" w:name="_Toc23219"/>
      <w:bookmarkStart w:id="1488" w:name="_Toc20321"/>
      <w:bookmarkStart w:id="1489" w:name="_Toc28716"/>
      <w:bookmarkStart w:id="1490" w:name="_Toc102746153"/>
      <w:bookmarkStart w:id="1491" w:name="_Toc3154"/>
      <w:bookmarkStart w:id="1492" w:name="_Toc360"/>
      <w:bookmarkStart w:id="1493" w:name="_Toc21073"/>
      <w:bookmarkStart w:id="1494" w:name="_Toc3006"/>
      <w:r>
        <w:rPr>
          <w:rFonts w:hint="eastAsia" w:ascii="宋体"/>
          <w:color w:val="000000" w:themeColor="text1"/>
          <w:highlight w:val="none"/>
          <w14:textFill>
            <w14:solidFill>
              <w14:schemeClr w14:val="tx1"/>
            </w14:solidFill>
          </w14:textFill>
        </w:rPr>
        <w:t>附件2：发包人要求</w:t>
      </w:r>
      <w:bookmarkEnd w:id="1486"/>
      <w:bookmarkEnd w:id="1487"/>
      <w:bookmarkEnd w:id="1488"/>
      <w:bookmarkEnd w:id="1489"/>
      <w:bookmarkEnd w:id="1490"/>
      <w:bookmarkEnd w:id="1491"/>
      <w:bookmarkEnd w:id="1492"/>
      <w:bookmarkEnd w:id="1493"/>
      <w:bookmarkEnd w:id="1494"/>
      <w:r>
        <w:rPr>
          <w:rFonts w:hint="eastAsia" w:ascii="宋体"/>
          <w:color w:val="000000" w:themeColor="text1"/>
          <w:highlight w:val="none"/>
          <w14:textFill>
            <w14:solidFill>
              <w14:schemeClr w14:val="tx1"/>
            </w14:solidFill>
          </w14:textFill>
        </w:rPr>
        <w:t xml:space="preserve"> </w:t>
      </w:r>
    </w:p>
    <w:p>
      <w:pPr>
        <w:snapToGrid w:val="0"/>
        <w:spacing w:line="360" w:lineRule="auto"/>
        <w:jc w:val="center"/>
        <w:rPr>
          <w:rFonts w:ascii="宋体"/>
          <w:color w:val="000000" w:themeColor="text1"/>
          <w:sz w:val="30"/>
          <w:highlight w:val="none"/>
          <w14:textFill>
            <w14:solidFill>
              <w14:schemeClr w14:val="tx1"/>
            </w14:solidFill>
          </w14:textFill>
        </w:rPr>
      </w:pPr>
      <w:bookmarkStart w:id="1495" w:name="_Toc10006"/>
      <w:bookmarkStart w:id="1496" w:name="_Toc20421"/>
      <w:r>
        <w:rPr>
          <w:rFonts w:ascii="宋体"/>
          <w:b/>
          <w:color w:val="000000" w:themeColor="text1"/>
          <w:sz w:val="30"/>
          <w:highlight w:val="none"/>
          <w14:textFill>
            <w14:solidFill>
              <w14:schemeClr w14:val="tx1"/>
            </w14:solidFill>
          </w14:textFill>
        </w:rPr>
        <w:t>《发包人要求》</w:t>
      </w:r>
      <w:bookmarkEnd w:id="1484"/>
      <w:bookmarkEnd w:id="1495"/>
      <w:bookmarkEnd w:id="1496"/>
    </w:p>
    <w:p>
      <w:pPr>
        <w:pStyle w:val="23"/>
        <w:snapToGrid w:val="0"/>
        <w:spacing w:line="360" w:lineRule="auto"/>
        <w:rPr>
          <w:b/>
          <w:bCs/>
          <w:color w:val="000000" w:themeColor="text1"/>
          <w:sz w:val="24"/>
          <w:szCs w:val="24"/>
          <w:highlight w:val="none"/>
          <w14:textFill>
            <w14:solidFill>
              <w14:schemeClr w14:val="tx1"/>
            </w14:solidFill>
          </w14:textFill>
        </w:rPr>
      </w:pPr>
    </w:p>
    <w:p>
      <w:pPr>
        <w:snapToGrid w:val="0"/>
        <w:spacing w:line="360" w:lineRule="auto"/>
        <w:jc w:val="center"/>
        <w:rPr>
          <w:rFonts w:ascii="宋体"/>
          <w:b/>
          <w:bCs/>
          <w:color w:val="000000" w:themeColor="text1"/>
          <w:sz w:val="24"/>
          <w:szCs w:val="24"/>
          <w:highlight w:val="none"/>
          <w14:textFill>
            <w14:solidFill>
              <w14:schemeClr w14:val="tx1"/>
            </w14:solidFill>
          </w14:textFill>
        </w:rPr>
      </w:pPr>
      <w:bookmarkStart w:id="1497" w:name="_Toc5036"/>
      <w:bookmarkStart w:id="1498" w:name="_Toc9808"/>
      <w:r>
        <w:rPr>
          <w:rFonts w:hint="eastAsia" w:ascii="宋体"/>
          <w:b/>
          <w:color w:val="000000" w:themeColor="text1"/>
          <w:sz w:val="24"/>
          <w:szCs w:val="24"/>
          <w:highlight w:val="none"/>
          <w14:textFill>
            <w14:solidFill>
              <w14:schemeClr w14:val="tx1"/>
            </w14:solidFill>
          </w14:textFill>
        </w:rPr>
        <w:t>（请业务部门根据项目实际需要编写）</w:t>
      </w:r>
      <w:bookmarkEnd w:id="1497"/>
      <w:bookmarkEnd w:id="1498"/>
    </w:p>
    <w:p>
      <w:pPr>
        <w:pStyle w:val="23"/>
        <w:snapToGrid w:val="0"/>
        <w:spacing w:line="360" w:lineRule="auto"/>
        <w:rPr>
          <w:color w:val="000000" w:themeColor="text1"/>
          <w:sz w:val="24"/>
          <w:szCs w:val="24"/>
          <w:highlight w:val="none"/>
          <w14:textFill>
            <w14:solidFill>
              <w14:schemeClr w14:val="tx1"/>
            </w14:solidFill>
          </w14:textFill>
        </w:rPr>
      </w:pPr>
    </w:p>
    <w:bookmarkEnd w:id="1485"/>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《发包人要求》通常包括但不限于以下内容：</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一、功能要求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（一）工程目的。</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（二）工程规模。</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（三）性能保证指标（性能保证表）。</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（四）产能保证指标。</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二、工程范围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（一）概述</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（二）包括的工作</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 永久工程的设计、采购、施工范围。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 临时工程的设计与施工范围。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 竣工验收工作范围。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 技术服务工作范围。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 培训工作范围。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6. 保修工作范围。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（三）工作界区</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（四）发包人提供的现场条件</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 施工用电。</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 施工用水。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 施工排水。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 施工道路。</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（五）发包人提供的技术文件</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除另有批准外，承包人的工作需要遵照发包人的下列技术文件:</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 发包人需求任务书。</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 发包人已完成的设计文件。</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三、工艺安排或要求（如有）</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四、时间要求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（一）开始工作时间。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（二）设计完成时间。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（三）进度计划。</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（四）竣工时间。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（五）缺陷责任期。</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（六）其他时间要求。</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五、技术要求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（一）设计阶段和设计任务。</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（二）设计标准和规范。</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（三）技术标准和要求。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（四）质量标准。</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（五）设计、施工和设备监造、试验（如有）。</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（六）样品。</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（七）发包人提供的其他条件，如发包人或其委托的第三人提供的设计、工艺包、用于试验检验的工器具等，以及据此对承包人提出的予以配套的要求。</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六、竣工试验</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（一）第一阶段，如对单车试验等的要求，包括试验前准备。</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（二）第二阶段，如对联动试车、投料试车等的要求，包括人员、设备、材料、燃料、电力、消耗品、工具等必要条件。</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（三）第三阶段，如对性能测试及其他竣工试验的要求，包括产能指标、产品质量标准、运营指标、环保指标等。</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七、竣工验收</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八、竣工后试验（如有）</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九、文件要求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（一）设计文件，及其相关审批、核准、备案要求。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（二）沟通计划。</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（三）风险管理计划。</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（四）竣工文件和工程的其他记录。</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（五）操作和维修手册。</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（六）其他承包人文件。</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十、工程项目管理规定</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（一）质量。</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（二）进度，包括里程碑进度计划（如果有）。</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（三）支付。</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（四）HSE（健康、安全与环境管理体系）。</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（五）沟通。</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（六）变更。</w:t>
      </w:r>
    </w:p>
    <w:p>
      <w:pPr>
        <w:pStyle w:val="23"/>
        <w:snapToGrid w:val="0"/>
        <w:spacing w:line="360" w:lineRule="auto"/>
        <w:rPr>
          <w:rFonts w:hAnsi="黑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十一、</w:t>
      </w:r>
      <w:r>
        <w:rPr>
          <w:rFonts w:hint="eastAsia" w:hAnsi="黑体"/>
          <w:color w:val="000000" w:themeColor="text1"/>
          <w:sz w:val="24"/>
          <w:szCs w:val="24"/>
          <w:highlight w:val="none"/>
          <w14:textFill>
            <w14:solidFill>
              <w14:schemeClr w14:val="tx1"/>
            </w14:solidFill>
          </w14:textFill>
        </w:rPr>
        <w:t>其他要求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（一）对承包人的主要人员资格要求。</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（二）相关审批、核准和备案手续的办理。</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（三）对项目业主人员的操作培训。</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（四）分包。</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（五）设备供应商。</w:t>
      </w:r>
    </w:p>
    <w:p>
      <w:pPr>
        <w:snapToGrid w:val="0"/>
        <w:spacing w:line="360" w:lineRule="auto"/>
        <w:ind w:left="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（六）缺陷责任期的服务要求。</w:t>
      </w:r>
    </w:p>
    <w:p>
      <w:pPr>
        <w:snapToGrid w:val="0"/>
        <w:spacing w:line="360" w:lineRule="auto"/>
        <w:jc w:val="left"/>
        <w:rPr>
          <w:rFonts w:ascii="宋体"/>
          <w:color w:val="000000" w:themeColor="text1"/>
          <w:sz w:val="24"/>
          <w:szCs w:val="24"/>
          <w:highlight w:val="none"/>
          <w14:textFill>
            <w14:solidFill>
              <w14:schemeClr w14:val="tx1"/>
            </w14:solidFill>
          </w14:textFill>
        </w:rPr>
      </w:pPr>
    </w:p>
    <w:p>
      <w:pPr>
        <w:pStyle w:val="5"/>
        <w:spacing w:before="0" w:after="0" w:line="360" w:lineRule="auto"/>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bookmarkStart w:id="1499" w:name="_Toc29577"/>
      <w:bookmarkStart w:id="1500" w:name="_Toc22312"/>
      <w:bookmarkStart w:id="1501" w:name="_Toc102746154"/>
      <w:bookmarkStart w:id="1502" w:name="_Toc29996"/>
      <w:bookmarkStart w:id="1503" w:name="_Toc54862353"/>
      <w:bookmarkStart w:id="1504" w:name="_Toc20171894"/>
      <w:bookmarkStart w:id="1505" w:name="_Toc21505"/>
      <w:bookmarkStart w:id="1506" w:name="_Toc9021"/>
      <w:bookmarkStart w:id="1507" w:name="_Toc12276"/>
      <w:bookmarkStart w:id="1508" w:name="_Toc29083"/>
      <w:bookmarkStart w:id="1509" w:name="_Toc20575"/>
      <w:r>
        <w:rPr>
          <w:rFonts w:hint="eastAsia" w:ascii="宋体"/>
          <w:color w:val="000000" w:themeColor="text1"/>
          <w:highlight w:val="none"/>
          <w14:textFill>
            <w14:solidFill>
              <w14:schemeClr w14:val="tx1"/>
            </w14:solidFill>
          </w14:textFill>
        </w:rPr>
        <w:t>附件3：发包人供应材料设备一览表</w:t>
      </w:r>
      <w:bookmarkEnd w:id="1499"/>
      <w:bookmarkEnd w:id="1500"/>
      <w:bookmarkEnd w:id="1501"/>
      <w:bookmarkEnd w:id="1502"/>
      <w:bookmarkEnd w:id="1503"/>
      <w:bookmarkEnd w:id="1504"/>
      <w:bookmarkEnd w:id="1505"/>
      <w:bookmarkEnd w:id="1506"/>
      <w:bookmarkEnd w:id="1507"/>
      <w:bookmarkEnd w:id="1508"/>
      <w:bookmarkEnd w:id="1509"/>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序号</w:t>
            </w:r>
          </w:p>
        </w:tc>
        <w:tc>
          <w:tcPr>
            <w:tcW w:w="1165"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材料、设备品种</w:t>
            </w:r>
          </w:p>
        </w:tc>
        <w:tc>
          <w:tcPr>
            <w:tcW w:w="1126"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规格型号</w:t>
            </w:r>
          </w:p>
        </w:tc>
        <w:tc>
          <w:tcPr>
            <w:tcW w:w="567"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单位</w:t>
            </w:r>
          </w:p>
        </w:tc>
        <w:tc>
          <w:tcPr>
            <w:tcW w:w="686"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数量</w:t>
            </w:r>
          </w:p>
        </w:tc>
        <w:tc>
          <w:tcPr>
            <w:tcW w:w="992"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单价（元）</w:t>
            </w:r>
          </w:p>
        </w:tc>
        <w:tc>
          <w:tcPr>
            <w:tcW w:w="1134"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质量等级</w:t>
            </w:r>
          </w:p>
        </w:tc>
        <w:tc>
          <w:tcPr>
            <w:tcW w:w="1134"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供应时间</w:t>
            </w:r>
          </w:p>
        </w:tc>
        <w:tc>
          <w:tcPr>
            <w:tcW w:w="1134"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送达地点</w:t>
            </w:r>
          </w:p>
        </w:tc>
        <w:tc>
          <w:tcPr>
            <w:tcW w:w="709" w:type="dxa"/>
            <w:tcBorders>
              <w:top w:val="single" w:color="auto" w:sz="12" w:space="0"/>
              <w:bottom w:val="doub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r>
              <w:rPr>
                <w:rFonts w:hint="eastAsia" w:ascii="宋体"/>
                <w:color w:val="000000" w:themeColor="text1"/>
                <w:sz w:val="28"/>
                <w:szCs w:val="2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Borders>
              <w:top w:val="double" w:color="auto" w:sz="6" w:space="0"/>
              <w:bottom w:val="single" w:color="auto" w:sz="6" w:space="0"/>
            </w:tcBorders>
          </w:tcPr>
          <w:p>
            <w:pPr>
              <w:pStyle w:val="2"/>
              <w:ind w:left="63" w:right="63"/>
              <w:rPr>
                <w:rFonts w:ascii="宋体"/>
                <w:color w:val="000000" w:themeColor="text1"/>
                <w:sz w:val="28"/>
                <w:szCs w:val="28"/>
                <w:highlight w:val="none"/>
                <w14:textFill>
                  <w14:solidFill>
                    <w14:schemeClr w14:val="tx1"/>
                  </w14:solidFill>
                </w14:textFill>
              </w:rPr>
            </w:pPr>
          </w:p>
        </w:tc>
        <w:tc>
          <w:tcPr>
            <w:tcW w:w="1134"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tcBorders>
              <w:top w:val="double" w:color="auto" w:sz="6" w:space="0"/>
              <w:bottom w:val="single" w:color="auto" w:sz="6" w:space="0"/>
            </w:tcBorders>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Borders>
              <w:top w:val="nil"/>
            </w:tcBorders>
          </w:tcPr>
          <w:p>
            <w:pPr>
              <w:pStyle w:val="2"/>
              <w:ind w:left="63" w:right="63"/>
              <w:rPr>
                <w:rFonts w:ascii="宋体"/>
                <w:color w:val="000000" w:themeColor="text1"/>
                <w:sz w:val="28"/>
                <w:szCs w:val="28"/>
                <w:highlight w:val="none"/>
                <w14:textFill>
                  <w14:solidFill>
                    <w14:schemeClr w14:val="tx1"/>
                  </w14:solidFill>
                </w14:textFill>
              </w:rPr>
            </w:pPr>
          </w:p>
        </w:tc>
        <w:tc>
          <w:tcPr>
            <w:tcW w:w="1134"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tcBorders>
              <w:top w:val="nil"/>
            </w:tcBorders>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65"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2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567"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686"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992" w:type="dxa"/>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1134" w:type="dxa"/>
            <w:vAlign w:val="center"/>
          </w:tcPr>
          <w:p>
            <w:pPr>
              <w:pStyle w:val="2"/>
              <w:ind w:left="63" w:right="63"/>
              <w:rPr>
                <w:rFonts w:ascii="宋体"/>
                <w:color w:val="000000" w:themeColor="text1"/>
                <w:sz w:val="28"/>
                <w:szCs w:val="28"/>
                <w:highlight w:val="none"/>
                <w14:textFill>
                  <w14:solidFill>
                    <w14:schemeClr w14:val="tx1"/>
                  </w14:solidFill>
                </w14:textFill>
              </w:rPr>
            </w:pPr>
          </w:p>
        </w:tc>
        <w:tc>
          <w:tcPr>
            <w:tcW w:w="709" w:type="dxa"/>
            <w:vAlign w:val="center"/>
          </w:tcPr>
          <w:p>
            <w:pPr>
              <w:pStyle w:val="2"/>
              <w:ind w:left="63" w:right="63"/>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65"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2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567"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686"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992" w:type="dxa"/>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1134"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c>
          <w:tcPr>
            <w:tcW w:w="709" w:type="dxa"/>
            <w:vAlign w:val="center"/>
          </w:tcPr>
          <w:p>
            <w:pPr>
              <w:snapToGrid w:val="0"/>
              <w:spacing w:line="360" w:lineRule="auto"/>
              <w:rPr>
                <w:rFonts w:ascii="宋体"/>
                <w:color w:val="000000" w:themeColor="text1"/>
                <w:sz w:val="28"/>
                <w:szCs w:val="28"/>
                <w:highlight w:val="none"/>
                <w14:textFill>
                  <w14:solidFill>
                    <w14:schemeClr w14:val="tx1"/>
                  </w14:solidFill>
                </w14:textFill>
              </w:rPr>
            </w:pPr>
          </w:p>
        </w:tc>
      </w:tr>
    </w:tbl>
    <w:p>
      <w:pPr>
        <w:snapToGrid w:val="0"/>
        <w:spacing w:line="360" w:lineRule="auto"/>
        <w:rPr>
          <w:rFonts w:ascii="宋体"/>
          <w:color w:val="000000" w:themeColor="text1"/>
          <w:highlight w:val="none"/>
          <w14:textFill>
            <w14:solidFill>
              <w14:schemeClr w14:val="tx1"/>
            </w14:solidFill>
          </w14:textFill>
        </w:rPr>
      </w:pPr>
    </w:p>
    <w:p>
      <w:pPr>
        <w:pStyle w:val="5"/>
        <w:spacing w:before="0" w:after="0" w:line="360" w:lineRule="auto"/>
        <w:rPr>
          <w:rFonts w:ascii="宋体"/>
          <w:color w:val="000000" w:themeColor="text1"/>
          <w:sz w:val="28"/>
          <w:szCs w:val="28"/>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bookmarkStart w:id="1510" w:name="_Toc28698"/>
      <w:bookmarkStart w:id="1511" w:name="_Toc17037"/>
      <w:bookmarkStart w:id="1512" w:name="_Toc20171895"/>
      <w:bookmarkStart w:id="1513" w:name="_Toc32007"/>
      <w:bookmarkStart w:id="1514" w:name="_Toc5007"/>
      <w:bookmarkStart w:id="1515" w:name="_Toc102746155"/>
      <w:bookmarkStart w:id="1516" w:name="_Toc1070"/>
      <w:bookmarkStart w:id="1517" w:name="_Toc22274"/>
      <w:bookmarkStart w:id="1518" w:name="_Toc21704"/>
      <w:bookmarkStart w:id="1519" w:name="_Toc54862354"/>
      <w:bookmarkStart w:id="1520" w:name="_Toc14992"/>
      <w:r>
        <w:rPr>
          <w:rFonts w:hint="eastAsia" w:ascii="宋体"/>
          <w:color w:val="000000" w:themeColor="text1"/>
          <w:sz w:val="28"/>
          <w:szCs w:val="28"/>
          <w:highlight w:val="none"/>
          <w14:textFill>
            <w14:solidFill>
              <w14:schemeClr w14:val="tx1"/>
            </w14:solidFill>
          </w14:textFill>
        </w:rPr>
        <w:t>附件4：工程质量保修书</w:t>
      </w:r>
      <w:bookmarkEnd w:id="1510"/>
      <w:bookmarkEnd w:id="1511"/>
      <w:bookmarkEnd w:id="1512"/>
      <w:bookmarkEnd w:id="1513"/>
      <w:bookmarkEnd w:id="1514"/>
      <w:bookmarkEnd w:id="1515"/>
      <w:bookmarkEnd w:id="1516"/>
      <w:bookmarkEnd w:id="1517"/>
      <w:bookmarkEnd w:id="1518"/>
      <w:bookmarkEnd w:id="1519"/>
      <w:bookmarkEnd w:id="1520"/>
    </w:p>
    <w:p>
      <w:pPr>
        <w:snapToGrid w:val="0"/>
        <w:spacing w:line="360" w:lineRule="auto"/>
        <w:jc w:val="center"/>
        <w:rPr>
          <w:rFonts w:ascii="宋体"/>
          <w:b/>
          <w:bCs/>
          <w:color w:val="000000" w:themeColor="text1"/>
          <w:sz w:val="28"/>
          <w:szCs w:val="28"/>
          <w:highlight w:val="none"/>
          <w14:textFill>
            <w14:solidFill>
              <w14:schemeClr w14:val="tx1"/>
            </w14:solidFill>
          </w14:textFill>
        </w:rPr>
      </w:pPr>
      <w:r>
        <w:rPr>
          <w:rFonts w:hint="eastAsia" w:ascii="宋体"/>
          <w:b/>
          <w:bCs/>
          <w:color w:val="000000" w:themeColor="text1"/>
          <w:sz w:val="28"/>
          <w:szCs w:val="28"/>
          <w:highlight w:val="none"/>
          <w14:textFill>
            <w14:solidFill>
              <w14:schemeClr w14:val="tx1"/>
            </w14:solidFill>
          </w14:textFill>
        </w:rPr>
        <w:t>工程质量保修书</w:t>
      </w:r>
    </w:p>
    <w:p>
      <w:pPr>
        <w:snapToGrid w:val="0"/>
        <w:spacing w:line="360" w:lineRule="auto"/>
        <w:rPr>
          <w:rFonts w:ascii="宋体" w:hAnsi="黑体"/>
          <w:color w:val="000000" w:themeColor="text1"/>
          <w:sz w:val="24"/>
          <w:szCs w:val="21"/>
          <w:highlight w:val="none"/>
          <w:u w:val="singl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发包人（全称）：</w:t>
      </w:r>
      <w:r>
        <w:rPr>
          <w:rFonts w:hint="eastAsia" w:ascii="宋体" w:hAnsi="黑体"/>
          <w:color w:val="000000" w:themeColor="text1"/>
          <w:sz w:val="24"/>
          <w:szCs w:val="24"/>
          <w:highlight w:val="none"/>
          <w:u w:val="single"/>
          <w14:textFill>
            <w14:solidFill>
              <w14:schemeClr w14:val="tx1"/>
            </w14:solidFill>
          </w14:textFill>
        </w:rPr>
        <w:t>广州市南沙新区产业园区开发建设管理局 (业主)</w:t>
      </w:r>
    </w:p>
    <w:p>
      <w:pPr>
        <w:snapToGrid w:val="0"/>
        <w:spacing w:line="360" w:lineRule="auto"/>
        <w:ind w:firstLine="1920" w:firstLineChars="800"/>
        <w:rPr>
          <w:rFonts w:ascii="宋体"/>
          <w:bCs/>
          <w:color w:val="000000" w:themeColor="text1"/>
          <w:sz w:val="24"/>
          <w:szCs w:val="24"/>
          <w:highlight w:val="none"/>
          <w14:textFill>
            <w14:solidFill>
              <w14:schemeClr w14:val="tx1"/>
            </w14:solidFill>
          </w14:textFill>
        </w:rPr>
      </w:pPr>
      <w:r>
        <w:rPr>
          <w:rFonts w:hint="eastAsia" w:ascii="宋体" w:hAnsi="宋体" w:cs="宋体"/>
          <w:bCs/>
          <w:i/>
          <w:iCs/>
          <w:color w:val="000000" w:themeColor="text1"/>
          <w:sz w:val="24"/>
          <w:szCs w:val="24"/>
          <w:highlight w:val="none"/>
          <w:u w:val="single"/>
          <w14:textFill>
            <w14:solidFill>
              <w14:schemeClr w14:val="tx1"/>
            </w14:solidFill>
          </w14:textFill>
        </w:rPr>
        <w:t>[如有则补充,无则删除]（建设管理单位）</w:t>
      </w:r>
    </w:p>
    <w:p>
      <w:pPr>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承包人（全称）：</w:t>
      </w:r>
      <w:r>
        <w:rPr>
          <w:rFonts w:hint="eastAsia" w:ascii="宋体"/>
          <w:color w:val="000000" w:themeColor="text1"/>
          <w:sz w:val="24"/>
          <w:szCs w:val="24"/>
          <w:highlight w:val="none"/>
          <w:u w:val="single"/>
          <w14:textFill>
            <w14:solidFill>
              <w14:schemeClr w14:val="tx1"/>
            </w14:solidFill>
          </w14:textFill>
        </w:rPr>
        <w:t>【】</w:t>
      </w:r>
      <w:r>
        <w:rPr>
          <w:rFonts w:ascii="宋体"/>
          <w:color w:val="000000" w:themeColor="text1"/>
          <w:sz w:val="24"/>
          <w:szCs w:val="24"/>
          <w:highlight w:val="none"/>
          <w14:textFill>
            <w14:solidFill>
              <w14:schemeClr w14:val="tx1"/>
            </w14:solidFill>
          </w14:textFill>
        </w:rPr>
        <w:t xml:space="preserve"> </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发包人和承包人根据《中华人民共和国建筑法》和《建设工程质量管理条例》，经协商一致就</w:t>
      </w:r>
      <w:r>
        <w:rPr>
          <w:rFonts w:hint="eastAsia" w:ascii="宋体" w:hAnsi="仿宋_GB2312" w:cs="仿宋_GB2312"/>
          <w:i/>
          <w:iCs/>
          <w:color w:val="000000" w:themeColor="text1"/>
          <w:sz w:val="24"/>
          <w:szCs w:val="24"/>
          <w:highlight w:val="none"/>
          <w:u w:val="single"/>
          <w14:textFill>
            <w14:solidFill>
              <w14:schemeClr w14:val="tx1"/>
            </w14:solidFill>
          </w14:textFill>
        </w:rPr>
        <w:t>[中标/委托项目名称]</w:t>
      </w:r>
      <w:r>
        <w:rPr>
          <w:rFonts w:hint="eastAsia" w:ascii="宋体"/>
          <w:color w:val="000000" w:themeColor="text1"/>
          <w:sz w:val="24"/>
          <w:szCs w:val="24"/>
          <w:highlight w:val="none"/>
          <w14:textFill>
            <w14:solidFill>
              <w14:schemeClr w14:val="tx1"/>
            </w14:solidFill>
          </w14:textFill>
        </w:rPr>
        <w:t>（工程全称）订立工程质量保修书。</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一、工程质量保修范围和内容</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承包人在质量保修期内，按照有关法律规定和合同约定，承担工程质量保修责任。</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二、质量保修期</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根据《建设工程质量管理条例》及有关规定，工程的质量保修期如下：</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1．地基基础工程和主体结构工程为设计文件规定的工程合理使用年限；</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2．屋面防水工程、有防水要求的卫生间、房间和外墙面的防渗为</w:t>
      </w:r>
      <w:r>
        <w:rPr>
          <w:rFonts w:hint="eastAsia" w:ascii="宋体"/>
          <w:color w:val="000000" w:themeColor="text1"/>
          <w:sz w:val="24"/>
          <w:szCs w:val="24"/>
          <w:highlight w:val="none"/>
          <w:u w:val="single"/>
          <w14:textFill>
            <w14:solidFill>
              <w14:schemeClr w14:val="tx1"/>
            </w14:solidFill>
          </w14:textFill>
        </w:rPr>
        <w:t>5</w:t>
      </w:r>
      <w:r>
        <w:rPr>
          <w:rFonts w:hint="eastAsia" w:ascii="宋体"/>
          <w:color w:val="000000" w:themeColor="text1"/>
          <w:sz w:val="24"/>
          <w:szCs w:val="24"/>
          <w:highlight w:val="none"/>
          <w14:textFill>
            <w14:solidFill>
              <w14:schemeClr w14:val="tx1"/>
            </w14:solidFill>
          </w14:textFill>
        </w:rPr>
        <w:t>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3．装修工程为</w:t>
      </w:r>
      <w:r>
        <w:rPr>
          <w:rFonts w:hint="eastAsia" w:ascii="宋体"/>
          <w:color w:val="000000" w:themeColor="text1"/>
          <w:sz w:val="24"/>
          <w:szCs w:val="24"/>
          <w:highlight w:val="none"/>
          <w:u w:val="single"/>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4．电气管线、给排水管道、设备安装工程为</w:t>
      </w:r>
      <w:r>
        <w:rPr>
          <w:rFonts w:hint="eastAsia" w:ascii="宋体"/>
          <w:color w:val="000000" w:themeColor="text1"/>
          <w:sz w:val="24"/>
          <w:szCs w:val="24"/>
          <w:highlight w:val="none"/>
          <w:u w:val="single"/>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5．供热与供冷系统为</w:t>
      </w:r>
      <w:r>
        <w:rPr>
          <w:rFonts w:hint="eastAsia" w:ascii="宋体"/>
          <w:color w:val="000000" w:themeColor="text1"/>
          <w:sz w:val="24"/>
          <w:szCs w:val="24"/>
          <w:highlight w:val="none"/>
          <w:u w:val="single"/>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个采暖期、供冷期；</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6．住宅小区内的给排水设施、道路等配套工程为</w:t>
      </w:r>
      <w:r>
        <w:rPr>
          <w:rFonts w:hint="eastAsia" w:ascii="宋体"/>
          <w:color w:val="000000" w:themeColor="text1"/>
          <w:sz w:val="24"/>
          <w:szCs w:val="24"/>
          <w:highlight w:val="none"/>
          <w:u w:val="single"/>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年；</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7．其他项目保修期限约定如下：由发包方与承包方约定。</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质量保修期自工程竣工验收合格之日起计算。</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三、缺陷责任期</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工程缺陷责任期为</w:t>
      </w:r>
      <w:r>
        <w:rPr>
          <w:rFonts w:hint="eastAsia" w:ascii="宋体"/>
          <w:color w:val="000000" w:themeColor="text1"/>
          <w:sz w:val="24"/>
          <w:szCs w:val="24"/>
          <w:highlight w:val="none"/>
          <w:u w:val="single"/>
          <w14:textFill>
            <w14:solidFill>
              <w14:schemeClr w14:val="tx1"/>
            </w14:solidFill>
          </w14:textFill>
        </w:rPr>
        <w:t xml:space="preserve">  </w:t>
      </w:r>
      <w:r>
        <w:rPr>
          <w:rFonts w:ascii="宋体"/>
          <w:color w:val="000000" w:themeColor="text1"/>
          <w:sz w:val="24"/>
          <w:szCs w:val="24"/>
          <w:highlight w:val="none"/>
          <w:u w:val="single"/>
          <w14:textFill>
            <w14:solidFill>
              <w14:schemeClr w14:val="tx1"/>
            </w14:solidFill>
          </w14:textFill>
        </w:rPr>
        <w:t>24</w:t>
      </w:r>
      <w:r>
        <w:rPr>
          <w:rFonts w:hint="eastAsia"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个月，缺陷责任期自工程通过竣工验收之日起计算。单位/区段工程先于全部工程进行验收，单位/区段工程缺陷责任期自单位/区段工程验收合格之日起算。</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缺陷责任期终止后，发包人应返还剩余的质量保证金。</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四、质量保修责任</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1．属于保修范围、内容的项目，承包人应当在接到保修通知之日起7天内派人保修。承包人不在约定期限内派人保修的，发包人可以委托他人修理。</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2．发生紧急事故需抢修的，承包人在接到事故通知后，应当立即到达事故现场抢修。</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4．质量保修完成后，由发包人组织验收。</w:t>
      </w:r>
    </w:p>
    <w:p>
      <w:pPr>
        <w:snapToGrid w:val="0"/>
        <w:spacing w:line="360" w:lineRule="auto"/>
        <w:ind w:firstLine="600"/>
        <w:rPr>
          <w:rFonts w:ascii="宋体" w:hAnsi="黑体"/>
          <w:color w:val="000000" w:themeColor="text1"/>
          <w:sz w:val="24"/>
          <w:szCs w:val="24"/>
          <w:highlight w:val="non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五、保修费用</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保修费用由造成质量缺陷的责任方承担。</w:t>
      </w:r>
    </w:p>
    <w:p>
      <w:pPr>
        <w:snapToGrid w:val="0"/>
        <w:spacing w:line="360" w:lineRule="auto"/>
        <w:ind w:firstLine="600"/>
        <w:rPr>
          <w:rFonts w:ascii="宋体"/>
          <w:color w:val="000000" w:themeColor="text1"/>
          <w:sz w:val="24"/>
          <w:szCs w:val="24"/>
          <w:highlight w:val="none"/>
          <w:u w:val="single"/>
          <w14:textFill>
            <w14:solidFill>
              <w14:schemeClr w14:val="tx1"/>
            </w14:solidFill>
          </w14:textFill>
        </w:rPr>
      </w:pPr>
      <w:r>
        <w:rPr>
          <w:rFonts w:hint="eastAsia" w:ascii="宋体" w:hAnsi="黑体"/>
          <w:color w:val="000000" w:themeColor="text1"/>
          <w:sz w:val="24"/>
          <w:szCs w:val="24"/>
          <w:highlight w:val="none"/>
          <w14:textFill>
            <w14:solidFill>
              <w14:schemeClr w14:val="tx1"/>
            </w14:solidFill>
          </w14:textFill>
        </w:rPr>
        <w:t>六、双方约定的其他工程质量保修事项</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u w:val="single"/>
          <w14:textFill>
            <w14:solidFill>
              <w14:schemeClr w14:val="tx1"/>
            </w14:solidFill>
          </w14:textFill>
        </w:rPr>
        <w:t>由发包方与承包方约定</w:t>
      </w:r>
      <w:r>
        <w:rPr>
          <w:rFonts w:hint="eastAsia" w:ascii="宋体"/>
          <w:color w:val="000000" w:themeColor="text1"/>
          <w:sz w:val="24"/>
          <w:szCs w:val="24"/>
          <w:highlight w:val="none"/>
          <w14:textFill>
            <w14:solidFill>
              <w14:schemeClr w14:val="tx1"/>
            </w14:solidFill>
          </w14:textFill>
        </w:rPr>
        <w:t>。</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工程质量保修书由发包人、承包人在工程竣工验收前共同签署，作为施工总承包合同附件，其有效期限至保修期满。</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（以下无正文）</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发包人(公章)：广州市南沙新区产业园区开发建设管理局（业主）</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地  址：广州市南沙区翠瑜街13号彩汇中心11、12楼</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法定代表人(签字)：                 </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委托代理人(签字)：                  </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电  话：                    </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传  真：                       </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开户银行：                  </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账  号：                    </w:t>
      </w:r>
    </w:p>
    <w:p>
      <w:pPr>
        <w:snapToGrid w:val="0"/>
        <w:spacing w:line="360" w:lineRule="auto"/>
        <w:ind w:firstLine="6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邮政编码：                  </w:t>
      </w:r>
    </w:p>
    <w:p>
      <w:pPr>
        <w:snapToGrid w:val="0"/>
        <w:spacing w:line="360" w:lineRule="auto"/>
        <w:jc w:val="left"/>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 xml:space="preserve"> </w:t>
      </w:r>
    </w:p>
    <w:p>
      <w:pPr>
        <w:snapToGrid w:val="0"/>
        <w:spacing w:line="360" w:lineRule="auto"/>
        <w:rPr>
          <w:rFonts w:ascii="宋体" w:hAnsi="宋体"/>
          <w:bCs/>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ascii="宋体" w:hAnsi="宋体"/>
          <w:color w:val="000000" w:themeColor="text1"/>
          <w:sz w:val="24"/>
          <w:szCs w:val="24"/>
          <w:highlight w:val="none"/>
          <w14:textFill>
            <w14:solidFill>
              <w14:schemeClr w14:val="tx1"/>
            </w14:solidFill>
          </w14:textFill>
        </w:rPr>
        <w:t>发包人(公章)：</w:t>
      </w:r>
      <w:r>
        <w:rPr>
          <w:rFonts w:hint="eastAsia" w:ascii="宋体" w:hAnsi="宋体" w:cs="宋体"/>
          <w:bCs/>
          <w:i/>
          <w:iCs/>
          <w:color w:val="000000" w:themeColor="text1"/>
          <w:sz w:val="24"/>
          <w:szCs w:val="24"/>
          <w:highlight w:val="none"/>
          <w:u w:val="single"/>
          <w14:textFill>
            <w14:solidFill>
              <w14:schemeClr w14:val="tx1"/>
            </w14:solidFill>
          </w14:textFill>
        </w:rPr>
        <w:t>[如有则补充,无则删除]（建设管理单位）</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ascii="宋体" w:hAnsi="宋体"/>
          <w:color w:val="000000" w:themeColor="text1"/>
          <w:sz w:val="24"/>
          <w:szCs w:val="24"/>
          <w:highlight w:val="none"/>
          <w14:textFill>
            <w14:solidFill>
              <w14:schemeClr w14:val="tx1"/>
            </w14:solidFill>
          </w14:textFill>
        </w:rPr>
        <w:t xml:space="preserve"> </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法定代表人(签字)： </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委托代理人(签字)：</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传  真：</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账  号：</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w:t>
      </w:r>
    </w:p>
    <w:p>
      <w:pPr>
        <w:snapToGrid w:val="0"/>
        <w:spacing w:line="360" w:lineRule="auto"/>
        <w:rPr>
          <w:rFonts w:ascii="宋体" w:hAnsi="宋体"/>
          <w:color w:val="000000" w:themeColor="text1"/>
          <w:sz w:val="24"/>
          <w:szCs w:val="24"/>
          <w:highlight w:val="none"/>
          <w14:textFill>
            <w14:solidFill>
              <w14:schemeClr w14:val="tx1"/>
            </w14:solidFill>
          </w14:textFill>
        </w:rPr>
      </w:pPr>
    </w:p>
    <w:p>
      <w:pPr>
        <w:snapToGrid w:val="0"/>
        <w:spacing w:line="360" w:lineRule="auto"/>
        <w:rPr>
          <w:rFonts w:ascii="宋体" w:hAnsi="宋体"/>
          <w:color w:val="000000" w:themeColor="text1"/>
          <w:sz w:val="24"/>
          <w:szCs w:val="24"/>
          <w:highlight w:val="none"/>
          <w14:textFill>
            <w14:solidFill>
              <w14:schemeClr w14:val="tx1"/>
            </w14:solidFill>
          </w14:textFill>
        </w:rPr>
      </w:pP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承包人(公章)：【】</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kern w:val="0"/>
          <w:sz w:val="24"/>
          <w:szCs w:val="28"/>
          <w:highlight w:val="none"/>
          <w14:textFill>
            <w14:solidFill>
              <w14:schemeClr w14:val="tx1"/>
            </w14:solidFill>
          </w14:textFill>
        </w:rPr>
        <w:t>广州市南沙区明珠湾起步区工业四路西侧自编2号【】</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法定代表人(签字)：</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委托代理人(签字)：</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传  真：【】</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开户银行：【】</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账  号：【】</w:t>
      </w:r>
    </w:p>
    <w:p>
      <w:pPr>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邮政编码：【】</w:t>
      </w:r>
    </w:p>
    <w:p>
      <w:pPr>
        <w:pStyle w:val="5"/>
        <w:spacing w:before="0" w:after="0" w:line="360" w:lineRule="auto"/>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br w:type="page"/>
      </w:r>
      <w:bookmarkStart w:id="1521" w:name="_Toc20529"/>
      <w:bookmarkStart w:id="1522" w:name="_Toc16834"/>
      <w:bookmarkStart w:id="1523" w:name="_Toc31375"/>
      <w:bookmarkStart w:id="1524" w:name="_Toc20171896"/>
      <w:bookmarkStart w:id="1525" w:name="_Toc29979"/>
      <w:bookmarkStart w:id="1526" w:name="_Toc54862355"/>
      <w:bookmarkStart w:id="1527" w:name="_Toc24251"/>
      <w:bookmarkStart w:id="1528" w:name="_Toc14623"/>
      <w:bookmarkStart w:id="1529" w:name="_Toc102746156"/>
      <w:bookmarkStart w:id="1530" w:name="_Toc154"/>
      <w:bookmarkStart w:id="1531" w:name="_Toc6209"/>
      <w:r>
        <w:rPr>
          <w:rFonts w:hint="eastAsia" w:ascii="宋体"/>
          <w:color w:val="000000" w:themeColor="text1"/>
          <w:highlight w:val="none"/>
          <w14:textFill>
            <w14:solidFill>
              <w14:schemeClr w14:val="tx1"/>
            </w14:solidFill>
          </w14:textFill>
        </w:rPr>
        <w:t>附件5：</w:t>
      </w:r>
      <w:bookmarkEnd w:id="1521"/>
      <w:bookmarkEnd w:id="1522"/>
      <w:bookmarkEnd w:id="1523"/>
      <w:bookmarkEnd w:id="1524"/>
      <w:bookmarkEnd w:id="1525"/>
      <w:bookmarkEnd w:id="1526"/>
      <w:bookmarkEnd w:id="1527"/>
      <w:bookmarkEnd w:id="1528"/>
      <w:r>
        <w:rPr>
          <w:rFonts w:hint="eastAsia" w:ascii="宋体"/>
          <w:color w:val="000000" w:themeColor="text1"/>
          <w:highlight w:val="none"/>
          <w14:textFill>
            <w14:solidFill>
              <w14:schemeClr w14:val="tx1"/>
            </w14:solidFill>
          </w14:textFill>
        </w:rPr>
        <w:t>拟投入本工程的主要施工设备表</w:t>
      </w:r>
      <w:bookmarkEnd w:id="1529"/>
      <w:bookmarkEnd w:id="1530"/>
      <w:bookmarkEnd w:id="1531"/>
    </w:p>
    <w:p>
      <w:pPr>
        <w:pStyle w:val="5"/>
        <w:rPr>
          <w:color w:val="000000" w:themeColor="text1"/>
          <w:highlight w:val="none"/>
          <w14:textFill>
            <w14:solidFill>
              <w14:schemeClr w14:val="tx1"/>
            </w14:solidFill>
          </w14:textFill>
        </w:rPr>
      </w:pPr>
      <w:bookmarkStart w:id="1532" w:name="_Toc4629"/>
      <w:bookmarkStart w:id="1533" w:name="_Toc18966"/>
      <w:bookmarkStart w:id="1534" w:name="_Toc17957"/>
      <w:bookmarkStart w:id="1535" w:name="_Toc54862356"/>
      <w:bookmarkStart w:id="1536" w:name="_Toc14363"/>
      <w:bookmarkStart w:id="1537" w:name="_Toc31024"/>
      <w:bookmarkStart w:id="1538" w:name="_Toc20171897"/>
      <w:bookmarkStart w:id="1539" w:name="_Toc26838"/>
      <w:r>
        <w:rPr>
          <w:rFonts w:hint="eastAsia"/>
          <w:color w:val="000000" w:themeColor="text1"/>
          <w:highlight w:val="none"/>
          <w14:textFill>
            <w14:solidFill>
              <w14:schemeClr w14:val="tx1"/>
            </w14:solidFill>
          </w14:textFill>
        </w:rPr>
        <w:br w:type="page"/>
      </w:r>
      <w:bookmarkStart w:id="1540" w:name="_Toc31816"/>
      <w:bookmarkStart w:id="1541" w:name="_Toc102746157"/>
      <w:bookmarkStart w:id="1542" w:name="_Toc3352"/>
      <w:r>
        <w:rPr>
          <w:rFonts w:hint="eastAsia"/>
          <w:color w:val="000000" w:themeColor="text1"/>
          <w:highlight w:val="none"/>
          <w14:textFill>
            <w14:solidFill>
              <w14:schemeClr w14:val="tx1"/>
            </w14:solidFill>
          </w14:textFill>
        </w:rPr>
        <w:t>附件6：承包人主要管理人员表</w:t>
      </w:r>
      <w:bookmarkEnd w:id="1532"/>
      <w:bookmarkEnd w:id="1533"/>
      <w:bookmarkEnd w:id="1534"/>
      <w:bookmarkEnd w:id="1535"/>
      <w:bookmarkEnd w:id="1536"/>
      <w:bookmarkEnd w:id="1537"/>
      <w:bookmarkEnd w:id="1538"/>
      <w:bookmarkEnd w:id="1539"/>
      <w:bookmarkEnd w:id="1540"/>
      <w:bookmarkEnd w:id="1541"/>
      <w:bookmarkEnd w:id="1542"/>
    </w:p>
    <w:p>
      <w:pPr>
        <w:pStyle w:val="2"/>
        <w:ind w:left="63" w:right="63"/>
        <w:rPr>
          <w:color w:val="000000" w:themeColor="text1"/>
          <w:highlight w:val="none"/>
          <w14:textFill>
            <w14:solidFill>
              <w14:schemeClr w14:val="tx1"/>
            </w14:solidFill>
          </w14:textFill>
        </w:rPr>
      </w:pPr>
    </w:p>
    <w:p>
      <w:pPr>
        <w:pStyle w:val="5"/>
        <w:spacing w:before="0" w:after="0"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1155"/>
      <w:bookmarkStart w:id="1543" w:name="_Toc2631"/>
      <w:bookmarkStart w:id="1544" w:name="_Toc7337"/>
      <w:bookmarkStart w:id="1545" w:name="_Toc12666"/>
      <w:bookmarkStart w:id="1546" w:name="_Toc28068"/>
      <w:bookmarkStart w:id="1547" w:name="_Toc5365"/>
      <w:bookmarkStart w:id="1548" w:name="_Toc592"/>
      <w:bookmarkStart w:id="1549" w:name="_Toc102746158"/>
      <w:bookmarkStart w:id="1550" w:name="_Toc11617"/>
      <w:bookmarkStart w:id="1551" w:name="_Toc4269"/>
      <w:r>
        <w:rPr>
          <w:rFonts w:hint="eastAsia" w:ascii="宋体"/>
          <w:color w:val="000000" w:themeColor="text1"/>
          <w:highlight w:val="none"/>
          <w14:textFill>
            <w14:solidFill>
              <w14:schemeClr w14:val="tx1"/>
            </w14:solidFill>
          </w14:textFill>
        </w:rPr>
        <w:t>附件</w:t>
      </w:r>
      <w:r>
        <w:rPr>
          <w:rFonts w:ascii="宋体"/>
          <w:color w:val="000000" w:themeColor="text1"/>
          <w:highlight w:val="none"/>
          <w14:textFill>
            <w14:solidFill>
              <w14:schemeClr w14:val="tx1"/>
            </w14:solidFill>
          </w14:textFill>
        </w:rPr>
        <w:t>7</w:t>
      </w:r>
      <w:r>
        <w:rPr>
          <w:rFonts w:hint="eastAsia" w:ascii="宋体"/>
          <w:color w:val="000000" w:themeColor="text1"/>
          <w:highlight w:val="none"/>
          <w14:textFill>
            <w14:solidFill>
              <w14:schemeClr w14:val="tx1"/>
            </w14:solidFill>
          </w14:textFill>
        </w:rPr>
        <w:t>：南沙区建设工程项目廉洁责任合同</w:t>
      </w:r>
      <w:bookmarkEnd w:id="1543"/>
      <w:bookmarkEnd w:id="1544"/>
      <w:bookmarkEnd w:id="1545"/>
      <w:bookmarkEnd w:id="1546"/>
      <w:bookmarkEnd w:id="1547"/>
      <w:bookmarkEnd w:id="1548"/>
      <w:bookmarkEnd w:id="1549"/>
      <w:bookmarkEnd w:id="1550"/>
      <w:bookmarkEnd w:id="1551"/>
    </w:p>
    <w:p>
      <w:pPr>
        <w:snapToGrid w:val="0"/>
        <w:spacing w:line="360" w:lineRule="auto"/>
        <w:jc w:val="center"/>
        <w:rPr>
          <w:rFonts w:ascii="宋体"/>
          <w:b/>
          <w:color w:val="000000" w:themeColor="text1"/>
          <w:sz w:val="36"/>
          <w:highlight w:val="none"/>
          <w14:textFill>
            <w14:solidFill>
              <w14:schemeClr w14:val="tx1"/>
            </w14:solidFill>
          </w14:textFill>
        </w:rPr>
      </w:pPr>
      <w:bookmarkStart w:id="1552" w:name="_Toc17340"/>
      <w:bookmarkStart w:id="1553" w:name="_Toc25926"/>
      <w:r>
        <w:rPr>
          <w:rFonts w:hint="eastAsia" w:ascii="宋体"/>
          <w:b/>
          <w:color w:val="000000" w:themeColor="text1"/>
          <w:sz w:val="36"/>
          <w:highlight w:val="none"/>
          <w14:textFill>
            <w14:solidFill>
              <w14:schemeClr w14:val="tx1"/>
            </w14:solidFill>
          </w14:textFill>
        </w:rPr>
        <w:t>南沙区建设工程项目廉洁责任合同</w:t>
      </w:r>
      <w:bookmarkEnd w:id="1552"/>
      <w:bookmarkEnd w:id="1553"/>
    </w:p>
    <w:p>
      <w:pPr>
        <w:adjustRightInd w:val="0"/>
        <w:snapToGrid w:val="0"/>
        <w:spacing w:line="360" w:lineRule="auto"/>
        <w:rPr>
          <w:rFonts w:ascii="宋体"/>
          <w:color w:val="000000" w:themeColor="text1"/>
          <w:sz w:val="24"/>
          <w:szCs w:val="24"/>
          <w:highlight w:val="none"/>
          <w:u w:val="singl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发包人（委托人）：</w:t>
      </w:r>
      <w:r>
        <w:rPr>
          <w:rFonts w:hint="eastAsia" w:ascii="宋体"/>
          <w:color w:val="000000" w:themeColor="text1"/>
          <w:sz w:val="24"/>
          <w:szCs w:val="24"/>
          <w:highlight w:val="none"/>
          <w:u w:val="single"/>
          <w14:textFill>
            <w14:solidFill>
              <w14:schemeClr w14:val="tx1"/>
            </w14:solidFill>
          </w14:textFill>
        </w:rPr>
        <w:t>广州市南沙新区产业园区开发建设管理局</w:t>
      </w:r>
      <w:r>
        <w:rPr>
          <w:rFonts w:ascii="宋体"/>
          <w:color w:val="000000" w:themeColor="text1"/>
          <w:sz w:val="24"/>
          <w:szCs w:val="24"/>
          <w:highlight w:val="none"/>
          <w:u w:val="single"/>
          <w14:textFill>
            <w14:solidFill>
              <w14:schemeClr w14:val="tx1"/>
            </w14:solidFill>
          </w14:textFill>
        </w:rPr>
        <w:t xml:space="preserve"> (</w:t>
      </w:r>
      <w:r>
        <w:rPr>
          <w:rFonts w:hint="eastAsia" w:ascii="宋体"/>
          <w:color w:val="000000" w:themeColor="text1"/>
          <w:sz w:val="24"/>
          <w:szCs w:val="24"/>
          <w:highlight w:val="none"/>
          <w:u w:val="single"/>
          <w14:textFill>
            <w14:solidFill>
              <w14:schemeClr w14:val="tx1"/>
            </w14:solidFill>
          </w14:textFill>
        </w:rPr>
        <w:t>业主</w:t>
      </w:r>
      <w:r>
        <w:rPr>
          <w:rFonts w:ascii="宋体"/>
          <w:color w:val="000000" w:themeColor="text1"/>
          <w:sz w:val="24"/>
          <w:szCs w:val="24"/>
          <w:highlight w:val="none"/>
          <w:u w:val="single"/>
          <w14:textFill>
            <w14:solidFill>
              <w14:schemeClr w14:val="tx1"/>
            </w14:solidFill>
          </w14:textFill>
        </w:rPr>
        <w:t>)</w:t>
      </w:r>
    </w:p>
    <w:p>
      <w:pPr>
        <w:adjustRightInd w:val="0"/>
        <w:snapToGrid w:val="0"/>
        <w:spacing w:line="360" w:lineRule="auto"/>
        <w:ind w:right="-1050" w:rightChars="-500" w:firstLine="2112" w:firstLineChars="880"/>
        <w:rPr>
          <w:rFonts w:ascii="宋体"/>
          <w:bCs/>
          <w:color w:val="000000" w:themeColor="text1"/>
          <w:sz w:val="24"/>
          <w:szCs w:val="24"/>
          <w:highlight w:val="none"/>
          <w14:textFill>
            <w14:solidFill>
              <w14:schemeClr w14:val="tx1"/>
            </w14:solidFill>
          </w14:textFill>
        </w:rPr>
      </w:pPr>
      <w:r>
        <w:rPr>
          <w:rFonts w:hint="eastAsia" w:ascii="宋体" w:hAnsi="宋体" w:cs="宋体"/>
          <w:bCs/>
          <w:i/>
          <w:iCs/>
          <w:color w:val="000000" w:themeColor="text1"/>
          <w:sz w:val="24"/>
          <w:szCs w:val="24"/>
          <w:highlight w:val="none"/>
          <w:u w:val="single"/>
          <w14:textFill>
            <w14:solidFill>
              <w14:schemeClr w14:val="tx1"/>
            </w14:solidFill>
          </w14:textFill>
        </w:rPr>
        <w:t>[如有则补充,无则删除]（建设管理单位）</w:t>
      </w: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承包人（受托人）：</w:t>
      </w:r>
      <w:r>
        <w:rPr>
          <w:rFonts w:hint="eastAsia" w:ascii="宋体"/>
          <w:color w:val="000000" w:themeColor="text1"/>
          <w:sz w:val="24"/>
          <w:szCs w:val="24"/>
          <w:highlight w:val="none"/>
          <w:u w:val="single"/>
          <w14:textFill>
            <w14:solidFill>
              <w14:schemeClr w14:val="tx1"/>
            </w14:solidFill>
          </w14:textFill>
        </w:rPr>
        <w:t>【】</w:t>
      </w:r>
    </w:p>
    <w:p>
      <w:pPr>
        <w:adjustRightInd w:val="0"/>
        <w:snapToGrid w:val="0"/>
        <w:spacing w:line="360" w:lineRule="auto"/>
        <w:rPr>
          <w:rFonts w:ascii="宋体"/>
          <w:color w:val="000000" w:themeColor="text1"/>
          <w:sz w:val="24"/>
          <w:szCs w:val="24"/>
          <w:highlight w:val="none"/>
          <w:u w:val="singl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建设工程项目：</w:t>
      </w:r>
      <w:r>
        <w:rPr>
          <w:rFonts w:hint="eastAsia" w:ascii="宋体"/>
          <w:color w:val="000000" w:themeColor="text1"/>
          <w:sz w:val="24"/>
          <w:szCs w:val="24"/>
          <w:highlight w:val="none"/>
          <w:u w:val="single"/>
          <w14:textFill>
            <w14:solidFill>
              <w14:schemeClr w14:val="tx1"/>
            </w14:solidFill>
          </w14:textFill>
        </w:rPr>
        <w:t>【】</w:t>
      </w:r>
    </w:p>
    <w:p>
      <w:pPr>
        <w:adjustRightInd w:val="0"/>
        <w:snapToGrid w:val="0"/>
        <w:spacing w:line="360" w:lineRule="auto"/>
        <w:rPr>
          <w:rFonts w:ascii="宋体"/>
          <w:color w:val="000000" w:themeColor="text1"/>
          <w:sz w:val="24"/>
          <w:szCs w:val="24"/>
          <w:highlight w:val="none"/>
          <w:u w:val="singl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建设工程地点：</w:t>
      </w:r>
      <w:r>
        <w:rPr>
          <w:rFonts w:hint="eastAsia" w:ascii="宋体"/>
          <w:color w:val="000000" w:themeColor="text1"/>
          <w:sz w:val="24"/>
          <w:szCs w:val="24"/>
          <w:highlight w:val="none"/>
          <w:u w:val="single"/>
          <w14:textFill>
            <w14:solidFill>
              <w14:schemeClr w14:val="tx1"/>
            </w14:solidFill>
          </w14:textFill>
        </w:rPr>
        <w:t>广州市南沙区</w:t>
      </w:r>
    </w:p>
    <w:p>
      <w:pPr>
        <w:adjustRightInd w:val="0"/>
        <w:snapToGrid w:val="0"/>
        <w:spacing w:line="360" w:lineRule="auto"/>
        <w:ind w:firstLine="600" w:firstLineChars="250"/>
        <w:rPr>
          <w:rFonts w:ascii="宋体"/>
          <w:color w:val="000000" w:themeColor="text1"/>
          <w:sz w:val="24"/>
          <w:szCs w:val="24"/>
          <w:highlight w:val="none"/>
          <w14:textFill>
            <w14:solidFill>
              <w14:schemeClr w14:val="tx1"/>
            </w14:solidFill>
          </w14:textFill>
        </w:rPr>
      </w:pP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第一条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本合同适用于南沙区政府财政资金和国有资金占控股或主导地位的公开招标类建设工程项目，涵盖工程施工类及服务类合同。辖区范围内其他工程项目可参照执行。</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第二条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发包人及其工作人员不得利用项目或职权为本人及亲属谋取不正当利益，包括下列行为：</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2.1  </w:t>
      </w:r>
      <w:r>
        <w:rPr>
          <w:rFonts w:hint="eastAsia" w:ascii="宋体"/>
          <w:color w:val="000000" w:themeColor="text1"/>
          <w:sz w:val="24"/>
          <w:szCs w:val="24"/>
          <w:highlight w:val="none"/>
          <w14:textFill>
            <w14:solidFill>
              <w14:schemeClr w14:val="tx1"/>
            </w14:solidFill>
          </w14:textFill>
        </w:rPr>
        <w:t>索取、接受或者以借为名占用承包人的财物，包括但不限于任何形式的礼品礼金、好处费、回扣、各种有价证券、购物卡及其他支付凭证、房产、车辆、贵重物品等；</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2.2  </w:t>
      </w:r>
      <w:r>
        <w:rPr>
          <w:rFonts w:hint="eastAsia" w:ascii="宋体"/>
          <w:color w:val="000000" w:themeColor="text1"/>
          <w:sz w:val="24"/>
          <w:szCs w:val="24"/>
          <w:highlight w:val="none"/>
          <w14:textFill>
            <w14:solidFill>
              <w14:schemeClr w14:val="tx1"/>
            </w14:solidFill>
          </w14:textFill>
        </w:rPr>
        <w:t>接受承包人宴请（工作餐除外）及旅游、健身、娱乐等活动安排；</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2.3  </w:t>
      </w:r>
      <w:r>
        <w:rPr>
          <w:rFonts w:hint="eastAsia" w:ascii="宋体"/>
          <w:color w:val="000000" w:themeColor="text1"/>
          <w:sz w:val="24"/>
          <w:szCs w:val="24"/>
          <w:highlight w:val="none"/>
          <w14:textFill>
            <w14:solidFill>
              <w14:schemeClr w14:val="tx1"/>
            </w14:solidFill>
          </w14:textFill>
        </w:rPr>
        <w:t>向承包人报销任何应由自身承担、支付的费用；</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2.4  </w:t>
      </w:r>
      <w:r>
        <w:rPr>
          <w:rFonts w:hint="eastAsia" w:ascii="宋体"/>
          <w:color w:val="000000" w:themeColor="text1"/>
          <w:sz w:val="24"/>
          <w:szCs w:val="24"/>
          <w:highlight w:val="none"/>
          <w14:textFill>
            <w14:solidFill>
              <w14:schemeClr w14:val="tx1"/>
            </w14:solidFill>
          </w14:textFill>
        </w:rPr>
        <w:t>向承包人推荐分包人，推销材料和设备，要求承包人购买指定的材料和设备；</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2.5  </w:t>
      </w:r>
      <w:r>
        <w:rPr>
          <w:rFonts w:hint="eastAsia" w:ascii="宋体"/>
          <w:color w:val="000000" w:themeColor="text1"/>
          <w:sz w:val="24"/>
          <w:szCs w:val="24"/>
          <w:highlight w:val="none"/>
          <w14:textFill>
            <w14:solidFill>
              <w14:schemeClr w14:val="tx1"/>
            </w14:solidFill>
          </w14:textFill>
        </w:rPr>
        <w:t>私自为建设工程安排施工队伍，从事与建设工程有关的各种有偿中介服务；</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2.6  </w:t>
      </w:r>
      <w:r>
        <w:rPr>
          <w:rFonts w:hint="eastAsia" w:ascii="宋体"/>
          <w:color w:val="000000" w:themeColor="text1"/>
          <w:sz w:val="24"/>
          <w:szCs w:val="24"/>
          <w:highlight w:val="none"/>
          <w14:textFill>
            <w14:solidFill>
              <w14:schemeClr w14:val="tx1"/>
            </w14:solidFill>
          </w14:textFill>
        </w:rPr>
        <w:t>要求或者暗示承包人为本人或亲属的工作安排、职务晋升、经商办企业、出国出境、旅游、留学、探亲、定居等提供资助或便利；</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2.7  </w:t>
      </w:r>
      <w:r>
        <w:rPr>
          <w:rFonts w:hint="eastAsia" w:ascii="宋体"/>
          <w:color w:val="000000" w:themeColor="text1"/>
          <w:sz w:val="24"/>
          <w:szCs w:val="24"/>
          <w:highlight w:val="none"/>
          <w14:textFill>
            <w14:solidFill>
              <w14:schemeClr w14:val="tx1"/>
            </w14:solidFill>
          </w14:textFill>
        </w:rPr>
        <w:t>默许、纵容、授意亲属收受承包人财物，或从事与建设工程有关的材料和设备供应、工程分包、劳务等经济活动；</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2.8  </w:t>
      </w:r>
      <w:r>
        <w:rPr>
          <w:rFonts w:hint="eastAsia" w:ascii="宋体"/>
          <w:color w:val="000000" w:themeColor="text1"/>
          <w:sz w:val="24"/>
          <w:szCs w:val="24"/>
          <w:highlight w:val="none"/>
          <w14:textFill>
            <w14:solidFill>
              <w14:schemeClr w14:val="tx1"/>
            </w14:solidFill>
          </w14:textFill>
        </w:rPr>
        <w:t>其他利用项目或职权谋取不正当利益的行为。</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第三条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承包人及其工作人员不得通过商业贿赂等不正当手段谋取利益，包括下列行为：</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3.1  </w:t>
      </w:r>
      <w:r>
        <w:rPr>
          <w:rFonts w:hint="eastAsia" w:ascii="宋体"/>
          <w:color w:val="000000" w:themeColor="text1"/>
          <w:sz w:val="24"/>
          <w:szCs w:val="24"/>
          <w:highlight w:val="none"/>
          <w14:textFill>
            <w14:solidFill>
              <w14:schemeClr w14:val="tx1"/>
            </w14:solidFill>
          </w14:textFill>
        </w:rPr>
        <w:t>同意或主动向发包人及其工作人员提供第二条约定的禁止性行为；</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3.2  </w:t>
      </w:r>
      <w:r>
        <w:rPr>
          <w:rFonts w:hint="eastAsia" w:ascii="宋体"/>
          <w:color w:val="000000" w:themeColor="text1"/>
          <w:sz w:val="24"/>
          <w:szCs w:val="24"/>
          <w:highlight w:val="none"/>
          <w14:textFill>
            <w14:solidFill>
              <w14:schemeClr w14:val="tx1"/>
            </w14:solidFill>
          </w14:textFill>
        </w:rPr>
        <w:t>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3.3  </w:t>
      </w:r>
      <w:r>
        <w:rPr>
          <w:rFonts w:hint="eastAsia" w:ascii="宋体"/>
          <w:color w:val="000000" w:themeColor="text1"/>
          <w:sz w:val="24"/>
          <w:szCs w:val="24"/>
          <w:highlight w:val="none"/>
          <w14:textFill>
            <w14:solidFill>
              <w14:schemeClr w14:val="tx1"/>
            </w14:solidFill>
          </w14:textFill>
        </w:rPr>
        <w:t>接受与建设工程相关的代建、施工、监理（项目管理）、勘察、设计、咨询等有关单位及其工作人员的商业贿赂。</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3.4  </w:t>
      </w:r>
      <w:r>
        <w:rPr>
          <w:rFonts w:hint="eastAsia" w:ascii="宋体"/>
          <w:color w:val="000000" w:themeColor="text1"/>
          <w:sz w:val="24"/>
          <w:szCs w:val="24"/>
          <w:highlight w:val="none"/>
          <w14:textFill>
            <w14:solidFill>
              <w14:schemeClr w14:val="tx1"/>
            </w14:solidFill>
          </w14:textFill>
        </w:rPr>
        <w:t>接受分包（工程分包、劳务分包等）单位、材料设备供应单位等单位及其工作人员的商业贿赂。</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3.5  </w:t>
      </w:r>
      <w:r>
        <w:rPr>
          <w:rFonts w:hint="eastAsia" w:ascii="宋体"/>
          <w:color w:val="000000" w:themeColor="text1"/>
          <w:sz w:val="24"/>
          <w:szCs w:val="24"/>
          <w:highlight w:val="none"/>
          <w14:textFill>
            <w14:solidFill>
              <w14:schemeClr w14:val="tx1"/>
            </w14:solidFill>
          </w14:textFill>
        </w:rPr>
        <w:t>其他通过不正当手段谋取利益的行为。</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第四条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发包人、承包人及双方工作人员不得违规干预或插手建设工程招投标活动，禁止串通投标（围标）等不正当竞争行为。</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第五条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廉洁风险防控机制</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第六条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廉洁违约责任</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6.1  </w:t>
      </w:r>
      <w:r>
        <w:rPr>
          <w:rFonts w:hint="eastAsia" w:ascii="宋体"/>
          <w:color w:val="000000" w:themeColor="text1"/>
          <w:sz w:val="24"/>
          <w:szCs w:val="24"/>
          <w:highlight w:val="none"/>
          <w14:textFill>
            <w14:solidFill>
              <w14:schemeClr w14:val="tx1"/>
            </w14:solidFill>
          </w14:textFill>
        </w:rPr>
        <w:t>发包人及其工作人员违反本合同第二条和第四条规定，相关责任人应受到相应的党纪政务（纪）处分，涉嫌犯罪的，移送司法机关依法处理；给承包人造成经济损失的，应承担相应的赔偿责任。</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t xml:space="preserve">6.2  </w:t>
      </w:r>
      <w:r>
        <w:rPr>
          <w:rFonts w:hint="eastAsia" w:ascii="宋体"/>
          <w:color w:val="000000" w:themeColor="text1"/>
          <w:sz w:val="24"/>
          <w:szCs w:val="24"/>
          <w:highlight w:val="none"/>
          <w14:textFill>
            <w14:solidFill>
              <w14:schemeClr w14:val="tx1"/>
            </w14:solidFill>
          </w14:textFill>
        </w:rPr>
        <w:t>承包人</w:t>
      </w:r>
      <w:r>
        <w:rPr>
          <w:rFonts w:hint="eastAsia" w:ascii="宋体"/>
          <w:bCs/>
          <w:color w:val="000000" w:themeColor="text1"/>
          <w:sz w:val="24"/>
          <w:szCs w:val="24"/>
          <w:highlight w:val="none"/>
          <w14:textFill>
            <w14:solidFill>
              <w14:schemeClr w14:val="tx1"/>
            </w14:solidFill>
          </w14:textFill>
        </w:rPr>
        <w:t>及其工作人员</w:t>
      </w:r>
      <w:r>
        <w:rPr>
          <w:rFonts w:hint="eastAsia" w:ascii="宋体"/>
          <w:color w:val="000000" w:themeColor="text1"/>
          <w:sz w:val="24"/>
          <w:szCs w:val="24"/>
          <w:highlight w:val="none"/>
          <w14:textFill>
            <w14:solidFill>
              <w14:schemeClr w14:val="tx1"/>
            </w14:solidFill>
          </w14:textFill>
        </w:rPr>
        <w:t>违反本合同第三条和第四条规定，经有关主管部门查证属实或者经纪检监察机关认定违纪、经司法机关依法确定构成违法犯罪的，承包人应按次向发包人支付廉洁违约金（施工类建设项目合同价款</w:t>
      </w:r>
      <w:r>
        <w:rPr>
          <w:rFonts w:ascii="宋体"/>
          <w:color w:val="000000" w:themeColor="text1"/>
          <w:sz w:val="24"/>
          <w:szCs w:val="24"/>
          <w:highlight w:val="none"/>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且不超过</w:t>
      </w:r>
      <w:r>
        <w:rPr>
          <w:rFonts w:ascii="宋体"/>
          <w:color w:val="000000" w:themeColor="text1"/>
          <w:sz w:val="24"/>
          <w:szCs w:val="24"/>
          <w:highlight w:val="none"/>
          <w14:textFill>
            <w14:solidFill>
              <w14:schemeClr w14:val="tx1"/>
            </w14:solidFill>
          </w14:textFill>
        </w:rPr>
        <w:t>100</w:t>
      </w:r>
      <w:r>
        <w:rPr>
          <w:rFonts w:hint="eastAsia" w:ascii="宋体"/>
          <w:color w:val="000000" w:themeColor="text1"/>
          <w:sz w:val="24"/>
          <w:szCs w:val="24"/>
          <w:highlight w:val="none"/>
          <w14:textFill>
            <w14:solidFill>
              <w14:schemeClr w14:val="tx1"/>
            </w14:solidFill>
          </w14:textFill>
        </w:rPr>
        <w:t>万元人民币，服务类建设项目合同价款</w:t>
      </w:r>
      <w:r>
        <w:rPr>
          <w:rFonts w:ascii="宋体"/>
          <w:color w:val="000000" w:themeColor="text1"/>
          <w:sz w:val="24"/>
          <w:szCs w:val="24"/>
          <w:highlight w:val="none"/>
          <w14:textFill>
            <w14:solidFill>
              <w14:schemeClr w14:val="tx1"/>
            </w14:solidFill>
          </w14:textFill>
        </w:rPr>
        <w:t>5%</w:t>
      </w:r>
      <w:r>
        <w:rPr>
          <w:rFonts w:hint="eastAsia" w:ascii="宋体"/>
          <w:color w:val="000000" w:themeColor="text1"/>
          <w:sz w:val="24"/>
          <w:szCs w:val="24"/>
          <w:highlight w:val="none"/>
          <w14:textFill>
            <w14:solidFill>
              <w14:schemeClr w14:val="tx1"/>
            </w14:solidFill>
          </w14:textFill>
        </w:rPr>
        <w:t>且不超过</w:t>
      </w:r>
      <w:r>
        <w:rPr>
          <w:rFonts w:ascii="宋体"/>
          <w:color w:val="000000" w:themeColor="text1"/>
          <w:sz w:val="24"/>
          <w:szCs w:val="24"/>
          <w:highlight w:val="none"/>
          <w14:textFill>
            <w14:solidFill>
              <w14:schemeClr w14:val="tx1"/>
            </w14:solidFill>
          </w14:textFill>
        </w:rPr>
        <w:t>50</w:t>
      </w:r>
      <w:r>
        <w:rPr>
          <w:rFonts w:hint="eastAsia" w:ascii="宋体"/>
          <w:color w:val="000000" w:themeColor="text1"/>
          <w:sz w:val="24"/>
          <w:szCs w:val="24"/>
          <w:highlight w:val="none"/>
          <w14:textFill>
            <w14:solidFill>
              <w14:schemeClr w14:val="tx1"/>
            </w14:solidFill>
          </w14:textFill>
        </w:rPr>
        <w:t>万元人民币）；给发包人造成经济损失的，还应承担相应的赔偿责任。同时，发包人有权：（</w:t>
      </w:r>
      <w:r>
        <w:rPr>
          <w:rFonts w:ascii="宋体"/>
          <w:color w:val="000000" w:themeColor="text1"/>
          <w:sz w:val="24"/>
          <w:szCs w:val="24"/>
          <w:highlight w:val="none"/>
          <w14:textFill>
            <w14:solidFill>
              <w14:schemeClr w14:val="tx1"/>
            </w14:solidFill>
          </w14:textFill>
        </w:rPr>
        <w:t>1</w:t>
      </w:r>
      <w:r>
        <w:rPr>
          <w:rFonts w:hint="eastAsia" w:ascii="宋体"/>
          <w:color w:val="000000" w:themeColor="text1"/>
          <w:sz w:val="24"/>
          <w:szCs w:val="24"/>
          <w:highlight w:val="none"/>
          <w14:textFill>
            <w14:solidFill>
              <w14:schemeClr w14:val="tx1"/>
            </w14:solidFill>
          </w14:textFill>
        </w:rPr>
        <w:t>）如承包人的行为严重影响合同的履行或者严重干扰市场公平竞争营商环境，可单方解除主合同；（</w:t>
      </w:r>
      <w:r>
        <w:rPr>
          <w:rFonts w:ascii="宋体"/>
          <w:color w:val="000000" w:themeColor="text1"/>
          <w:sz w:val="24"/>
          <w:szCs w:val="24"/>
          <w:highlight w:val="none"/>
          <w14:textFill>
            <w14:solidFill>
              <w14:schemeClr w14:val="tx1"/>
            </w14:solidFill>
          </w14:textFill>
        </w:rPr>
        <w:t>2</w:t>
      </w:r>
      <w:r>
        <w:rPr>
          <w:rFonts w:hint="eastAsia" w:ascii="宋体"/>
          <w:color w:val="000000" w:themeColor="text1"/>
          <w:sz w:val="24"/>
          <w:szCs w:val="24"/>
          <w:highlight w:val="none"/>
          <w14:textFill>
            <w14:solidFill>
              <w14:schemeClr w14:val="tx1"/>
            </w14:solidFill>
          </w14:textFill>
        </w:rPr>
        <w:t>）将承包人的履约评价评为不合格，并拒绝其参与发包人负责实施项目的投标或摇珠；（</w:t>
      </w:r>
      <w:r>
        <w:rPr>
          <w:rFonts w:ascii="宋体"/>
          <w:color w:val="000000" w:themeColor="text1"/>
          <w:sz w:val="24"/>
          <w:szCs w:val="24"/>
          <w:highlight w:val="none"/>
          <w14:textFill>
            <w14:solidFill>
              <w14:schemeClr w14:val="tx1"/>
            </w14:solidFill>
          </w14:textFill>
        </w:rPr>
        <w:t>3</w:t>
      </w:r>
      <w:r>
        <w:rPr>
          <w:rFonts w:hint="eastAsia" w:ascii="宋体"/>
          <w:color w:val="000000" w:themeColor="text1"/>
          <w:sz w:val="24"/>
          <w:szCs w:val="24"/>
          <w:highlight w:val="none"/>
          <w14:textFill>
            <w14:solidFill>
              <w14:schemeClr w14:val="tx1"/>
            </w14:solidFill>
          </w14:textFill>
        </w:rPr>
        <w:t>）将有关情况报相关主管部门记录，作为企业诚信评分考核，建议给予通报并向社会进行公示。</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第七条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监督举报</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pPr>
        <w:adjustRightInd w:val="0"/>
        <w:snapToGrid w:val="0"/>
        <w:spacing w:line="360" w:lineRule="auto"/>
        <w:ind w:firstLine="482" w:firstLineChars="200"/>
        <w:rPr>
          <w:rFonts w:ascii="宋体"/>
          <w:color w:val="000000" w:themeColor="text1"/>
          <w:sz w:val="24"/>
          <w:szCs w:val="24"/>
          <w:highlight w:val="none"/>
          <w14:textFill>
            <w14:solidFill>
              <w14:schemeClr w14:val="tx1"/>
            </w14:solidFill>
          </w14:textFill>
        </w:rPr>
      </w:pPr>
      <w:r>
        <w:rPr>
          <w:rFonts w:hint="eastAsia" w:ascii="宋体"/>
          <w:b/>
          <w:bCs/>
          <w:color w:val="000000" w:themeColor="text1"/>
          <w:sz w:val="24"/>
          <w:szCs w:val="24"/>
          <w:highlight w:val="none"/>
          <w14:textFill>
            <w14:solidFill>
              <w14:schemeClr w14:val="tx1"/>
            </w14:solidFill>
          </w14:textFill>
        </w:rPr>
        <w:t>南沙区纪委监委举报方式</w:t>
      </w:r>
      <w:r>
        <w:rPr>
          <w:rFonts w:hint="eastAsia" w:asci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来信举报：广州市南沙区凤凰大道一号南沙区纪委监委信访室，邮编</w:t>
      </w:r>
      <w:r>
        <w:rPr>
          <w:rFonts w:ascii="宋体"/>
          <w:color w:val="000000" w:themeColor="text1"/>
          <w:sz w:val="24"/>
          <w:szCs w:val="24"/>
          <w:highlight w:val="none"/>
          <w14:textFill>
            <w14:solidFill>
              <w14:schemeClr w14:val="tx1"/>
            </w14:solidFill>
          </w14:textFill>
        </w:rPr>
        <w:t>511455</w:t>
      </w:r>
      <w:r>
        <w:rPr>
          <w:rFonts w:hint="eastAsia" w:asci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电话举报：</w:t>
      </w:r>
      <w:r>
        <w:rPr>
          <w:rFonts w:ascii="宋体"/>
          <w:color w:val="000000" w:themeColor="text1"/>
          <w:sz w:val="24"/>
          <w:szCs w:val="24"/>
          <w:highlight w:val="none"/>
          <w14:textFill>
            <w14:solidFill>
              <w14:schemeClr w14:val="tx1"/>
            </w14:solidFill>
          </w14:textFill>
        </w:rPr>
        <w:t>020-84986949</w:t>
      </w:r>
      <w:r>
        <w:rPr>
          <w:rFonts w:hint="eastAsia" w:ascii="宋体"/>
          <w:color w:val="000000" w:themeColor="text1"/>
          <w:sz w:val="24"/>
          <w:szCs w:val="24"/>
          <w:highlight w:val="none"/>
          <w14:textFill>
            <w14:solidFill>
              <w14:schemeClr w14:val="tx1"/>
            </w14:solidFill>
          </w14:textFill>
        </w:rPr>
        <w:t>，</w:t>
      </w:r>
      <w:r>
        <w:rPr>
          <w:rFonts w:ascii="宋体"/>
          <w:color w:val="000000" w:themeColor="text1"/>
          <w:sz w:val="24"/>
          <w:szCs w:val="24"/>
          <w:highlight w:val="none"/>
          <w14:textFill>
            <w14:solidFill>
              <w14:schemeClr w14:val="tx1"/>
            </w14:solidFill>
          </w14:textFill>
        </w:rPr>
        <w:t>020-12388</w:t>
      </w:r>
      <w:r>
        <w:rPr>
          <w:rFonts w:hint="eastAsia" w:ascii="宋体"/>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网络举报：</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"http://guangdong.12388.gov.cn；" </w:instrText>
      </w:r>
      <w:r>
        <w:rPr>
          <w:color w:val="000000" w:themeColor="text1"/>
          <w:highlight w:val="none"/>
          <w14:textFill>
            <w14:solidFill>
              <w14:schemeClr w14:val="tx1"/>
            </w14:solidFill>
          </w14:textFill>
        </w:rPr>
        <w:fldChar w:fldCharType="separate"/>
      </w:r>
      <w:r>
        <w:rPr>
          <w:rFonts w:ascii="宋体"/>
          <w:color w:val="000000" w:themeColor="text1"/>
          <w:sz w:val="24"/>
          <w:szCs w:val="24"/>
          <w:highlight w:val="none"/>
          <w14:textFill>
            <w14:solidFill>
              <w14:schemeClr w14:val="tx1"/>
            </w14:solidFill>
          </w14:textFill>
        </w:rPr>
        <w:t>http://guangdong.12388.gov.cn</w:t>
      </w:r>
      <w:r>
        <w:rPr>
          <w:rFonts w:hint="eastAsia"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fldChar w:fldCharType="end"/>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ascii="宋体"/>
          <w:color w:val="000000" w:themeColor="text1"/>
          <w:sz w:val="24"/>
          <w:szCs w:val="24"/>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1579245</wp:posOffset>
            </wp:positionH>
            <wp:positionV relativeFrom="paragraph">
              <wp:posOffset>416560</wp:posOffset>
            </wp:positionV>
            <wp:extent cx="1991360" cy="2440940"/>
            <wp:effectExtent l="0" t="0" r="0" b="0"/>
            <wp:wrapTopAndBottom/>
            <wp:docPr id="7"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 descr="160342466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91360" cy="2440940"/>
                    </a:xfrm>
                    <a:prstGeom prst="rect">
                      <a:avLst/>
                    </a:prstGeom>
                    <a:noFill/>
                  </pic:spPr>
                </pic:pic>
              </a:graphicData>
            </a:graphic>
          </wp:anchor>
        </w:drawing>
      </w:r>
      <w:r>
        <w:rPr>
          <w:rFonts w:hint="eastAsia" w:ascii="宋体"/>
          <w:color w:val="000000" w:themeColor="text1"/>
          <w:sz w:val="24"/>
          <w:szCs w:val="24"/>
          <w:highlight w:val="none"/>
          <w14:textFill>
            <w14:solidFill>
              <w14:schemeClr w14:val="tx1"/>
            </w14:solidFill>
          </w14:textFill>
        </w:rPr>
        <w:t>二维码举报：</w:t>
      </w:r>
    </w:p>
    <w:p>
      <w:pPr>
        <w:adjustRightInd w:val="0"/>
        <w:snapToGrid w:val="0"/>
        <w:spacing w:line="360" w:lineRule="auto"/>
        <w:ind w:firstLine="482" w:firstLineChars="200"/>
        <w:rPr>
          <w:rFonts w:ascii="宋体"/>
          <w:b/>
          <w:color w:val="000000" w:themeColor="text1"/>
          <w:sz w:val="24"/>
          <w:szCs w:val="24"/>
          <w:highlight w:val="none"/>
          <w14:textFill>
            <w14:solidFill>
              <w14:schemeClr w14:val="tx1"/>
            </w14:solidFill>
          </w14:textFill>
        </w:rPr>
      </w:pPr>
      <w:r>
        <w:rPr>
          <w:rFonts w:hint="eastAsia" w:ascii="宋体"/>
          <w:b/>
          <w:color w:val="000000" w:themeColor="text1"/>
          <w:sz w:val="24"/>
          <w:szCs w:val="24"/>
          <w:highlight w:val="none"/>
          <w14:textFill>
            <w14:solidFill>
              <w14:schemeClr w14:val="tx1"/>
            </w14:solidFill>
          </w14:textFill>
        </w:rPr>
        <w:t>第八条</w:t>
      </w:r>
      <w:r>
        <w:rPr>
          <w:rFonts w:ascii="宋体"/>
          <w:b/>
          <w:color w:val="000000" w:themeColor="text1"/>
          <w:sz w:val="24"/>
          <w:szCs w:val="24"/>
          <w:highlight w:val="none"/>
          <w14:textFill>
            <w14:solidFill>
              <w14:schemeClr w14:val="tx1"/>
            </w14:solidFill>
          </w14:textFill>
        </w:rPr>
        <w:t xml:space="preserve">  </w:t>
      </w:r>
      <w:r>
        <w:rPr>
          <w:rFonts w:hint="eastAsia" w:ascii="宋体"/>
          <w:b/>
          <w:color w:val="000000" w:themeColor="text1"/>
          <w:sz w:val="24"/>
          <w:szCs w:val="24"/>
          <w:highlight w:val="none"/>
          <w14:textFill>
            <w14:solidFill>
              <w14:schemeClr w14:val="tx1"/>
            </w14:solidFill>
          </w14:textFill>
        </w:rPr>
        <w:t>其他约定</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本合同作为双方所签署主合同的附件，与主合同具有同等法律效力。对项目涉及的廉洁问题，不受项目竣工验收、工作人员离职或退休等原因影响，发包人、承包人仍应按合同约定承担相应的违约责任。</w:t>
      </w:r>
    </w:p>
    <w:p>
      <w:pPr>
        <w:adjustRightInd w:val="0"/>
        <w:snapToGrid w:val="0"/>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本合同经双方签署后生效。</w:t>
      </w:r>
    </w:p>
    <w:p>
      <w:pPr>
        <w:adjustRightInd w:val="0"/>
        <w:snapToGrid w:val="0"/>
        <w:spacing w:line="360" w:lineRule="auto"/>
        <w:rPr>
          <w:rFonts w:ascii="宋体"/>
          <w:color w:val="000000" w:themeColor="text1"/>
          <w:sz w:val="24"/>
          <w:szCs w:val="24"/>
          <w:highlight w:val="none"/>
          <w14:textFill>
            <w14:solidFill>
              <w14:schemeClr w14:val="tx1"/>
            </w14:solidFill>
          </w14:textFill>
        </w:rPr>
      </w:pPr>
    </w:p>
    <w:tbl>
      <w:tblPr>
        <w:tblStyle w:val="45"/>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发包人（公章）：广州市南沙新区产业园区开发建设管理局</w:t>
            </w:r>
            <w:r>
              <w:rPr>
                <w:rFonts w:ascii="宋体"/>
                <w:color w:val="000000" w:themeColor="text1"/>
                <w:sz w:val="24"/>
                <w:szCs w:val="24"/>
                <w:highlight w:val="none"/>
                <w14:textFill>
                  <w14:solidFill>
                    <w14:schemeClr w14:val="tx1"/>
                  </w14:solidFill>
                </w14:textFill>
              </w:rPr>
              <w:t xml:space="preserve"> (</w:t>
            </w:r>
            <w:r>
              <w:rPr>
                <w:rFonts w:hint="eastAsia" w:ascii="宋体"/>
                <w:color w:val="000000" w:themeColor="text1"/>
                <w:sz w:val="24"/>
                <w:szCs w:val="24"/>
                <w:highlight w:val="none"/>
                <w14:textFill>
                  <w14:solidFill>
                    <w14:schemeClr w14:val="tx1"/>
                  </w14:solidFill>
                </w14:textFill>
              </w:rPr>
              <w:t>业主</w:t>
            </w:r>
            <w:r>
              <w:rPr>
                <w:rFonts w:ascii="宋体"/>
                <w:color w:val="000000" w:themeColor="text1"/>
                <w:sz w:val="24"/>
                <w:szCs w:val="24"/>
                <w:highlight w:val="none"/>
                <w14:textFill>
                  <w14:solidFill>
                    <w14:schemeClr w14:val="tx1"/>
                  </w14:solidFill>
                </w14:textFill>
              </w:rPr>
              <w:t>)</w:t>
            </w:r>
          </w:p>
          <w:p>
            <w:pPr>
              <w:adjustRightInd w:val="0"/>
              <w:snapToGrid w:val="0"/>
              <w:spacing w:line="360" w:lineRule="auto"/>
              <w:rPr>
                <w:rFonts w:asci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法定代表人</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授权代理人</w:t>
            </w: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（签字）：</w:t>
            </w:r>
          </w:p>
          <w:p>
            <w:pPr>
              <w:adjustRightInd w:val="0"/>
              <w:snapToGrid w:val="0"/>
              <w:spacing w:line="360" w:lineRule="auto"/>
              <w:rPr>
                <w:rFonts w:asci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或党委书记</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纪委书记</w:t>
            </w: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（签字）</w:t>
            </w:r>
          </w:p>
        </w:tc>
        <w:tc>
          <w:tcPr>
            <w:tcW w:w="4530" w:type="dxa"/>
          </w:tcPr>
          <w:p>
            <w:pPr>
              <w:adjustRightInd w:val="0"/>
              <w:snapToGrid w:val="0"/>
              <w:spacing w:line="360" w:lineRule="auto"/>
              <w:rPr>
                <w:rFonts w:ascii="宋体"/>
                <w:bCs/>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发包人（公章）：</w:t>
            </w:r>
            <w:r>
              <w:rPr>
                <w:rFonts w:hint="eastAsia" w:ascii="宋体" w:hAnsi="宋体" w:cs="宋体"/>
                <w:bCs/>
                <w:i/>
                <w:iCs/>
                <w:color w:val="000000" w:themeColor="text1"/>
                <w:sz w:val="24"/>
                <w:szCs w:val="24"/>
                <w:highlight w:val="none"/>
                <w:u w:val="single"/>
                <w14:textFill>
                  <w14:solidFill>
                    <w14:schemeClr w14:val="tx1"/>
                  </w14:solidFill>
                </w14:textFill>
              </w:rPr>
              <w:t>[如有则补充,无则删除]（建设管理单位）</w:t>
            </w:r>
          </w:p>
          <w:p>
            <w:pPr>
              <w:adjustRightInd w:val="0"/>
              <w:snapToGrid w:val="0"/>
              <w:spacing w:line="360" w:lineRule="auto"/>
              <w:rPr>
                <w:rFonts w:asci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法定代表人</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授权代理人</w:t>
            </w: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（签字）：</w:t>
            </w:r>
          </w:p>
          <w:p>
            <w:pPr>
              <w:adjustRightInd w:val="0"/>
              <w:snapToGrid w:val="0"/>
              <w:spacing w:line="360" w:lineRule="auto"/>
              <w:rPr>
                <w:rFonts w:asci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或党委书记</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纪委书记</w:t>
            </w: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（签字）</w:t>
            </w:r>
          </w:p>
        </w:tc>
      </w:tr>
    </w:tbl>
    <w:p>
      <w:pPr>
        <w:adjustRightInd w:val="0"/>
        <w:snapToGrid w:val="0"/>
        <w:spacing w:line="360" w:lineRule="auto"/>
        <w:rPr>
          <w:rFonts w:ascii="宋体"/>
          <w:color w:val="000000" w:themeColor="text1"/>
          <w:sz w:val="24"/>
          <w:szCs w:val="24"/>
          <w:highlight w:val="none"/>
          <w14:textFill>
            <w14:solidFill>
              <w14:schemeClr w14:val="tx1"/>
            </w14:solidFill>
          </w14:textFill>
        </w:rPr>
      </w:pPr>
    </w:p>
    <w:tbl>
      <w:tblPr>
        <w:tblStyle w:val="45"/>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承包人（公章）：</w:t>
            </w:r>
          </w:p>
          <w:p>
            <w:pPr>
              <w:adjustRightInd w:val="0"/>
              <w:snapToGrid w:val="0"/>
              <w:spacing w:line="360" w:lineRule="auto"/>
              <w:rPr>
                <w:rFonts w:asci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法定代表人</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授权代理人</w:t>
            </w: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（签字）：</w:t>
            </w:r>
          </w:p>
          <w:p>
            <w:pPr>
              <w:adjustRightInd w:val="0"/>
              <w:snapToGrid w:val="0"/>
              <w:spacing w:line="360" w:lineRule="auto"/>
              <w:rPr>
                <w:rFonts w:ascii="宋体"/>
                <w:color w:val="000000" w:themeColor="text1"/>
                <w:sz w:val="24"/>
                <w:szCs w:val="24"/>
                <w:highlight w:val="none"/>
                <w14:textFill>
                  <w14:solidFill>
                    <w14:schemeClr w14:val="tx1"/>
                  </w14:solidFill>
                </w14:textFill>
              </w:rPr>
            </w:pP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或党委书记</w:t>
            </w:r>
            <w:r>
              <w:rPr>
                <w:rFonts w:ascii="宋体"/>
                <w:color w:val="000000" w:themeColor="text1"/>
                <w:sz w:val="24"/>
                <w:szCs w:val="24"/>
                <w:highlight w:val="none"/>
                <w14:textFill>
                  <w14:solidFill>
                    <w14:schemeClr w14:val="tx1"/>
                  </w14:solidFill>
                </w14:textFill>
              </w:rPr>
              <w:t>/</w:t>
            </w:r>
            <w:r>
              <w:rPr>
                <w:rFonts w:hint="eastAsia" w:ascii="宋体"/>
                <w:color w:val="000000" w:themeColor="text1"/>
                <w:sz w:val="24"/>
                <w:szCs w:val="24"/>
                <w:highlight w:val="none"/>
                <w14:textFill>
                  <w14:solidFill>
                    <w14:schemeClr w14:val="tx1"/>
                  </w14:solidFill>
                </w14:textFill>
              </w:rPr>
              <w:t>纪委书记</w:t>
            </w:r>
          </w:p>
          <w:p>
            <w:pPr>
              <w:adjustRightInd w:val="0"/>
              <w:snapToGrid w:val="0"/>
              <w:spacing w:line="360" w:lineRule="auto"/>
              <w:rPr>
                <w:rFonts w:ascii="宋体"/>
                <w:color w:val="000000" w:themeColor="text1"/>
                <w:sz w:val="24"/>
                <w:szCs w:val="24"/>
                <w:highlight w:val="none"/>
                <w14:textFill>
                  <w14:solidFill>
                    <w14:schemeClr w14:val="tx1"/>
                  </w14:solidFill>
                </w14:textFill>
              </w:rPr>
            </w:pPr>
            <w:r>
              <w:rPr>
                <w:rFonts w:hint="eastAsia" w:ascii="宋体"/>
                <w:color w:val="000000" w:themeColor="text1"/>
                <w:sz w:val="24"/>
                <w:szCs w:val="24"/>
                <w:highlight w:val="none"/>
                <w14:textFill>
                  <w14:solidFill>
                    <w14:schemeClr w14:val="tx1"/>
                  </w14:solidFill>
                </w14:textFill>
              </w:rPr>
              <w:t>（签字）</w:t>
            </w:r>
          </w:p>
        </w:tc>
        <w:tc>
          <w:tcPr>
            <w:tcW w:w="4530" w:type="dxa"/>
          </w:tcPr>
          <w:p>
            <w:pPr>
              <w:adjustRightInd w:val="0"/>
              <w:snapToGrid w:val="0"/>
              <w:spacing w:line="360" w:lineRule="auto"/>
              <w:rPr>
                <w:rFonts w:ascii="宋体"/>
                <w:color w:val="000000" w:themeColor="text1"/>
                <w:sz w:val="24"/>
                <w:szCs w:val="24"/>
                <w:highlight w:val="none"/>
                <w14:textFill>
                  <w14:solidFill>
                    <w14:schemeClr w14:val="tx1"/>
                  </w14:solidFill>
                </w14:textFill>
              </w:rPr>
            </w:pPr>
          </w:p>
        </w:tc>
      </w:tr>
    </w:tbl>
    <w:p>
      <w:pPr>
        <w:pStyle w:val="5"/>
        <w:spacing w:before="0" w:after="0" w:line="360" w:lineRule="auto"/>
        <w:rPr>
          <w:rFonts w:ascii="宋体"/>
          <w:color w:val="000000" w:themeColor="text1"/>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bookmarkStart w:id="1554" w:name="_Toc4200"/>
      <w:bookmarkStart w:id="1555" w:name="_Toc4237"/>
      <w:bookmarkStart w:id="1556" w:name="_Toc4518"/>
      <w:bookmarkStart w:id="1557" w:name="_Toc30162"/>
      <w:bookmarkStart w:id="1558" w:name="_Toc24034"/>
      <w:bookmarkStart w:id="1559" w:name="_Toc102746159"/>
      <w:bookmarkStart w:id="1560" w:name="_Toc29667"/>
      <w:r>
        <w:rPr>
          <w:rFonts w:hint="eastAsia" w:ascii="宋体"/>
          <w:color w:val="000000" w:themeColor="text1"/>
          <w:highlight w:val="none"/>
          <w14:textFill>
            <w14:solidFill>
              <w14:schemeClr w14:val="tx1"/>
            </w14:solidFill>
          </w14:textFill>
        </w:rPr>
        <w:t>附件</w:t>
      </w:r>
      <w:r>
        <w:rPr>
          <w:rFonts w:ascii="宋体"/>
          <w:color w:val="000000" w:themeColor="text1"/>
          <w:highlight w:val="none"/>
          <w14:textFill>
            <w14:solidFill>
              <w14:schemeClr w14:val="tx1"/>
            </w14:solidFill>
          </w14:textFill>
        </w:rPr>
        <w:t>8：中标通知书</w:t>
      </w:r>
      <w:bookmarkEnd w:id="1554"/>
      <w:bookmarkEnd w:id="1555"/>
      <w:bookmarkEnd w:id="1556"/>
      <w:bookmarkEnd w:id="1557"/>
      <w:bookmarkEnd w:id="1558"/>
      <w:bookmarkEnd w:id="1559"/>
      <w:bookmarkEnd w:id="1560"/>
    </w:p>
    <w:p>
      <w:pPr>
        <w:snapToGrid w:val="0"/>
        <w:spacing w:line="360" w:lineRule="auto"/>
        <w:rPr>
          <w:rFonts w:ascii="宋体"/>
          <w:color w:val="000000" w:themeColor="text1"/>
          <w:highlight w:val="none"/>
          <w14:textFill>
            <w14:solidFill>
              <w14:schemeClr w14:val="tx1"/>
            </w14:solidFill>
          </w14:textFill>
        </w:rPr>
      </w:pPr>
    </w:p>
    <w:p>
      <w:pPr>
        <w:pStyle w:val="5"/>
        <w:spacing w:before="0" w:after="0" w:line="360" w:lineRule="auto"/>
        <w:rPr>
          <w:rFonts w:ascii="宋体" w:hAnsi="黑体"/>
          <w:color w:val="000000" w:themeColor="text1"/>
          <w:kern w:val="0"/>
          <w:sz w:val="28"/>
          <w:szCs w:val="28"/>
          <w:highlight w:val="none"/>
          <w14:textFill>
            <w14:solidFill>
              <w14:schemeClr w14:val="tx1"/>
            </w14:solidFill>
          </w14:textFill>
        </w:rPr>
      </w:pPr>
      <w:r>
        <w:rPr>
          <w:rFonts w:ascii="宋体"/>
          <w:color w:val="000000" w:themeColor="text1"/>
          <w:highlight w:val="none"/>
          <w14:textFill>
            <w14:solidFill>
              <w14:schemeClr w14:val="tx1"/>
            </w14:solidFill>
          </w14:textFill>
        </w:rPr>
        <w:br w:type="page"/>
      </w:r>
      <w:bookmarkStart w:id="1561" w:name="_Toc25362"/>
      <w:bookmarkStart w:id="1562" w:name="_Toc11230"/>
      <w:bookmarkStart w:id="1563" w:name="_Toc10301"/>
      <w:bookmarkStart w:id="1564" w:name="_Toc102746160"/>
      <w:bookmarkStart w:id="1565" w:name="_Toc30673"/>
      <w:bookmarkStart w:id="1566" w:name="_Toc21701"/>
      <w:r>
        <w:rPr>
          <w:rFonts w:hint="eastAsia" w:ascii="宋体" w:hAnsi="黑体"/>
          <w:color w:val="000000" w:themeColor="text1"/>
          <w:kern w:val="0"/>
          <w:sz w:val="28"/>
          <w:szCs w:val="28"/>
          <w:highlight w:val="none"/>
          <w14:textFill>
            <w14:solidFill>
              <w14:schemeClr w14:val="tx1"/>
            </w14:solidFill>
          </w14:textFill>
        </w:rPr>
        <w:t>附件</w:t>
      </w:r>
      <w:r>
        <w:rPr>
          <w:rFonts w:ascii="宋体" w:hAnsi="黑体"/>
          <w:color w:val="000000" w:themeColor="text1"/>
          <w:kern w:val="0"/>
          <w:sz w:val="28"/>
          <w:szCs w:val="28"/>
          <w:highlight w:val="none"/>
          <w14:textFill>
            <w14:solidFill>
              <w14:schemeClr w14:val="tx1"/>
            </w14:solidFill>
          </w14:textFill>
        </w:rPr>
        <w:t>9：承诺函、履约银行保函</w:t>
      </w:r>
      <w:bookmarkEnd w:id="1561"/>
      <w:bookmarkEnd w:id="1562"/>
      <w:bookmarkEnd w:id="1563"/>
      <w:bookmarkEnd w:id="1564"/>
      <w:bookmarkEnd w:id="1565"/>
      <w:bookmarkEnd w:id="1566"/>
    </w:p>
    <w:p>
      <w:pPr>
        <w:adjustRightInd w:val="0"/>
        <w:snapToGrid w:val="0"/>
        <w:spacing w:line="360" w:lineRule="auto"/>
        <w:ind w:left="4498" w:hanging="4498" w:hangingChars="1400"/>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承诺函</w:t>
      </w:r>
    </w:p>
    <w:p>
      <w:pPr>
        <w:adjustRightInd w:val="0"/>
        <w:snapToGrid w:val="0"/>
        <w:spacing w:line="360" w:lineRule="auto"/>
        <w:jc w:val="center"/>
        <w:rPr>
          <w:rFonts w:ascii="宋体" w:hAnsi="宋体"/>
          <w:snapToGrid w:val="0"/>
          <w:color w:val="000000" w:themeColor="text1"/>
          <w:kern w:val="0"/>
          <w:sz w:val="24"/>
          <w:highlight w:val="none"/>
          <w14:textFill>
            <w14:solidFill>
              <w14:schemeClr w14:val="tx1"/>
            </w14:solidFill>
          </w14:textFill>
        </w:rPr>
      </w:pPr>
    </w:p>
    <w:p>
      <w:pPr>
        <w:spacing w:line="360" w:lineRule="auto"/>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致：广州市南沙新区产业园区开发建设管理局、</w:t>
      </w:r>
      <w:r>
        <w:rPr>
          <w:rFonts w:hint="eastAsia" w:ascii="仿宋_GB2312" w:hAnsi="黑体" w:eastAsia="仿宋_GB2312"/>
          <w:i/>
          <w:iCs/>
          <w:color w:val="000000" w:themeColor="text1"/>
          <w:sz w:val="24"/>
          <w:szCs w:val="24"/>
          <w:highlight w:val="none"/>
          <w14:textFill>
            <w14:solidFill>
              <w14:schemeClr w14:val="tx1"/>
            </w14:solidFill>
          </w14:textFill>
        </w:rPr>
        <w:t>[如有则补充,无则删除]（建设管理单位）</w:t>
      </w:r>
    </w:p>
    <w:p>
      <w:pPr>
        <w:spacing w:line="360" w:lineRule="auto"/>
        <w:rPr>
          <w:rFonts w:ascii="宋体" w:hAnsi="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我司与贵单位签订《</w:t>
      </w:r>
      <w:r>
        <w:rPr>
          <w:rFonts w:hint="eastAsia" w:ascii="宋体" w:hAnsi="仿宋_GB2312" w:cs="仿宋_GB2312"/>
          <w:i/>
          <w:iCs/>
          <w:color w:val="000000" w:themeColor="text1"/>
          <w:sz w:val="24"/>
          <w:szCs w:val="24"/>
          <w:highlight w:val="none"/>
          <w:u w:val="single"/>
          <w14:textFill>
            <w14:solidFill>
              <w14:schemeClr w14:val="tx1"/>
            </w14:solidFill>
          </w14:textFill>
        </w:rPr>
        <w:t>[合同全称]</w:t>
      </w:r>
      <w:r>
        <w:rPr>
          <w:rFonts w:hint="eastAsia" w:ascii="宋体" w:hAnsi="宋体"/>
          <w:color w:val="000000" w:themeColor="text1"/>
          <w:sz w:val="24"/>
          <w:szCs w:val="24"/>
          <w:highlight w:val="none"/>
          <w14:textFill>
            <w14:solidFill>
              <w14:schemeClr w14:val="tx1"/>
            </w14:solidFill>
          </w14:textFill>
        </w:rPr>
        <w:t>》（下称“合同”）。为保障合同的有效执行，我司承诺：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我司承诺在即日起</w:t>
      </w:r>
      <w:r>
        <w:rPr>
          <w:rFonts w:ascii="宋体" w:hAnsi="宋体"/>
          <w:color w:val="000000" w:themeColor="text1"/>
          <w:sz w:val="24"/>
          <w:szCs w:val="24"/>
          <w:highlight w:val="none"/>
          <w14:textFill>
            <w14:solidFill>
              <w14:schemeClr w14:val="tx1"/>
            </w14:solidFill>
          </w14:textFill>
        </w:rPr>
        <w:t>60</w:t>
      </w:r>
      <w:r>
        <w:rPr>
          <w:rFonts w:hint="eastAsia" w:ascii="宋体" w:hAnsi="宋体"/>
          <w:color w:val="000000" w:themeColor="text1"/>
          <w:sz w:val="24"/>
          <w:szCs w:val="24"/>
          <w:highlight w:val="none"/>
          <w14:textFill>
            <w14:solidFill>
              <w14:schemeClr w14:val="tx1"/>
            </w14:solidFill>
          </w14:textFill>
        </w:rPr>
        <w:t>天内向贵单位提交满足要求的履约保函。如逾期未按要求提交，我司同意贵单位按照每延误</w:t>
      </w: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天，按</w:t>
      </w:r>
      <w:r>
        <w:rPr>
          <w:rFonts w:ascii="宋体" w:hAnsi="宋体"/>
          <w:color w:val="000000" w:themeColor="text1"/>
          <w:sz w:val="24"/>
          <w:szCs w:val="24"/>
          <w:highlight w:val="none"/>
          <w14:textFill>
            <w14:solidFill>
              <w14:schemeClr w14:val="tx1"/>
            </w14:solidFill>
          </w14:textFill>
        </w:rPr>
        <w:t>5000</w:t>
      </w:r>
      <w:r>
        <w:rPr>
          <w:rFonts w:hint="eastAsia" w:ascii="宋体" w:hAnsi="宋体"/>
          <w:color w:val="000000" w:themeColor="text1"/>
          <w:sz w:val="24"/>
          <w:szCs w:val="24"/>
          <w:highlight w:val="none"/>
          <w14:textFill>
            <w14:solidFill>
              <w14:schemeClr w14:val="tx1"/>
            </w14:solidFill>
          </w14:textFill>
        </w:rPr>
        <w:t>元</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天扣除违约金，相关款项从应支付给我司的服务费用中直接扣除；</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我司同意贵单位可因我司没按要求在规定期限内提交履约保函而单方解除合同，且无需承担违约责任，我司承担由此造成贵单位及我司的全部损失和费用。</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特此承诺。</w:t>
      </w:r>
    </w:p>
    <w:p>
      <w:pPr>
        <w:snapToGrid w:val="0"/>
        <w:spacing w:line="360" w:lineRule="auto"/>
        <w:ind w:firstLine="849" w:firstLineChars="354"/>
        <w:jc w:val="left"/>
        <w:rPr>
          <w:rFonts w:ascii="宋体" w:hAnsi="宋体"/>
          <w:color w:val="000000" w:themeColor="text1"/>
          <w:sz w:val="24"/>
          <w:highlight w:val="none"/>
          <w14:textFill>
            <w14:solidFill>
              <w14:schemeClr w14:val="tx1"/>
            </w14:solidFill>
          </w14:textFill>
        </w:rPr>
      </w:pPr>
    </w:p>
    <w:p>
      <w:pPr>
        <w:snapToGrid w:val="0"/>
        <w:spacing w:line="360" w:lineRule="auto"/>
        <w:ind w:firstLine="849" w:firstLineChars="354"/>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承诺人（公章）：</w:t>
      </w:r>
      <w:r>
        <w:rPr>
          <w:rFonts w:hint="eastAsia" w:ascii="宋体" w:hAnsi="宋体"/>
          <w:color w:val="000000" w:themeColor="text1"/>
          <w:sz w:val="24"/>
          <w:szCs w:val="21"/>
          <w:highlight w:val="none"/>
          <w14:textFill>
            <w14:solidFill>
              <w14:schemeClr w14:val="tx1"/>
            </w14:solidFill>
          </w14:textFill>
        </w:rPr>
        <w:t xml:space="preserve"> </w:t>
      </w:r>
    </w:p>
    <w:p>
      <w:pPr>
        <w:snapToGrid w:val="0"/>
        <w:spacing w:line="360" w:lineRule="auto"/>
        <w:ind w:firstLine="849" w:firstLineChars="354"/>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法定代表人或其授权委托人(签名或盖章)：</w:t>
      </w:r>
    </w:p>
    <w:p>
      <w:pPr>
        <w:snapToGrid w:val="0"/>
        <w:spacing w:line="360" w:lineRule="auto"/>
        <w:ind w:firstLine="849" w:firstLineChars="354"/>
        <w:jc w:val="left"/>
        <w:rPr>
          <w:rFonts w:ascii="宋体" w:hAnsi="宋体"/>
          <w:i/>
          <w:i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  年  月  日</w:t>
      </w:r>
    </w:p>
    <w:p>
      <w:pPr>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adjustRightInd w:val="0"/>
        <w:snapToGrid w:val="0"/>
        <w:spacing w:line="360" w:lineRule="auto"/>
        <w:jc w:val="center"/>
        <w:rPr>
          <w:rFonts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14:textFill>
            <w14:solidFill>
              <w14:schemeClr w14:val="tx1"/>
            </w14:solidFill>
          </w14:textFill>
        </w:rPr>
        <w:t>银行履约保函</w:t>
      </w:r>
    </w:p>
    <w:p>
      <w:pPr>
        <w:adjustRightInd w:val="0"/>
        <w:snapToGrid w:val="0"/>
        <w:spacing w:line="360" w:lineRule="auto"/>
        <w:jc w:val="center"/>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（中标后提供）</w:t>
      </w:r>
    </w:p>
    <w:p>
      <w:pPr>
        <w:snapToGrid w:val="0"/>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致：（发包人）</w:t>
      </w:r>
    </w:p>
    <w:p>
      <w:pPr>
        <w:snapToGrid w:val="0"/>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 xml:space="preserve">(地  址)                             </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鉴于</w:t>
      </w:r>
      <w:r>
        <w:rPr>
          <w:rFonts w:ascii="宋体" w:hAnsi="宋体"/>
          <w:color w:val="000000" w:themeColor="text1"/>
          <w:sz w:val="24"/>
          <w:szCs w:val="24"/>
          <w:highlight w:val="none"/>
          <w14:textFill>
            <w14:solidFill>
              <w14:schemeClr w14:val="tx1"/>
            </w14:solidFill>
          </w14:textFill>
        </w:rPr>
        <w:t>_______[</w:t>
      </w:r>
      <w:r>
        <w:rPr>
          <w:rFonts w:hint="eastAsia" w:ascii="宋体" w:hAnsi="宋体"/>
          <w:color w:val="000000" w:themeColor="text1"/>
          <w:sz w:val="24"/>
          <w:szCs w:val="24"/>
          <w:highlight w:val="none"/>
          <w14:textFill>
            <w14:solidFill>
              <w14:schemeClr w14:val="tx1"/>
            </w14:solidFill>
          </w14:textFill>
        </w:rPr>
        <w:t>承包人的名称和地址</w:t>
      </w:r>
      <w:r>
        <w:rPr>
          <w:rFonts w:ascii="宋体" w:hAnsi="宋体"/>
          <w:color w:val="000000" w:themeColor="text1"/>
          <w:sz w:val="24"/>
          <w:szCs w:val="24"/>
          <w:highlight w:val="none"/>
          <w14:textFill>
            <w14:solidFill>
              <w14:schemeClr w14:val="tx1"/>
            </w14:solidFill>
          </w14:textFill>
        </w:rPr>
        <w:t xml:space="preserve">]（下称承包人）已保证按中标通知书（编号：           </w:t>
      </w:r>
      <w:r>
        <w:rPr>
          <w:rFonts w:hint="eastAsia" w:ascii="宋体" w:hAnsi="宋体"/>
          <w:color w:val="000000" w:themeColor="text1"/>
          <w:sz w:val="24"/>
          <w:szCs w:val="24"/>
          <w:highlight w:val="none"/>
          <w14:textFill>
            <w14:solidFill>
              <w14:schemeClr w14:val="tx1"/>
            </w14:solidFill>
          </w14:textFill>
        </w:rPr>
        <w:t>）实施</w:t>
      </w:r>
      <w:r>
        <w:rPr>
          <w:rFonts w:ascii="宋体" w:hAnsi="宋体"/>
          <w:color w:val="000000" w:themeColor="text1"/>
          <w:sz w:val="24"/>
          <w:szCs w:val="24"/>
          <w:highlight w:val="none"/>
          <w:u w:val="single"/>
          <w14:textFill>
            <w14:solidFill>
              <w14:schemeClr w14:val="tx1"/>
            </w14:solidFill>
          </w14:textFill>
        </w:rPr>
        <w:t xml:space="preserve">              （工程名称）</w:t>
      </w:r>
      <w:r>
        <w:rPr>
          <w:rFonts w:hint="eastAsia" w:ascii="宋体" w:hAnsi="宋体"/>
          <w:color w:val="000000" w:themeColor="text1"/>
          <w:sz w:val="24"/>
          <w:szCs w:val="24"/>
          <w:highlight w:val="none"/>
          <w14:textFill>
            <w14:solidFill>
              <w14:schemeClr w14:val="tx1"/>
            </w14:solidFill>
          </w14:textFill>
        </w:rPr>
        <w:t>，又鉴于你方在招标文件中要求承包人按规定金额提交一份已经认可的银行保函作履约担保，本行已同意为承包人出具保函。</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本行作为保证人在此代表承包人向你方确认承担支付人民币：</w:t>
      </w:r>
      <w:r>
        <w:rPr>
          <w:rFonts w:hint="eastAsia" w:ascii="宋体" w:hAnsi="宋体"/>
          <w:color w:val="000000" w:themeColor="text1"/>
          <w:sz w:val="24"/>
          <w:szCs w:val="24"/>
          <w:highlight w:val="none"/>
          <w:u w:val="single"/>
          <w14:textFill>
            <w14:solidFill>
              <w14:schemeClr w14:val="tx1"/>
            </w14:solidFill>
          </w14:textFill>
        </w:rPr>
        <w:t>（大写）</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（小写：</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责任，在收到你方第一次书面付款要求后，不挑剔、不争辩、并不要求你方出具证明或说明理由，即在上述担保金范围内向你方支付。</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本行放弃你方应先向承包人要求索赔上述金额然后再向本行提出要求的权利。</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本行还同意，在你方和承包人之间的合同条件发生补充或修改后，本行所承担保函的责任不变，有关补充或修改亦无须通知本行。</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本保函从合同生效之日起生效，有效期至</w:t>
      </w:r>
      <w:r>
        <w:rPr>
          <w:rFonts w:ascii="宋体" w:hAnsi="宋体"/>
          <w:color w:val="000000" w:themeColor="text1"/>
          <w:sz w:val="24"/>
          <w:szCs w:val="24"/>
          <w:highlight w:val="none"/>
          <w:u w:val="single"/>
          <w14:textFill>
            <w14:solidFill>
              <w14:schemeClr w14:val="tx1"/>
            </w14:solidFill>
          </w14:textFill>
        </w:rPr>
        <w:t xml:space="preserve">     年   月   日</w:t>
      </w:r>
      <w:r>
        <w:rPr>
          <w:rFonts w:hint="eastAsia" w:ascii="宋体" w:hAnsi="宋体"/>
          <w:color w:val="000000" w:themeColor="text1"/>
          <w:sz w:val="24"/>
          <w:szCs w:val="24"/>
          <w:highlight w:val="none"/>
          <w14:textFill>
            <w14:solidFill>
              <w14:schemeClr w14:val="tx1"/>
            </w14:solidFill>
          </w14:textFill>
        </w:rPr>
        <w:t>止。</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担保银行名称（公章）：</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法定代表人或其授权人（签章）：</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联系电话：</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w:t>
      </w:r>
    </w:p>
    <w:p>
      <w:pPr>
        <w:snapToGrid w:val="0"/>
        <w:spacing w:line="360" w:lineRule="auto"/>
        <w:ind w:firstLine="482" w:firstLineChars="200"/>
        <w:rPr>
          <w:rFonts w:ascii="宋体" w:hAnsi="宋体"/>
          <w:b/>
          <w:color w:val="000000" w:themeColor="text1"/>
          <w:kern w:val="0"/>
          <w:sz w:val="24"/>
          <w:szCs w:val="24"/>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567" w:name="_Toc10204"/>
      <w:bookmarkStart w:id="1568" w:name="_Toc15351"/>
      <w:bookmarkStart w:id="1569" w:name="_Toc20404"/>
      <w:bookmarkStart w:id="1570" w:name="_Toc32728"/>
      <w:bookmarkStart w:id="1571" w:name="_Toc102746161"/>
      <w:bookmarkStart w:id="1572" w:name="_Toc7333"/>
      <w:r>
        <w:rPr>
          <w:rFonts w:hint="eastAsia"/>
          <w:color w:val="000000" w:themeColor="text1"/>
          <w:highlight w:val="none"/>
          <w14:textFill>
            <w14:solidFill>
              <w14:schemeClr w14:val="tx1"/>
            </w14:solidFill>
          </w14:textFill>
        </w:rPr>
        <w:t>附件10：招标答疑及澄清</w:t>
      </w:r>
      <w:bookmarkEnd w:id="1567"/>
      <w:bookmarkEnd w:id="1568"/>
      <w:bookmarkEnd w:id="1569"/>
      <w:bookmarkEnd w:id="1570"/>
      <w:bookmarkEnd w:id="1571"/>
      <w:bookmarkEnd w:id="1572"/>
    </w:p>
    <w:p>
      <w:pPr>
        <w:spacing w:line="360" w:lineRule="auto"/>
        <w:rPr>
          <w:rFonts w:ascii="仿宋_GB2312" w:hAnsi="黑体" w:eastAsia="仿宋_GB2312"/>
          <w:b/>
          <w:color w:val="000000" w:themeColor="text1"/>
          <w:kern w:val="0"/>
          <w:sz w:val="28"/>
          <w:szCs w:val="28"/>
          <w:highlight w:val="none"/>
          <w14:textFill>
            <w14:solidFill>
              <w14:schemeClr w14:val="tx1"/>
            </w14:solidFill>
          </w14:textFill>
        </w:rPr>
      </w:pPr>
    </w:p>
    <w:p>
      <w:pPr>
        <w:pStyle w:val="2"/>
        <w:ind w:left="63" w:right="63"/>
        <w:rPr>
          <w:color w:val="000000" w:themeColor="text1"/>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1573" w:name="_Toc102746162"/>
      <w:bookmarkStart w:id="1574" w:name="_Toc625"/>
      <w:bookmarkStart w:id="1575" w:name="_Toc2444"/>
      <w:bookmarkStart w:id="1576" w:name="_Toc23973"/>
      <w:bookmarkStart w:id="1577" w:name="_Toc19230"/>
      <w:bookmarkStart w:id="1578" w:name="_Toc11442"/>
      <w:r>
        <w:rPr>
          <w:rFonts w:hint="eastAsia"/>
          <w:color w:val="000000" w:themeColor="text1"/>
          <w:highlight w:val="none"/>
          <w14:textFill>
            <w14:solidFill>
              <w14:schemeClr w14:val="tx1"/>
            </w14:solidFill>
          </w14:textFill>
        </w:rPr>
        <w:t>附件1</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：联合体协议书</w:t>
      </w:r>
      <w:r>
        <w:rPr>
          <w:rFonts w:hint="eastAsia"/>
          <w:i/>
          <w:iCs/>
          <w:color w:val="000000" w:themeColor="text1"/>
          <w:highlight w:val="none"/>
          <w14:textFill>
            <w14:solidFill>
              <w14:schemeClr w14:val="tx1"/>
            </w14:solidFill>
          </w14:textFill>
        </w:rPr>
        <w:t>（如有则附，如无删除）</w:t>
      </w:r>
      <w:bookmarkEnd w:id="1573"/>
    </w:p>
    <w:p>
      <w:pPr>
        <w:widowControl/>
        <w:jc w:val="left"/>
        <w:rPr>
          <w:b/>
          <w:bCs/>
          <w:color w:val="000000" w:themeColor="text1"/>
          <w:sz w:val="24"/>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bookmarkStart w:id="1579" w:name="_Toc102746163"/>
      <w:r>
        <w:rPr>
          <w:rFonts w:hint="eastAsia"/>
          <w:color w:val="000000" w:themeColor="text1"/>
          <w:highlight w:val="none"/>
          <w14:textFill>
            <w14:solidFill>
              <w14:schemeClr w14:val="tx1"/>
            </w14:solidFill>
          </w14:textFill>
        </w:rPr>
        <w:t>附件1</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：发改局可行性研究报告的复函</w:t>
      </w:r>
      <w:bookmarkEnd w:id="1574"/>
      <w:bookmarkEnd w:id="1575"/>
      <w:bookmarkEnd w:id="1576"/>
      <w:bookmarkEnd w:id="1577"/>
      <w:bookmarkEnd w:id="1578"/>
      <w:bookmarkEnd w:id="1579"/>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spacing w:line="360" w:lineRule="auto"/>
        <w:rPr>
          <w:rFonts w:ascii="仿宋_GB2312" w:hAnsi="黑体" w:eastAsia="仿宋_GB2312"/>
          <w:b/>
          <w:color w:val="000000" w:themeColor="text1"/>
          <w:kern w:val="0"/>
          <w:sz w:val="28"/>
          <w:szCs w:val="28"/>
          <w:highlight w:val="none"/>
          <w14:textFill>
            <w14:solidFill>
              <w14:schemeClr w14:val="tx1"/>
            </w14:solidFill>
          </w14:textFill>
        </w:rPr>
      </w:pPr>
    </w:p>
    <w:p>
      <w:pPr>
        <w:pStyle w:val="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1580" w:name="_Toc102746164"/>
      <w:r>
        <w:rPr>
          <w:rFonts w:hint="eastAsia"/>
          <w:color w:val="000000" w:themeColor="text1"/>
          <w:highlight w:val="none"/>
          <w14:textFill>
            <w14:solidFill>
              <w14:schemeClr w14:val="tx1"/>
            </w14:solidFill>
          </w14:textFill>
        </w:rPr>
        <w:t>附件</w:t>
      </w:r>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t>：发改局确定本项目建设管理单位的复函</w:t>
      </w:r>
      <w:bookmarkEnd w:id="1580"/>
    </w:p>
    <w:p>
      <w:pPr>
        <w:rPr>
          <w:color w:val="000000" w:themeColor="text1"/>
          <w:highlight w:val="none"/>
          <w14:textFill>
            <w14:solidFill>
              <w14:schemeClr w14:val="tx1"/>
            </w14:solidFill>
          </w14:textFill>
        </w:rPr>
      </w:pPr>
    </w:p>
    <w:p>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bookmarkStart w:id="1581" w:name="_Toc102746165"/>
      <w:r>
        <w:rPr>
          <w:rFonts w:hint="eastAsia"/>
          <w:color w:val="000000" w:themeColor="text1"/>
          <w:highlight w:val="none"/>
          <w14:textFill>
            <w14:solidFill>
              <w14:schemeClr w14:val="tx1"/>
            </w14:solidFill>
          </w14:textFill>
        </w:rPr>
        <w:t>附件14：临时使用工程免责承诺函</w:t>
      </w:r>
      <w:bookmarkEnd w:id="1581"/>
    </w:p>
    <w:p>
      <w:pPr>
        <w:jc w:val="center"/>
        <w:rPr>
          <w:rFonts w:ascii="仿宋_GB2312" w:hAnsi="宋体" w:eastAsia="仿宋_GB2312"/>
          <w:b/>
          <w:bCs/>
          <w:color w:val="000000" w:themeColor="text1"/>
          <w:sz w:val="36"/>
          <w:szCs w:val="36"/>
          <w:highlight w:val="none"/>
          <w14:textFill>
            <w14:solidFill>
              <w14:schemeClr w14:val="tx1"/>
            </w14:solidFill>
          </w14:textFill>
        </w:rPr>
      </w:pPr>
      <w:r>
        <w:rPr>
          <w:rFonts w:hint="eastAsia" w:ascii="仿宋_GB2312" w:hAnsi="宋体" w:eastAsia="仿宋_GB2312"/>
          <w:b/>
          <w:bCs/>
          <w:color w:val="000000" w:themeColor="text1"/>
          <w:sz w:val="36"/>
          <w:szCs w:val="36"/>
          <w:highlight w:val="none"/>
          <w14:textFill>
            <w14:solidFill>
              <w14:schemeClr w14:val="tx1"/>
            </w14:solidFill>
          </w14:textFill>
        </w:rPr>
        <w:t>临时使用工程免责承诺函</w:t>
      </w:r>
    </w:p>
    <w:p>
      <w:pPr>
        <w:jc w:val="center"/>
        <w:rPr>
          <w:rFonts w:ascii="仿宋_GB2312" w:hAnsi="宋体" w:eastAsia="仿宋_GB2312"/>
          <w:color w:val="000000" w:themeColor="text1"/>
          <w:szCs w:val="21"/>
          <w:highlight w:val="none"/>
          <w14:textFill>
            <w14:solidFill>
              <w14:schemeClr w14:val="tx1"/>
            </w14:solidFill>
          </w14:textFill>
        </w:rPr>
      </w:pPr>
      <w:r>
        <w:rPr>
          <w:rFonts w:hint="eastAsia" w:ascii="仿宋_GB2312" w:hAnsi="宋体" w:eastAsia="仿宋_GB2312"/>
          <w:color w:val="000000" w:themeColor="text1"/>
          <w:szCs w:val="21"/>
          <w:highlight w:val="none"/>
          <w14:textFill>
            <w14:solidFill>
              <w14:schemeClr w14:val="tx1"/>
            </w14:solidFill>
          </w14:textFill>
        </w:rPr>
        <w:t>（需承包人盖章出具）</w:t>
      </w:r>
    </w:p>
    <w:p>
      <w:pPr>
        <w:ind w:firstLine="640" w:firstLineChars="200"/>
        <w:rPr>
          <w:rFonts w:ascii="仿宋_GB2312" w:hAnsi="宋体" w:eastAsia="仿宋_GB2312"/>
          <w:color w:val="000000" w:themeColor="text1"/>
          <w:sz w:val="32"/>
          <w:szCs w:val="32"/>
          <w:highlight w:val="none"/>
          <w14:textFill>
            <w14:solidFill>
              <w14:schemeClr w14:val="tx1"/>
            </w14:solidFill>
          </w14:textFill>
        </w:rPr>
      </w:pP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【】年【】月【】日，广州市南沙新区产业园区开发建设管理局（发包人）与我司（承包人）签订《【】合同》，约定【】工程项目（下称“工程”）暂定于【】年【】月【】日完成竣工验收。</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现发包人因客观原因需要临时使用【请填写具体名称】部分未经竣工验收的工程。承包人承诺如下：</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一、发包人对部分未经竣工验收的工程进行临时使用，不属于擅自使用，不视为工程质量验收合格。承包人继续履行配合工程竣工验收手续，并根据合同规定承担相应法律责任。</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二、发包人临时使用未经竣工验收的工程，不属于交付使用，不因此转移风险。</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三、建设工程未经竣工验收，经发包人临时使用后，若工程质量不符合法律规定或合同约定的，承包人不因发包人临时使用未经竣工验收的工程而减轻或免除乙方对工程质量的瑕疵担保等责任，发包人仍有权向承包人主张权利。</w:t>
      </w:r>
    </w:p>
    <w:p>
      <w:pPr>
        <w:spacing w:line="360" w:lineRule="auto"/>
        <w:ind w:right="320" w:firstLine="480" w:firstLineChars="200"/>
        <w:jc w:val="right"/>
        <w:rPr>
          <w:rFonts w:ascii="仿宋_GB2312" w:hAnsi="宋体" w:eastAsia="仿宋_GB2312"/>
          <w:color w:val="000000" w:themeColor="text1"/>
          <w:sz w:val="24"/>
          <w:szCs w:val="24"/>
          <w:highlight w:val="none"/>
          <w14:textFill>
            <w14:solidFill>
              <w14:schemeClr w14:val="tx1"/>
            </w14:solidFill>
          </w14:textFill>
        </w:rPr>
      </w:pPr>
    </w:p>
    <w:p>
      <w:pPr>
        <w:spacing w:line="360" w:lineRule="auto"/>
        <w:ind w:right="320" w:firstLine="480" w:firstLineChars="200"/>
        <w:jc w:val="right"/>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承诺人：【】</w:t>
      </w:r>
    </w:p>
    <w:p>
      <w:pPr>
        <w:wordWrap w:val="0"/>
        <w:spacing w:line="360" w:lineRule="auto"/>
        <w:ind w:firstLine="480" w:firstLineChars="200"/>
        <w:jc w:val="right"/>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年   月  日</w:t>
      </w:r>
    </w:p>
    <w:p>
      <w:pPr>
        <w:rPr>
          <w:color w:val="000000" w:themeColor="text1"/>
          <w:highlight w:val="none"/>
          <w14:textFill>
            <w14:solidFill>
              <w14:schemeClr w14:val="tx1"/>
            </w14:solidFill>
          </w14:textFill>
        </w:rPr>
      </w:pPr>
    </w:p>
    <w:bookmarkEnd w:id="1583"/>
    <w:sectPr>
      <w:headerReference r:id="rId10" w:type="default"/>
      <w:footerReference r:id="rId11"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G Times">
    <w:altName w:val="Times New Roman"/>
    <w:panose1 w:val="02020603050405020304"/>
    <w:charset w:val="00"/>
    <w:family w:val="roman"/>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200001FF" w:csb1="00000000"/>
  </w:font>
  <w:font w:name="MS Reference Sans Serif">
    <w:altName w:val="Verdana"/>
    <w:panose1 w:val="020B0604030504040204"/>
    <w:charset w:val="00"/>
    <w:family w:val="swiss"/>
    <w:pitch w:val="default"/>
    <w:sig w:usb0="00000000" w:usb1="00000000" w:usb2="00000000" w:usb3="00000000" w:csb0="2000019F" w:csb1="00000000"/>
  </w:font>
  <w:font w:name="Verdana">
    <w:panose1 w:val="020B0604030504040204"/>
    <w:charset w:val="00"/>
    <w:family w:val="auto"/>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679296"/>
    </w:sdtPr>
    <w:sdtContent>
      <w:p>
        <w:pPr>
          <w:pStyle w:val="2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right="63"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bookmarkStart w:id="1582" w:name="_Hlk100821996"/>
    <w:r>
      <w:rPr>
        <w:rFonts w:hint="eastAsia"/>
        <w:i/>
        <w:iCs/>
        <w:highlight w:val="yellow"/>
      </w:rPr>
      <w:t>[中标/委托项目名称]</w:t>
    </w:r>
    <w:bookmarkEnd w:id="1582"/>
    <w:r>
      <w:rPr>
        <w:rFonts w:hint="eastAsia"/>
      </w:rPr>
      <w:t>合同文件</w:t>
    </w:r>
  </w:p>
  <w:p>
    <w:pPr>
      <w:pStyle w:val="43"/>
      <w:ind w:right="63"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A90CC"/>
    <w:multiLevelType w:val="singleLevel"/>
    <w:tmpl w:val="8FFA90CC"/>
    <w:lvl w:ilvl="0" w:tentative="0">
      <w:start w:val="8"/>
      <w:numFmt w:val="chineseCounting"/>
      <w:pStyle w:val="211"/>
      <w:suff w:val="nothing"/>
      <w:lvlText w:val="（%1）"/>
      <w:lvlJc w:val="left"/>
      <w:rPr>
        <w:rFonts w:hint="eastAsia"/>
      </w:rPr>
    </w:lvl>
  </w:abstractNum>
  <w:abstractNum w:abstractNumId="1">
    <w:nsid w:val="D1042E83"/>
    <w:multiLevelType w:val="singleLevel"/>
    <w:tmpl w:val="D1042E83"/>
    <w:lvl w:ilvl="0" w:tentative="0">
      <w:start w:val="8"/>
      <w:numFmt w:val="decimal"/>
      <w:suff w:val="nothing"/>
      <w:lvlText w:val="（%1）"/>
      <w:lvlJc w:val="left"/>
    </w:lvl>
  </w:abstractNum>
  <w:abstractNum w:abstractNumId="2">
    <w:nsid w:val="D29565F5"/>
    <w:multiLevelType w:val="singleLevel"/>
    <w:tmpl w:val="D29565F5"/>
    <w:lvl w:ilvl="0" w:tentative="0">
      <w:start w:val="8"/>
      <w:numFmt w:val="decimal"/>
      <w:lvlText w:val="%1."/>
      <w:lvlJc w:val="left"/>
      <w:pPr>
        <w:tabs>
          <w:tab w:val="left" w:pos="312"/>
        </w:tabs>
      </w:pPr>
    </w:lvl>
  </w:abstractNum>
  <w:abstractNum w:abstractNumId="3">
    <w:nsid w:val="00000453"/>
    <w:multiLevelType w:val="multilevel"/>
    <w:tmpl w:val="00000453"/>
    <w:lvl w:ilvl="0" w:tentative="0">
      <w:start w:val="1"/>
      <w:numFmt w:val="decimal"/>
      <w:pStyle w:val="178"/>
      <w:lvlText w:val="（%1）"/>
      <w:lvlJc w:val="left"/>
      <w:pPr>
        <w:ind w:left="480" w:hanging="601"/>
      </w:pPr>
      <w:rPr>
        <w:rFonts w:hint="eastAsia" w:ascii="仿宋_GB2312" w:hAnsi="仿宋_GB2312" w:eastAsia="仿宋_GB2312"/>
        <w:sz w:val="22"/>
        <w:u w:val="none"/>
      </w:rPr>
    </w:lvl>
    <w:lvl w:ilvl="1" w:tentative="0">
      <w:start w:val="1"/>
      <w:numFmt w:val="bullet"/>
      <w:lvlText w:val="•"/>
      <w:lvlJc w:val="left"/>
      <w:pPr>
        <w:ind w:left="1358" w:hanging="601"/>
      </w:pPr>
      <w:rPr>
        <w:rFonts w:hint="default"/>
        <w:u w:val="none"/>
      </w:rPr>
    </w:lvl>
    <w:lvl w:ilvl="2" w:tentative="0">
      <w:start w:val="1"/>
      <w:numFmt w:val="bullet"/>
      <w:lvlText w:val="•"/>
      <w:lvlJc w:val="left"/>
      <w:pPr>
        <w:ind w:left="2237" w:hanging="601"/>
      </w:pPr>
      <w:rPr>
        <w:rFonts w:hint="default"/>
        <w:u w:val="none"/>
      </w:rPr>
    </w:lvl>
    <w:lvl w:ilvl="3" w:tentative="0">
      <w:start w:val="1"/>
      <w:numFmt w:val="bullet"/>
      <w:lvlText w:val="•"/>
      <w:lvlJc w:val="left"/>
      <w:pPr>
        <w:ind w:left="3115" w:hanging="601"/>
      </w:pPr>
      <w:rPr>
        <w:rFonts w:hint="default"/>
        <w:u w:val="none"/>
      </w:rPr>
    </w:lvl>
    <w:lvl w:ilvl="4" w:tentative="0">
      <w:start w:val="1"/>
      <w:numFmt w:val="bullet"/>
      <w:lvlText w:val="•"/>
      <w:lvlJc w:val="left"/>
      <w:pPr>
        <w:ind w:left="3994" w:hanging="601"/>
      </w:pPr>
      <w:rPr>
        <w:rFonts w:hint="default"/>
        <w:u w:val="none"/>
      </w:rPr>
    </w:lvl>
    <w:lvl w:ilvl="5" w:tentative="0">
      <w:start w:val="1"/>
      <w:numFmt w:val="bullet"/>
      <w:lvlText w:val="•"/>
      <w:lvlJc w:val="left"/>
      <w:pPr>
        <w:ind w:left="4873" w:hanging="601"/>
      </w:pPr>
      <w:rPr>
        <w:rFonts w:hint="default"/>
        <w:u w:val="none"/>
      </w:rPr>
    </w:lvl>
    <w:lvl w:ilvl="6" w:tentative="0">
      <w:start w:val="1"/>
      <w:numFmt w:val="bullet"/>
      <w:lvlText w:val="•"/>
      <w:lvlJc w:val="left"/>
      <w:pPr>
        <w:ind w:left="5751" w:hanging="601"/>
      </w:pPr>
      <w:rPr>
        <w:rFonts w:hint="default"/>
        <w:u w:val="none"/>
      </w:rPr>
    </w:lvl>
    <w:lvl w:ilvl="7" w:tentative="0">
      <w:start w:val="1"/>
      <w:numFmt w:val="bullet"/>
      <w:lvlText w:val="•"/>
      <w:lvlJc w:val="left"/>
      <w:pPr>
        <w:ind w:left="6630" w:hanging="601"/>
      </w:pPr>
      <w:rPr>
        <w:rFonts w:hint="default"/>
        <w:u w:val="none"/>
      </w:rPr>
    </w:lvl>
    <w:lvl w:ilvl="8" w:tentative="0">
      <w:start w:val="1"/>
      <w:numFmt w:val="bullet"/>
      <w:lvlText w:val="•"/>
      <w:lvlJc w:val="left"/>
      <w:pPr>
        <w:ind w:left="7508" w:hanging="601"/>
      </w:pPr>
      <w:rPr>
        <w:rFonts w:hint="default"/>
        <w:u w:val="none"/>
      </w:rPr>
    </w:lvl>
  </w:abstractNum>
  <w:abstractNum w:abstractNumId="4">
    <w:nsid w:val="0FF2085B"/>
    <w:multiLevelType w:val="singleLevel"/>
    <w:tmpl w:val="0FF2085B"/>
    <w:lvl w:ilvl="0" w:tentative="0">
      <w:start w:val="1"/>
      <w:numFmt w:val="chineseCounting"/>
      <w:suff w:val="nothing"/>
      <w:lvlText w:val="%1、"/>
      <w:lvlJc w:val="left"/>
      <w:rPr>
        <w:rFonts w:hint="eastAsia"/>
      </w:rPr>
    </w:lvl>
  </w:abstractNum>
  <w:abstractNum w:abstractNumId="5">
    <w:nsid w:val="2D98B6BF"/>
    <w:multiLevelType w:val="singleLevel"/>
    <w:tmpl w:val="2D98B6BF"/>
    <w:lvl w:ilvl="0" w:tentative="0">
      <w:start w:val="1"/>
      <w:numFmt w:val="upperLetter"/>
      <w:pStyle w:val="208"/>
      <w:suff w:val="nothing"/>
      <w:lvlText w:val="%1、"/>
      <w:lvlJc w:val="left"/>
    </w:lvl>
  </w:abstractNum>
  <w:abstractNum w:abstractNumId="6">
    <w:nsid w:val="371612DB"/>
    <w:multiLevelType w:val="multilevel"/>
    <w:tmpl w:val="371612DB"/>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BB497F4"/>
    <w:multiLevelType w:val="singleLevel"/>
    <w:tmpl w:val="3BB497F4"/>
    <w:lvl w:ilvl="0" w:tentative="0">
      <w:start w:val="10"/>
      <w:numFmt w:val="decimal"/>
      <w:suff w:val="nothing"/>
      <w:lvlText w:val="（%1）"/>
      <w:lvlJc w:val="left"/>
    </w:lvl>
  </w:abstractNum>
  <w:abstractNum w:abstractNumId="8">
    <w:nsid w:val="522956F9"/>
    <w:multiLevelType w:val="singleLevel"/>
    <w:tmpl w:val="522956F9"/>
    <w:lvl w:ilvl="0" w:tentative="0">
      <w:start w:val="1"/>
      <w:numFmt w:val="decimal"/>
      <w:pStyle w:val="170"/>
      <w:suff w:val="space"/>
      <w:lvlText w:val="%1."/>
      <w:lvlJc w:val="left"/>
    </w:lvl>
  </w:abstractNum>
  <w:abstractNum w:abstractNumId="9">
    <w:nsid w:val="7B632D68"/>
    <w:multiLevelType w:val="singleLevel"/>
    <w:tmpl w:val="7B632D68"/>
    <w:lvl w:ilvl="0" w:tentative="0">
      <w:start w:val="1"/>
      <w:numFmt w:val="decimal"/>
      <w:suff w:val="nothing"/>
      <w:lvlText w:val="%1、"/>
      <w:lvlJc w:val="left"/>
    </w:lvl>
  </w:abstractNum>
  <w:abstractNum w:abstractNumId="10">
    <w:nsid w:val="7FEDC990"/>
    <w:multiLevelType w:val="singleLevel"/>
    <w:tmpl w:val="7FEDC990"/>
    <w:lvl w:ilvl="0" w:tentative="0">
      <w:start w:val="11"/>
      <w:numFmt w:val="decimal"/>
      <w:pStyle w:val="194"/>
      <w:suff w:val="nothing"/>
      <w:lvlText w:val="（%1）"/>
      <w:lvlJc w:val="left"/>
    </w:lvl>
  </w:abstractNum>
  <w:num w:numId="1">
    <w:abstractNumId w:val="8"/>
  </w:num>
  <w:num w:numId="2">
    <w:abstractNumId w:val="3"/>
  </w:num>
  <w:num w:numId="3">
    <w:abstractNumId w:val="2"/>
  </w:num>
  <w:num w:numId="4">
    <w:abstractNumId w:val="9"/>
  </w:num>
  <w:num w:numId="5">
    <w:abstractNumId w:val="10"/>
  </w:num>
  <w:num w:numId="6">
    <w:abstractNumId w:val="1"/>
  </w:num>
  <w:num w:numId="7">
    <w:abstractNumId w:val="5"/>
  </w:num>
  <w:num w:numId="8">
    <w:abstractNumId w:val="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hZmRjYjhhNTYxYzQ5ZTI4ODk1MTVkZGVhNmU2NWIifQ=="/>
  </w:docVars>
  <w:rsids>
    <w:rsidRoot w:val="00172A27"/>
    <w:rsid w:val="0000139F"/>
    <w:rsid w:val="00002193"/>
    <w:rsid w:val="00002C49"/>
    <w:rsid w:val="0000496E"/>
    <w:rsid w:val="00004D68"/>
    <w:rsid w:val="0000544D"/>
    <w:rsid w:val="000055B5"/>
    <w:rsid w:val="000075E7"/>
    <w:rsid w:val="000101A3"/>
    <w:rsid w:val="000132D5"/>
    <w:rsid w:val="00013D7C"/>
    <w:rsid w:val="000168B7"/>
    <w:rsid w:val="00017069"/>
    <w:rsid w:val="00020E77"/>
    <w:rsid w:val="00022686"/>
    <w:rsid w:val="00023931"/>
    <w:rsid w:val="000259BF"/>
    <w:rsid w:val="0003407C"/>
    <w:rsid w:val="000404A3"/>
    <w:rsid w:val="00042E44"/>
    <w:rsid w:val="000431DC"/>
    <w:rsid w:val="000449EA"/>
    <w:rsid w:val="00047DAC"/>
    <w:rsid w:val="000504FD"/>
    <w:rsid w:val="00052205"/>
    <w:rsid w:val="000522C2"/>
    <w:rsid w:val="00052A7B"/>
    <w:rsid w:val="000548BA"/>
    <w:rsid w:val="00054DF8"/>
    <w:rsid w:val="0005503C"/>
    <w:rsid w:val="00056084"/>
    <w:rsid w:val="00061258"/>
    <w:rsid w:val="0006386B"/>
    <w:rsid w:val="00065565"/>
    <w:rsid w:val="000673CF"/>
    <w:rsid w:val="000678B3"/>
    <w:rsid w:val="00071012"/>
    <w:rsid w:val="00071CA4"/>
    <w:rsid w:val="00073CF2"/>
    <w:rsid w:val="00073F54"/>
    <w:rsid w:val="0008008D"/>
    <w:rsid w:val="00080584"/>
    <w:rsid w:val="000813C4"/>
    <w:rsid w:val="000818F4"/>
    <w:rsid w:val="00082B86"/>
    <w:rsid w:val="00082E0F"/>
    <w:rsid w:val="00084522"/>
    <w:rsid w:val="000952CE"/>
    <w:rsid w:val="00096CAD"/>
    <w:rsid w:val="000A1298"/>
    <w:rsid w:val="000A130F"/>
    <w:rsid w:val="000A33DD"/>
    <w:rsid w:val="000A4BF6"/>
    <w:rsid w:val="000A5FEC"/>
    <w:rsid w:val="000B280C"/>
    <w:rsid w:val="000B3309"/>
    <w:rsid w:val="000B4CFA"/>
    <w:rsid w:val="000B4D27"/>
    <w:rsid w:val="000B4EA4"/>
    <w:rsid w:val="000B5D78"/>
    <w:rsid w:val="000B5F5F"/>
    <w:rsid w:val="000C1670"/>
    <w:rsid w:val="000C20EA"/>
    <w:rsid w:val="000C41F3"/>
    <w:rsid w:val="000C42FE"/>
    <w:rsid w:val="000C447C"/>
    <w:rsid w:val="000D1915"/>
    <w:rsid w:val="000D450A"/>
    <w:rsid w:val="000E17B2"/>
    <w:rsid w:val="000E297B"/>
    <w:rsid w:val="000E3F18"/>
    <w:rsid w:val="000E5E52"/>
    <w:rsid w:val="000E65A3"/>
    <w:rsid w:val="000E70BD"/>
    <w:rsid w:val="000E7DE5"/>
    <w:rsid w:val="000F5710"/>
    <w:rsid w:val="000F684C"/>
    <w:rsid w:val="0010041B"/>
    <w:rsid w:val="001018B0"/>
    <w:rsid w:val="00101D0F"/>
    <w:rsid w:val="00105C5C"/>
    <w:rsid w:val="00105C88"/>
    <w:rsid w:val="00110A06"/>
    <w:rsid w:val="001121CC"/>
    <w:rsid w:val="00112A04"/>
    <w:rsid w:val="0011396F"/>
    <w:rsid w:val="00113ED3"/>
    <w:rsid w:val="00113EFC"/>
    <w:rsid w:val="0011516B"/>
    <w:rsid w:val="001153B3"/>
    <w:rsid w:val="001161F0"/>
    <w:rsid w:val="00120B67"/>
    <w:rsid w:val="0012102C"/>
    <w:rsid w:val="0012103C"/>
    <w:rsid w:val="00122638"/>
    <w:rsid w:val="0012565E"/>
    <w:rsid w:val="001273BD"/>
    <w:rsid w:val="001300CF"/>
    <w:rsid w:val="00136606"/>
    <w:rsid w:val="00140B61"/>
    <w:rsid w:val="00141D43"/>
    <w:rsid w:val="00142292"/>
    <w:rsid w:val="001448E4"/>
    <w:rsid w:val="00145777"/>
    <w:rsid w:val="001466A7"/>
    <w:rsid w:val="00146DBE"/>
    <w:rsid w:val="001476DE"/>
    <w:rsid w:val="00150567"/>
    <w:rsid w:val="00154155"/>
    <w:rsid w:val="00154B0A"/>
    <w:rsid w:val="00155B29"/>
    <w:rsid w:val="0015605A"/>
    <w:rsid w:val="00157738"/>
    <w:rsid w:val="001600E1"/>
    <w:rsid w:val="001606CA"/>
    <w:rsid w:val="00161BA0"/>
    <w:rsid w:val="0016324C"/>
    <w:rsid w:val="001638A0"/>
    <w:rsid w:val="001656AA"/>
    <w:rsid w:val="001669BD"/>
    <w:rsid w:val="00166B0B"/>
    <w:rsid w:val="001722A6"/>
    <w:rsid w:val="001724FF"/>
    <w:rsid w:val="00172A27"/>
    <w:rsid w:val="001740E9"/>
    <w:rsid w:val="00176373"/>
    <w:rsid w:val="001806E7"/>
    <w:rsid w:val="0018105F"/>
    <w:rsid w:val="0018157C"/>
    <w:rsid w:val="001844E0"/>
    <w:rsid w:val="00197571"/>
    <w:rsid w:val="001A5890"/>
    <w:rsid w:val="001A6091"/>
    <w:rsid w:val="001A6273"/>
    <w:rsid w:val="001A62D5"/>
    <w:rsid w:val="001A66A5"/>
    <w:rsid w:val="001A6D87"/>
    <w:rsid w:val="001A7F82"/>
    <w:rsid w:val="001B2C76"/>
    <w:rsid w:val="001B51DF"/>
    <w:rsid w:val="001C0000"/>
    <w:rsid w:val="001C0552"/>
    <w:rsid w:val="001C176A"/>
    <w:rsid w:val="001C1B63"/>
    <w:rsid w:val="001C359F"/>
    <w:rsid w:val="001C4058"/>
    <w:rsid w:val="001C42D2"/>
    <w:rsid w:val="001C6153"/>
    <w:rsid w:val="001C6E96"/>
    <w:rsid w:val="001C7769"/>
    <w:rsid w:val="001C7EBE"/>
    <w:rsid w:val="001D021D"/>
    <w:rsid w:val="001D0EEE"/>
    <w:rsid w:val="001D201B"/>
    <w:rsid w:val="001D30A6"/>
    <w:rsid w:val="001E001A"/>
    <w:rsid w:val="001E403C"/>
    <w:rsid w:val="001E4631"/>
    <w:rsid w:val="001E5A82"/>
    <w:rsid w:val="001E5D94"/>
    <w:rsid w:val="001E762A"/>
    <w:rsid w:val="001E77A4"/>
    <w:rsid w:val="001F288A"/>
    <w:rsid w:val="001F2DC7"/>
    <w:rsid w:val="001F3BF9"/>
    <w:rsid w:val="001F7FD0"/>
    <w:rsid w:val="00201F4E"/>
    <w:rsid w:val="002025A2"/>
    <w:rsid w:val="00202657"/>
    <w:rsid w:val="00202A55"/>
    <w:rsid w:val="00202AD4"/>
    <w:rsid w:val="00205241"/>
    <w:rsid w:val="00205D15"/>
    <w:rsid w:val="00214F4A"/>
    <w:rsid w:val="0022165B"/>
    <w:rsid w:val="002223B3"/>
    <w:rsid w:val="00223D98"/>
    <w:rsid w:val="0022428D"/>
    <w:rsid w:val="0022439E"/>
    <w:rsid w:val="00225032"/>
    <w:rsid w:val="0022585A"/>
    <w:rsid w:val="002262E1"/>
    <w:rsid w:val="00227D59"/>
    <w:rsid w:val="00227D60"/>
    <w:rsid w:val="002308BE"/>
    <w:rsid w:val="002317E4"/>
    <w:rsid w:val="00234327"/>
    <w:rsid w:val="002348CA"/>
    <w:rsid w:val="00235D26"/>
    <w:rsid w:val="00236222"/>
    <w:rsid w:val="00236630"/>
    <w:rsid w:val="002419BD"/>
    <w:rsid w:val="002475E1"/>
    <w:rsid w:val="0025038C"/>
    <w:rsid w:val="0025049B"/>
    <w:rsid w:val="002504F3"/>
    <w:rsid w:val="00251803"/>
    <w:rsid w:val="00252296"/>
    <w:rsid w:val="00255C1C"/>
    <w:rsid w:val="00263427"/>
    <w:rsid w:val="00263F42"/>
    <w:rsid w:val="002656CE"/>
    <w:rsid w:val="0027305C"/>
    <w:rsid w:val="00274BDA"/>
    <w:rsid w:val="00274D58"/>
    <w:rsid w:val="0027550B"/>
    <w:rsid w:val="00277967"/>
    <w:rsid w:val="00277989"/>
    <w:rsid w:val="00286A9E"/>
    <w:rsid w:val="00286ACD"/>
    <w:rsid w:val="00286DE4"/>
    <w:rsid w:val="00287127"/>
    <w:rsid w:val="002936C7"/>
    <w:rsid w:val="00293C31"/>
    <w:rsid w:val="002948AF"/>
    <w:rsid w:val="0029505D"/>
    <w:rsid w:val="002964B2"/>
    <w:rsid w:val="00296673"/>
    <w:rsid w:val="002A1E64"/>
    <w:rsid w:val="002A2385"/>
    <w:rsid w:val="002A3CCB"/>
    <w:rsid w:val="002A597B"/>
    <w:rsid w:val="002B1505"/>
    <w:rsid w:val="002B1860"/>
    <w:rsid w:val="002C26C7"/>
    <w:rsid w:val="002C356E"/>
    <w:rsid w:val="002C3EA2"/>
    <w:rsid w:val="002C3F78"/>
    <w:rsid w:val="002C6AB2"/>
    <w:rsid w:val="002C75D7"/>
    <w:rsid w:val="002D1E3A"/>
    <w:rsid w:val="002D412A"/>
    <w:rsid w:val="002D4DDE"/>
    <w:rsid w:val="002D5D74"/>
    <w:rsid w:val="002E1DCE"/>
    <w:rsid w:val="002E4B9C"/>
    <w:rsid w:val="002E5A61"/>
    <w:rsid w:val="002E6D77"/>
    <w:rsid w:val="002E725B"/>
    <w:rsid w:val="002F1686"/>
    <w:rsid w:val="002F202F"/>
    <w:rsid w:val="002F2480"/>
    <w:rsid w:val="002F2A25"/>
    <w:rsid w:val="002F47B4"/>
    <w:rsid w:val="002F6F44"/>
    <w:rsid w:val="003001CC"/>
    <w:rsid w:val="0030523B"/>
    <w:rsid w:val="00305736"/>
    <w:rsid w:val="00307675"/>
    <w:rsid w:val="00313461"/>
    <w:rsid w:val="00313981"/>
    <w:rsid w:val="00313CE2"/>
    <w:rsid w:val="00314829"/>
    <w:rsid w:val="003210DC"/>
    <w:rsid w:val="00321960"/>
    <w:rsid w:val="00321DF1"/>
    <w:rsid w:val="00321E0F"/>
    <w:rsid w:val="00322066"/>
    <w:rsid w:val="00327A80"/>
    <w:rsid w:val="003316BA"/>
    <w:rsid w:val="00333756"/>
    <w:rsid w:val="00333D00"/>
    <w:rsid w:val="0033437A"/>
    <w:rsid w:val="0033476B"/>
    <w:rsid w:val="00337DEF"/>
    <w:rsid w:val="00345917"/>
    <w:rsid w:val="003466F4"/>
    <w:rsid w:val="00346D45"/>
    <w:rsid w:val="0035173F"/>
    <w:rsid w:val="00353003"/>
    <w:rsid w:val="003535C5"/>
    <w:rsid w:val="00354B01"/>
    <w:rsid w:val="00354E22"/>
    <w:rsid w:val="00355724"/>
    <w:rsid w:val="00357619"/>
    <w:rsid w:val="00360038"/>
    <w:rsid w:val="00363F8C"/>
    <w:rsid w:val="00365502"/>
    <w:rsid w:val="003664F1"/>
    <w:rsid w:val="00367D5B"/>
    <w:rsid w:val="00370202"/>
    <w:rsid w:val="0037092E"/>
    <w:rsid w:val="00371CE2"/>
    <w:rsid w:val="00372F3D"/>
    <w:rsid w:val="00373FF0"/>
    <w:rsid w:val="003742B0"/>
    <w:rsid w:val="00376A7E"/>
    <w:rsid w:val="003772D9"/>
    <w:rsid w:val="003837BB"/>
    <w:rsid w:val="00383EB5"/>
    <w:rsid w:val="00385358"/>
    <w:rsid w:val="003854B3"/>
    <w:rsid w:val="0038757A"/>
    <w:rsid w:val="003877F4"/>
    <w:rsid w:val="00387825"/>
    <w:rsid w:val="00390948"/>
    <w:rsid w:val="0039284C"/>
    <w:rsid w:val="003961C5"/>
    <w:rsid w:val="003A18FC"/>
    <w:rsid w:val="003A292E"/>
    <w:rsid w:val="003A3701"/>
    <w:rsid w:val="003A3E56"/>
    <w:rsid w:val="003A46D8"/>
    <w:rsid w:val="003A4F89"/>
    <w:rsid w:val="003A549F"/>
    <w:rsid w:val="003B01EB"/>
    <w:rsid w:val="003B1C23"/>
    <w:rsid w:val="003B2E63"/>
    <w:rsid w:val="003B3280"/>
    <w:rsid w:val="003B345E"/>
    <w:rsid w:val="003B383C"/>
    <w:rsid w:val="003B5666"/>
    <w:rsid w:val="003C0E2A"/>
    <w:rsid w:val="003C3A79"/>
    <w:rsid w:val="003C5BEA"/>
    <w:rsid w:val="003C79D6"/>
    <w:rsid w:val="003D1A4C"/>
    <w:rsid w:val="003D1E2B"/>
    <w:rsid w:val="003D25E0"/>
    <w:rsid w:val="003D27B9"/>
    <w:rsid w:val="003D2DB2"/>
    <w:rsid w:val="003D2EB3"/>
    <w:rsid w:val="003D3A1E"/>
    <w:rsid w:val="003D4180"/>
    <w:rsid w:val="003D7CDF"/>
    <w:rsid w:val="003E3AF5"/>
    <w:rsid w:val="003E43C4"/>
    <w:rsid w:val="003E581E"/>
    <w:rsid w:val="003F1465"/>
    <w:rsid w:val="003F1EB0"/>
    <w:rsid w:val="003F5A94"/>
    <w:rsid w:val="00401458"/>
    <w:rsid w:val="00402B6E"/>
    <w:rsid w:val="004052AD"/>
    <w:rsid w:val="00412B31"/>
    <w:rsid w:val="00415F8F"/>
    <w:rsid w:val="004162B0"/>
    <w:rsid w:val="00422D73"/>
    <w:rsid w:val="00426034"/>
    <w:rsid w:val="0042614E"/>
    <w:rsid w:val="00427247"/>
    <w:rsid w:val="004274ED"/>
    <w:rsid w:val="00431293"/>
    <w:rsid w:val="004316A8"/>
    <w:rsid w:val="00432F30"/>
    <w:rsid w:val="00433B92"/>
    <w:rsid w:val="004416C3"/>
    <w:rsid w:val="0044230E"/>
    <w:rsid w:val="00450353"/>
    <w:rsid w:val="004515B8"/>
    <w:rsid w:val="004560B5"/>
    <w:rsid w:val="0045665E"/>
    <w:rsid w:val="004566D2"/>
    <w:rsid w:val="00456852"/>
    <w:rsid w:val="00457953"/>
    <w:rsid w:val="00460A90"/>
    <w:rsid w:val="00462A42"/>
    <w:rsid w:val="00463AAE"/>
    <w:rsid w:val="004656B8"/>
    <w:rsid w:val="00466F86"/>
    <w:rsid w:val="004726BB"/>
    <w:rsid w:val="004738B7"/>
    <w:rsid w:val="004739B2"/>
    <w:rsid w:val="00475B3C"/>
    <w:rsid w:val="00476BEB"/>
    <w:rsid w:val="00477BAE"/>
    <w:rsid w:val="00480A53"/>
    <w:rsid w:val="00480BD8"/>
    <w:rsid w:val="0048146F"/>
    <w:rsid w:val="00481CB6"/>
    <w:rsid w:val="00483017"/>
    <w:rsid w:val="0048341E"/>
    <w:rsid w:val="00484570"/>
    <w:rsid w:val="004862AE"/>
    <w:rsid w:val="004906F1"/>
    <w:rsid w:val="004908E0"/>
    <w:rsid w:val="00492483"/>
    <w:rsid w:val="004926C9"/>
    <w:rsid w:val="00492B9B"/>
    <w:rsid w:val="00493C6B"/>
    <w:rsid w:val="00494A72"/>
    <w:rsid w:val="00496008"/>
    <w:rsid w:val="00496198"/>
    <w:rsid w:val="004A604C"/>
    <w:rsid w:val="004A6F27"/>
    <w:rsid w:val="004B0BDE"/>
    <w:rsid w:val="004B465A"/>
    <w:rsid w:val="004B6303"/>
    <w:rsid w:val="004C1599"/>
    <w:rsid w:val="004C4AA5"/>
    <w:rsid w:val="004D4A67"/>
    <w:rsid w:val="004D76B8"/>
    <w:rsid w:val="004E434E"/>
    <w:rsid w:val="004E6D1D"/>
    <w:rsid w:val="004F002B"/>
    <w:rsid w:val="004F047D"/>
    <w:rsid w:val="004F0991"/>
    <w:rsid w:val="004F177C"/>
    <w:rsid w:val="004F398E"/>
    <w:rsid w:val="004F4583"/>
    <w:rsid w:val="0050088E"/>
    <w:rsid w:val="005059B8"/>
    <w:rsid w:val="005059DA"/>
    <w:rsid w:val="00511F51"/>
    <w:rsid w:val="00512A50"/>
    <w:rsid w:val="00513F78"/>
    <w:rsid w:val="00514230"/>
    <w:rsid w:val="00514B3E"/>
    <w:rsid w:val="00514DAE"/>
    <w:rsid w:val="0051573C"/>
    <w:rsid w:val="00520CA1"/>
    <w:rsid w:val="0052258C"/>
    <w:rsid w:val="00525BF1"/>
    <w:rsid w:val="00525E1A"/>
    <w:rsid w:val="005261B7"/>
    <w:rsid w:val="00534493"/>
    <w:rsid w:val="00535802"/>
    <w:rsid w:val="00535A25"/>
    <w:rsid w:val="005418E9"/>
    <w:rsid w:val="00543C20"/>
    <w:rsid w:val="005443FA"/>
    <w:rsid w:val="005463F9"/>
    <w:rsid w:val="00550509"/>
    <w:rsid w:val="00550AE3"/>
    <w:rsid w:val="005518F3"/>
    <w:rsid w:val="0055768A"/>
    <w:rsid w:val="00560E0F"/>
    <w:rsid w:val="0056149B"/>
    <w:rsid w:val="00563E34"/>
    <w:rsid w:val="005651FB"/>
    <w:rsid w:val="00570CE1"/>
    <w:rsid w:val="005726EB"/>
    <w:rsid w:val="0058062E"/>
    <w:rsid w:val="00591360"/>
    <w:rsid w:val="00592B01"/>
    <w:rsid w:val="005969C3"/>
    <w:rsid w:val="00597347"/>
    <w:rsid w:val="005A1C8F"/>
    <w:rsid w:val="005A2593"/>
    <w:rsid w:val="005A37C2"/>
    <w:rsid w:val="005A40CF"/>
    <w:rsid w:val="005A615C"/>
    <w:rsid w:val="005A6B0B"/>
    <w:rsid w:val="005A712D"/>
    <w:rsid w:val="005B0F76"/>
    <w:rsid w:val="005B1200"/>
    <w:rsid w:val="005B160E"/>
    <w:rsid w:val="005B234A"/>
    <w:rsid w:val="005B2A35"/>
    <w:rsid w:val="005B3943"/>
    <w:rsid w:val="005B48F8"/>
    <w:rsid w:val="005B65C2"/>
    <w:rsid w:val="005B7F37"/>
    <w:rsid w:val="005C08D7"/>
    <w:rsid w:val="005C1568"/>
    <w:rsid w:val="005C2BDF"/>
    <w:rsid w:val="005C5EDD"/>
    <w:rsid w:val="005C6267"/>
    <w:rsid w:val="005C7CDE"/>
    <w:rsid w:val="005D1261"/>
    <w:rsid w:val="005D4415"/>
    <w:rsid w:val="005D6A5E"/>
    <w:rsid w:val="005D7099"/>
    <w:rsid w:val="005D7174"/>
    <w:rsid w:val="005D755F"/>
    <w:rsid w:val="005E08D3"/>
    <w:rsid w:val="005E167B"/>
    <w:rsid w:val="005E1D09"/>
    <w:rsid w:val="005E55F0"/>
    <w:rsid w:val="005E74A7"/>
    <w:rsid w:val="005F0141"/>
    <w:rsid w:val="005F18E3"/>
    <w:rsid w:val="005F4320"/>
    <w:rsid w:val="005F5D0E"/>
    <w:rsid w:val="005F6D18"/>
    <w:rsid w:val="00602E56"/>
    <w:rsid w:val="00604A01"/>
    <w:rsid w:val="00605504"/>
    <w:rsid w:val="00615198"/>
    <w:rsid w:val="0061554A"/>
    <w:rsid w:val="006161E9"/>
    <w:rsid w:val="006224FB"/>
    <w:rsid w:val="00623E6B"/>
    <w:rsid w:val="0063038D"/>
    <w:rsid w:val="00631B6F"/>
    <w:rsid w:val="00631F3A"/>
    <w:rsid w:val="006331D3"/>
    <w:rsid w:val="006348AA"/>
    <w:rsid w:val="006373CD"/>
    <w:rsid w:val="006375EE"/>
    <w:rsid w:val="00637B7A"/>
    <w:rsid w:val="006402C1"/>
    <w:rsid w:val="00640F9B"/>
    <w:rsid w:val="00641595"/>
    <w:rsid w:val="0064330B"/>
    <w:rsid w:val="00644AC4"/>
    <w:rsid w:val="006453B8"/>
    <w:rsid w:val="00646A61"/>
    <w:rsid w:val="00646A82"/>
    <w:rsid w:val="00650FC8"/>
    <w:rsid w:val="00652DF2"/>
    <w:rsid w:val="00652E19"/>
    <w:rsid w:val="0066307B"/>
    <w:rsid w:val="00663636"/>
    <w:rsid w:val="00663E36"/>
    <w:rsid w:val="00665AA9"/>
    <w:rsid w:val="00670680"/>
    <w:rsid w:val="00670B0E"/>
    <w:rsid w:val="0067479E"/>
    <w:rsid w:val="0067499D"/>
    <w:rsid w:val="0068217B"/>
    <w:rsid w:val="00682DC6"/>
    <w:rsid w:val="00684218"/>
    <w:rsid w:val="00684599"/>
    <w:rsid w:val="0068571F"/>
    <w:rsid w:val="00686617"/>
    <w:rsid w:val="0068741A"/>
    <w:rsid w:val="006923CF"/>
    <w:rsid w:val="006943B7"/>
    <w:rsid w:val="006A1058"/>
    <w:rsid w:val="006A1FD2"/>
    <w:rsid w:val="006B1E54"/>
    <w:rsid w:val="006B2600"/>
    <w:rsid w:val="006B77CD"/>
    <w:rsid w:val="006C1725"/>
    <w:rsid w:val="006C30AE"/>
    <w:rsid w:val="006C4EF1"/>
    <w:rsid w:val="006D2FBA"/>
    <w:rsid w:val="006D4398"/>
    <w:rsid w:val="006D59A7"/>
    <w:rsid w:val="006D65A7"/>
    <w:rsid w:val="006D7E1E"/>
    <w:rsid w:val="006E186F"/>
    <w:rsid w:val="006E44C3"/>
    <w:rsid w:val="006E63E9"/>
    <w:rsid w:val="006E746A"/>
    <w:rsid w:val="006F00CF"/>
    <w:rsid w:val="006F3795"/>
    <w:rsid w:val="006F58DD"/>
    <w:rsid w:val="0070556F"/>
    <w:rsid w:val="0070689E"/>
    <w:rsid w:val="0070700B"/>
    <w:rsid w:val="00707493"/>
    <w:rsid w:val="00710470"/>
    <w:rsid w:val="00711B1D"/>
    <w:rsid w:val="00712695"/>
    <w:rsid w:val="00714AC4"/>
    <w:rsid w:val="00716CDB"/>
    <w:rsid w:val="00720D43"/>
    <w:rsid w:val="00720F69"/>
    <w:rsid w:val="00721B94"/>
    <w:rsid w:val="00721E89"/>
    <w:rsid w:val="0073171D"/>
    <w:rsid w:val="00732084"/>
    <w:rsid w:val="0073411A"/>
    <w:rsid w:val="00734B4C"/>
    <w:rsid w:val="007351A6"/>
    <w:rsid w:val="00735648"/>
    <w:rsid w:val="00736599"/>
    <w:rsid w:val="0074205C"/>
    <w:rsid w:val="0074397E"/>
    <w:rsid w:val="00744434"/>
    <w:rsid w:val="00746CF3"/>
    <w:rsid w:val="007471D9"/>
    <w:rsid w:val="0075054D"/>
    <w:rsid w:val="00753ACA"/>
    <w:rsid w:val="00755C11"/>
    <w:rsid w:val="00756C11"/>
    <w:rsid w:val="0076027D"/>
    <w:rsid w:val="00760595"/>
    <w:rsid w:val="0076156F"/>
    <w:rsid w:val="00761C4D"/>
    <w:rsid w:val="007626BE"/>
    <w:rsid w:val="00762D09"/>
    <w:rsid w:val="0076392B"/>
    <w:rsid w:val="0076792D"/>
    <w:rsid w:val="00767C92"/>
    <w:rsid w:val="007703F1"/>
    <w:rsid w:val="00771AD1"/>
    <w:rsid w:val="00771C46"/>
    <w:rsid w:val="00772202"/>
    <w:rsid w:val="00772AB3"/>
    <w:rsid w:val="00773236"/>
    <w:rsid w:val="00775330"/>
    <w:rsid w:val="00775CA0"/>
    <w:rsid w:val="00777D23"/>
    <w:rsid w:val="007828DB"/>
    <w:rsid w:val="00782B3C"/>
    <w:rsid w:val="0078350E"/>
    <w:rsid w:val="00783F04"/>
    <w:rsid w:val="0078649E"/>
    <w:rsid w:val="00790F9B"/>
    <w:rsid w:val="007941B7"/>
    <w:rsid w:val="007949A4"/>
    <w:rsid w:val="00794F81"/>
    <w:rsid w:val="0079531D"/>
    <w:rsid w:val="00795A0C"/>
    <w:rsid w:val="00795EFB"/>
    <w:rsid w:val="007A1CDB"/>
    <w:rsid w:val="007A3E39"/>
    <w:rsid w:val="007A47ED"/>
    <w:rsid w:val="007A581F"/>
    <w:rsid w:val="007A677B"/>
    <w:rsid w:val="007A6997"/>
    <w:rsid w:val="007A7651"/>
    <w:rsid w:val="007B12ED"/>
    <w:rsid w:val="007B5264"/>
    <w:rsid w:val="007B53C0"/>
    <w:rsid w:val="007C0AD0"/>
    <w:rsid w:val="007C1074"/>
    <w:rsid w:val="007C208B"/>
    <w:rsid w:val="007C3A33"/>
    <w:rsid w:val="007D025D"/>
    <w:rsid w:val="007D2255"/>
    <w:rsid w:val="007D4EB4"/>
    <w:rsid w:val="007D5F15"/>
    <w:rsid w:val="007D76BB"/>
    <w:rsid w:val="007E0524"/>
    <w:rsid w:val="007E1304"/>
    <w:rsid w:val="007E409B"/>
    <w:rsid w:val="007E42E2"/>
    <w:rsid w:val="007E45C8"/>
    <w:rsid w:val="007E4DB7"/>
    <w:rsid w:val="007F11C0"/>
    <w:rsid w:val="007F1474"/>
    <w:rsid w:val="007F200F"/>
    <w:rsid w:val="007F23EC"/>
    <w:rsid w:val="007F270A"/>
    <w:rsid w:val="007F4C2C"/>
    <w:rsid w:val="007F7F19"/>
    <w:rsid w:val="007F7FB6"/>
    <w:rsid w:val="00801125"/>
    <w:rsid w:val="00803382"/>
    <w:rsid w:val="008073FF"/>
    <w:rsid w:val="00807983"/>
    <w:rsid w:val="00807D0A"/>
    <w:rsid w:val="00810E45"/>
    <w:rsid w:val="00814284"/>
    <w:rsid w:val="0081693C"/>
    <w:rsid w:val="00821A0A"/>
    <w:rsid w:val="00821AA9"/>
    <w:rsid w:val="008229F6"/>
    <w:rsid w:val="008235F2"/>
    <w:rsid w:val="008256BE"/>
    <w:rsid w:val="00825FB5"/>
    <w:rsid w:val="00831F59"/>
    <w:rsid w:val="008330D8"/>
    <w:rsid w:val="008367FF"/>
    <w:rsid w:val="00836F4A"/>
    <w:rsid w:val="00840920"/>
    <w:rsid w:val="00840F7A"/>
    <w:rsid w:val="008427B6"/>
    <w:rsid w:val="008451BB"/>
    <w:rsid w:val="00845490"/>
    <w:rsid w:val="00845C77"/>
    <w:rsid w:val="00855F3E"/>
    <w:rsid w:val="0085692F"/>
    <w:rsid w:val="00856C12"/>
    <w:rsid w:val="00861DB3"/>
    <w:rsid w:val="008643B2"/>
    <w:rsid w:val="00865FD7"/>
    <w:rsid w:val="0087082A"/>
    <w:rsid w:val="008723A2"/>
    <w:rsid w:val="00876A55"/>
    <w:rsid w:val="00876B52"/>
    <w:rsid w:val="00880B0A"/>
    <w:rsid w:val="008820E8"/>
    <w:rsid w:val="0088365A"/>
    <w:rsid w:val="00885FC1"/>
    <w:rsid w:val="00886420"/>
    <w:rsid w:val="0088695A"/>
    <w:rsid w:val="00886DCE"/>
    <w:rsid w:val="00890E1B"/>
    <w:rsid w:val="008929E3"/>
    <w:rsid w:val="00893A74"/>
    <w:rsid w:val="00897F95"/>
    <w:rsid w:val="008A04C5"/>
    <w:rsid w:val="008A2575"/>
    <w:rsid w:val="008A4350"/>
    <w:rsid w:val="008A4DE3"/>
    <w:rsid w:val="008A6828"/>
    <w:rsid w:val="008A6F22"/>
    <w:rsid w:val="008B77C6"/>
    <w:rsid w:val="008B7902"/>
    <w:rsid w:val="008C1EA7"/>
    <w:rsid w:val="008C214A"/>
    <w:rsid w:val="008C41FA"/>
    <w:rsid w:val="008C6773"/>
    <w:rsid w:val="008C6E4D"/>
    <w:rsid w:val="008C7DEA"/>
    <w:rsid w:val="008D3A6E"/>
    <w:rsid w:val="008D595A"/>
    <w:rsid w:val="008D65BA"/>
    <w:rsid w:val="008D67B8"/>
    <w:rsid w:val="008E05D9"/>
    <w:rsid w:val="008E2C9F"/>
    <w:rsid w:val="008E3759"/>
    <w:rsid w:val="008E79A3"/>
    <w:rsid w:val="008F33F8"/>
    <w:rsid w:val="008F38D5"/>
    <w:rsid w:val="008F3DDF"/>
    <w:rsid w:val="00901876"/>
    <w:rsid w:val="00904A8A"/>
    <w:rsid w:val="009065C6"/>
    <w:rsid w:val="00906A86"/>
    <w:rsid w:val="00906FFE"/>
    <w:rsid w:val="00910BFC"/>
    <w:rsid w:val="00913123"/>
    <w:rsid w:val="00913825"/>
    <w:rsid w:val="00913B36"/>
    <w:rsid w:val="0091520D"/>
    <w:rsid w:val="00916286"/>
    <w:rsid w:val="009168CF"/>
    <w:rsid w:val="0092536F"/>
    <w:rsid w:val="00927C0A"/>
    <w:rsid w:val="00930932"/>
    <w:rsid w:val="009313F8"/>
    <w:rsid w:val="00932807"/>
    <w:rsid w:val="009362B4"/>
    <w:rsid w:val="0094071D"/>
    <w:rsid w:val="009426B0"/>
    <w:rsid w:val="00943A84"/>
    <w:rsid w:val="00943FED"/>
    <w:rsid w:val="0095134F"/>
    <w:rsid w:val="0095166F"/>
    <w:rsid w:val="0095186B"/>
    <w:rsid w:val="009561A4"/>
    <w:rsid w:val="00956CDF"/>
    <w:rsid w:val="0095783E"/>
    <w:rsid w:val="00961633"/>
    <w:rsid w:val="009619A5"/>
    <w:rsid w:val="009661AD"/>
    <w:rsid w:val="009705A0"/>
    <w:rsid w:val="00971B3D"/>
    <w:rsid w:val="00971E3D"/>
    <w:rsid w:val="009736F2"/>
    <w:rsid w:val="00975CD6"/>
    <w:rsid w:val="00976354"/>
    <w:rsid w:val="00980B4C"/>
    <w:rsid w:val="00981773"/>
    <w:rsid w:val="009817EF"/>
    <w:rsid w:val="009822A5"/>
    <w:rsid w:val="00983AD1"/>
    <w:rsid w:val="00984ADE"/>
    <w:rsid w:val="00984D04"/>
    <w:rsid w:val="00985A1D"/>
    <w:rsid w:val="00986265"/>
    <w:rsid w:val="009912DB"/>
    <w:rsid w:val="00991611"/>
    <w:rsid w:val="00993455"/>
    <w:rsid w:val="00994E9C"/>
    <w:rsid w:val="00995DB1"/>
    <w:rsid w:val="009A017F"/>
    <w:rsid w:val="009A2728"/>
    <w:rsid w:val="009A2F29"/>
    <w:rsid w:val="009A3349"/>
    <w:rsid w:val="009A7832"/>
    <w:rsid w:val="009B0243"/>
    <w:rsid w:val="009B0463"/>
    <w:rsid w:val="009B3456"/>
    <w:rsid w:val="009B5F02"/>
    <w:rsid w:val="009B7207"/>
    <w:rsid w:val="009B7794"/>
    <w:rsid w:val="009C2057"/>
    <w:rsid w:val="009C3410"/>
    <w:rsid w:val="009C45B9"/>
    <w:rsid w:val="009D206C"/>
    <w:rsid w:val="009D411D"/>
    <w:rsid w:val="009D5AA5"/>
    <w:rsid w:val="009D5BB0"/>
    <w:rsid w:val="009D6162"/>
    <w:rsid w:val="009D67EA"/>
    <w:rsid w:val="009E18B0"/>
    <w:rsid w:val="009E317A"/>
    <w:rsid w:val="009E5156"/>
    <w:rsid w:val="009E64C8"/>
    <w:rsid w:val="009F289C"/>
    <w:rsid w:val="009F2A2D"/>
    <w:rsid w:val="009F2C81"/>
    <w:rsid w:val="009F33F8"/>
    <w:rsid w:val="009F55BD"/>
    <w:rsid w:val="009F6F78"/>
    <w:rsid w:val="00A02F0A"/>
    <w:rsid w:val="00A034FB"/>
    <w:rsid w:val="00A0747A"/>
    <w:rsid w:val="00A11702"/>
    <w:rsid w:val="00A12F3D"/>
    <w:rsid w:val="00A141AE"/>
    <w:rsid w:val="00A15547"/>
    <w:rsid w:val="00A15E80"/>
    <w:rsid w:val="00A16F87"/>
    <w:rsid w:val="00A17973"/>
    <w:rsid w:val="00A17BF8"/>
    <w:rsid w:val="00A206D0"/>
    <w:rsid w:val="00A2132D"/>
    <w:rsid w:val="00A21B67"/>
    <w:rsid w:val="00A22152"/>
    <w:rsid w:val="00A23D1B"/>
    <w:rsid w:val="00A2670B"/>
    <w:rsid w:val="00A27ED4"/>
    <w:rsid w:val="00A30666"/>
    <w:rsid w:val="00A31C8B"/>
    <w:rsid w:val="00A33900"/>
    <w:rsid w:val="00A352FE"/>
    <w:rsid w:val="00A35B27"/>
    <w:rsid w:val="00A36E1A"/>
    <w:rsid w:val="00A5084E"/>
    <w:rsid w:val="00A52FDE"/>
    <w:rsid w:val="00A63BBD"/>
    <w:rsid w:val="00A63BD0"/>
    <w:rsid w:val="00A67222"/>
    <w:rsid w:val="00A70768"/>
    <w:rsid w:val="00A7479D"/>
    <w:rsid w:val="00A7712F"/>
    <w:rsid w:val="00A82518"/>
    <w:rsid w:val="00A83592"/>
    <w:rsid w:val="00A8418D"/>
    <w:rsid w:val="00A84A1A"/>
    <w:rsid w:val="00A85D66"/>
    <w:rsid w:val="00A86F20"/>
    <w:rsid w:val="00A90179"/>
    <w:rsid w:val="00A910B5"/>
    <w:rsid w:val="00A9147C"/>
    <w:rsid w:val="00A93261"/>
    <w:rsid w:val="00A93BF9"/>
    <w:rsid w:val="00A96B14"/>
    <w:rsid w:val="00A96EA4"/>
    <w:rsid w:val="00AA1AB3"/>
    <w:rsid w:val="00AA2B8E"/>
    <w:rsid w:val="00AA3F26"/>
    <w:rsid w:val="00AB24CC"/>
    <w:rsid w:val="00AB3A03"/>
    <w:rsid w:val="00AB549D"/>
    <w:rsid w:val="00AB6F62"/>
    <w:rsid w:val="00AB768A"/>
    <w:rsid w:val="00AB79D7"/>
    <w:rsid w:val="00AC0B96"/>
    <w:rsid w:val="00AC41CE"/>
    <w:rsid w:val="00AC591B"/>
    <w:rsid w:val="00AC6F2D"/>
    <w:rsid w:val="00AD0AD9"/>
    <w:rsid w:val="00AD0CBC"/>
    <w:rsid w:val="00AD1D65"/>
    <w:rsid w:val="00AD279B"/>
    <w:rsid w:val="00AD2DC7"/>
    <w:rsid w:val="00AD5E44"/>
    <w:rsid w:val="00AD6848"/>
    <w:rsid w:val="00AE21E2"/>
    <w:rsid w:val="00AE2890"/>
    <w:rsid w:val="00AE6EBF"/>
    <w:rsid w:val="00AF1102"/>
    <w:rsid w:val="00AF3732"/>
    <w:rsid w:val="00AF62D3"/>
    <w:rsid w:val="00AF7A32"/>
    <w:rsid w:val="00B03868"/>
    <w:rsid w:val="00B0594B"/>
    <w:rsid w:val="00B1204C"/>
    <w:rsid w:val="00B1266C"/>
    <w:rsid w:val="00B12ED3"/>
    <w:rsid w:val="00B160E8"/>
    <w:rsid w:val="00B16164"/>
    <w:rsid w:val="00B21B8F"/>
    <w:rsid w:val="00B21DB9"/>
    <w:rsid w:val="00B26CDA"/>
    <w:rsid w:val="00B3064B"/>
    <w:rsid w:val="00B3144B"/>
    <w:rsid w:val="00B3340B"/>
    <w:rsid w:val="00B35E12"/>
    <w:rsid w:val="00B3693F"/>
    <w:rsid w:val="00B375C8"/>
    <w:rsid w:val="00B37A06"/>
    <w:rsid w:val="00B454FB"/>
    <w:rsid w:val="00B466A2"/>
    <w:rsid w:val="00B5092C"/>
    <w:rsid w:val="00B51C8B"/>
    <w:rsid w:val="00B53D1D"/>
    <w:rsid w:val="00B5466D"/>
    <w:rsid w:val="00B56342"/>
    <w:rsid w:val="00B61554"/>
    <w:rsid w:val="00B63747"/>
    <w:rsid w:val="00B6395C"/>
    <w:rsid w:val="00B63E08"/>
    <w:rsid w:val="00B66CAD"/>
    <w:rsid w:val="00B67AEA"/>
    <w:rsid w:val="00B74023"/>
    <w:rsid w:val="00B74A1E"/>
    <w:rsid w:val="00B74AAF"/>
    <w:rsid w:val="00B8112A"/>
    <w:rsid w:val="00B81DBD"/>
    <w:rsid w:val="00B82117"/>
    <w:rsid w:val="00B82A86"/>
    <w:rsid w:val="00B84200"/>
    <w:rsid w:val="00B85A58"/>
    <w:rsid w:val="00B9145A"/>
    <w:rsid w:val="00B92144"/>
    <w:rsid w:val="00B936B0"/>
    <w:rsid w:val="00B93D8A"/>
    <w:rsid w:val="00B94690"/>
    <w:rsid w:val="00B96A98"/>
    <w:rsid w:val="00BA2025"/>
    <w:rsid w:val="00BA2E7F"/>
    <w:rsid w:val="00BA3008"/>
    <w:rsid w:val="00BA305E"/>
    <w:rsid w:val="00BA6DEF"/>
    <w:rsid w:val="00BB01EF"/>
    <w:rsid w:val="00BB1A29"/>
    <w:rsid w:val="00BB3014"/>
    <w:rsid w:val="00BB3D59"/>
    <w:rsid w:val="00BB7B6C"/>
    <w:rsid w:val="00BC1585"/>
    <w:rsid w:val="00BC31E5"/>
    <w:rsid w:val="00BC500E"/>
    <w:rsid w:val="00BC6496"/>
    <w:rsid w:val="00BC7523"/>
    <w:rsid w:val="00BD19F1"/>
    <w:rsid w:val="00BD3EA2"/>
    <w:rsid w:val="00BD4906"/>
    <w:rsid w:val="00BD6EAB"/>
    <w:rsid w:val="00BE11BD"/>
    <w:rsid w:val="00BE43E8"/>
    <w:rsid w:val="00BE46D0"/>
    <w:rsid w:val="00BF022C"/>
    <w:rsid w:val="00BF3184"/>
    <w:rsid w:val="00BF34F6"/>
    <w:rsid w:val="00BF3AA6"/>
    <w:rsid w:val="00BF449B"/>
    <w:rsid w:val="00BF7625"/>
    <w:rsid w:val="00C00151"/>
    <w:rsid w:val="00C06237"/>
    <w:rsid w:val="00C078D3"/>
    <w:rsid w:val="00C1114A"/>
    <w:rsid w:val="00C1378C"/>
    <w:rsid w:val="00C13E4F"/>
    <w:rsid w:val="00C23AEB"/>
    <w:rsid w:val="00C26A1E"/>
    <w:rsid w:val="00C27F1A"/>
    <w:rsid w:val="00C30AE2"/>
    <w:rsid w:val="00C355A6"/>
    <w:rsid w:val="00C35FFF"/>
    <w:rsid w:val="00C418FF"/>
    <w:rsid w:val="00C42C22"/>
    <w:rsid w:val="00C43783"/>
    <w:rsid w:val="00C5342E"/>
    <w:rsid w:val="00C538CB"/>
    <w:rsid w:val="00C53AAA"/>
    <w:rsid w:val="00C545B5"/>
    <w:rsid w:val="00C54F95"/>
    <w:rsid w:val="00C57D0F"/>
    <w:rsid w:val="00C57FBC"/>
    <w:rsid w:val="00C60987"/>
    <w:rsid w:val="00C61FE4"/>
    <w:rsid w:val="00C648C4"/>
    <w:rsid w:val="00C64CC7"/>
    <w:rsid w:val="00C64E85"/>
    <w:rsid w:val="00C67002"/>
    <w:rsid w:val="00C67A2E"/>
    <w:rsid w:val="00C70A60"/>
    <w:rsid w:val="00C71364"/>
    <w:rsid w:val="00C71DBF"/>
    <w:rsid w:val="00C733C5"/>
    <w:rsid w:val="00C76CD9"/>
    <w:rsid w:val="00C826B1"/>
    <w:rsid w:val="00C83E03"/>
    <w:rsid w:val="00C845EA"/>
    <w:rsid w:val="00C8667C"/>
    <w:rsid w:val="00C86D3F"/>
    <w:rsid w:val="00C94C75"/>
    <w:rsid w:val="00C96CCD"/>
    <w:rsid w:val="00CA1468"/>
    <w:rsid w:val="00CA20B5"/>
    <w:rsid w:val="00CA500C"/>
    <w:rsid w:val="00CA511F"/>
    <w:rsid w:val="00CB0154"/>
    <w:rsid w:val="00CB32B4"/>
    <w:rsid w:val="00CB75F0"/>
    <w:rsid w:val="00CC0029"/>
    <w:rsid w:val="00CC0558"/>
    <w:rsid w:val="00CC08DB"/>
    <w:rsid w:val="00CC10A9"/>
    <w:rsid w:val="00CC3D1A"/>
    <w:rsid w:val="00CC3FB6"/>
    <w:rsid w:val="00CD00E5"/>
    <w:rsid w:val="00CD2771"/>
    <w:rsid w:val="00CD5AE2"/>
    <w:rsid w:val="00CE278C"/>
    <w:rsid w:val="00CE2829"/>
    <w:rsid w:val="00CE39B7"/>
    <w:rsid w:val="00CE4A72"/>
    <w:rsid w:val="00CE5203"/>
    <w:rsid w:val="00CE641B"/>
    <w:rsid w:val="00CE6CDC"/>
    <w:rsid w:val="00CF0009"/>
    <w:rsid w:val="00CF2C20"/>
    <w:rsid w:val="00CF4A40"/>
    <w:rsid w:val="00CF59D7"/>
    <w:rsid w:val="00D018C7"/>
    <w:rsid w:val="00D02294"/>
    <w:rsid w:val="00D06276"/>
    <w:rsid w:val="00D1328B"/>
    <w:rsid w:val="00D13648"/>
    <w:rsid w:val="00D14823"/>
    <w:rsid w:val="00D17441"/>
    <w:rsid w:val="00D175F4"/>
    <w:rsid w:val="00D20AD1"/>
    <w:rsid w:val="00D21322"/>
    <w:rsid w:val="00D215B5"/>
    <w:rsid w:val="00D27517"/>
    <w:rsid w:val="00D32605"/>
    <w:rsid w:val="00D32810"/>
    <w:rsid w:val="00D36461"/>
    <w:rsid w:val="00D36BD4"/>
    <w:rsid w:val="00D36BDB"/>
    <w:rsid w:val="00D438CC"/>
    <w:rsid w:val="00D51EBE"/>
    <w:rsid w:val="00D525FC"/>
    <w:rsid w:val="00D54A65"/>
    <w:rsid w:val="00D5510E"/>
    <w:rsid w:val="00D60966"/>
    <w:rsid w:val="00D62249"/>
    <w:rsid w:val="00D64E79"/>
    <w:rsid w:val="00D667BE"/>
    <w:rsid w:val="00D675DE"/>
    <w:rsid w:val="00D71171"/>
    <w:rsid w:val="00D71CE2"/>
    <w:rsid w:val="00D73165"/>
    <w:rsid w:val="00D745CD"/>
    <w:rsid w:val="00D75F41"/>
    <w:rsid w:val="00D7689F"/>
    <w:rsid w:val="00D77208"/>
    <w:rsid w:val="00D77BEB"/>
    <w:rsid w:val="00D77DEF"/>
    <w:rsid w:val="00D84E5E"/>
    <w:rsid w:val="00D85300"/>
    <w:rsid w:val="00D856B3"/>
    <w:rsid w:val="00D86ECE"/>
    <w:rsid w:val="00D91A3F"/>
    <w:rsid w:val="00D95486"/>
    <w:rsid w:val="00DA09D3"/>
    <w:rsid w:val="00DA10B9"/>
    <w:rsid w:val="00DA27C7"/>
    <w:rsid w:val="00DA27DE"/>
    <w:rsid w:val="00DA4129"/>
    <w:rsid w:val="00DA75D5"/>
    <w:rsid w:val="00DB0638"/>
    <w:rsid w:val="00DB0C70"/>
    <w:rsid w:val="00DB1A2B"/>
    <w:rsid w:val="00DB2CFE"/>
    <w:rsid w:val="00DB3C68"/>
    <w:rsid w:val="00DB5B07"/>
    <w:rsid w:val="00DB5BD0"/>
    <w:rsid w:val="00DB7001"/>
    <w:rsid w:val="00DC0CD7"/>
    <w:rsid w:val="00DC2174"/>
    <w:rsid w:val="00DC6B08"/>
    <w:rsid w:val="00DC6FAF"/>
    <w:rsid w:val="00DD0FC8"/>
    <w:rsid w:val="00DD1FF6"/>
    <w:rsid w:val="00DD64C9"/>
    <w:rsid w:val="00DE0FE0"/>
    <w:rsid w:val="00DE127A"/>
    <w:rsid w:val="00DE4945"/>
    <w:rsid w:val="00DF334A"/>
    <w:rsid w:val="00DF36F0"/>
    <w:rsid w:val="00DF7F43"/>
    <w:rsid w:val="00E04CA4"/>
    <w:rsid w:val="00E06E21"/>
    <w:rsid w:val="00E112C7"/>
    <w:rsid w:val="00E1155A"/>
    <w:rsid w:val="00E12D48"/>
    <w:rsid w:val="00E12D5E"/>
    <w:rsid w:val="00E14DF8"/>
    <w:rsid w:val="00E15454"/>
    <w:rsid w:val="00E20DFB"/>
    <w:rsid w:val="00E21BC7"/>
    <w:rsid w:val="00E25EA8"/>
    <w:rsid w:val="00E3485D"/>
    <w:rsid w:val="00E35BE8"/>
    <w:rsid w:val="00E36024"/>
    <w:rsid w:val="00E433C4"/>
    <w:rsid w:val="00E43C81"/>
    <w:rsid w:val="00E5274D"/>
    <w:rsid w:val="00E52DE0"/>
    <w:rsid w:val="00E5541F"/>
    <w:rsid w:val="00E57E1B"/>
    <w:rsid w:val="00E60B9C"/>
    <w:rsid w:val="00E61F7E"/>
    <w:rsid w:val="00E620A5"/>
    <w:rsid w:val="00E63CFA"/>
    <w:rsid w:val="00E654F0"/>
    <w:rsid w:val="00E65D5C"/>
    <w:rsid w:val="00E67137"/>
    <w:rsid w:val="00E7179B"/>
    <w:rsid w:val="00E72748"/>
    <w:rsid w:val="00E75D81"/>
    <w:rsid w:val="00E760D0"/>
    <w:rsid w:val="00E762BF"/>
    <w:rsid w:val="00E76501"/>
    <w:rsid w:val="00E77617"/>
    <w:rsid w:val="00E838B2"/>
    <w:rsid w:val="00E84BC0"/>
    <w:rsid w:val="00E87105"/>
    <w:rsid w:val="00E905B7"/>
    <w:rsid w:val="00E91B54"/>
    <w:rsid w:val="00E91C7F"/>
    <w:rsid w:val="00E936FA"/>
    <w:rsid w:val="00E94379"/>
    <w:rsid w:val="00EA02AF"/>
    <w:rsid w:val="00EA0C32"/>
    <w:rsid w:val="00EA14E2"/>
    <w:rsid w:val="00EA33E7"/>
    <w:rsid w:val="00EA372E"/>
    <w:rsid w:val="00EA673C"/>
    <w:rsid w:val="00EA791E"/>
    <w:rsid w:val="00EB05B9"/>
    <w:rsid w:val="00EB1AEB"/>
    <w:rsid w:val="00EB2902"/>
    <w:rsid w:val="00EB2A6F"/>
    <w:rsid w:val="00EB398D"/>
    <w:rsid w:val="00EB4FA6"/>
    <w:rsid w:val="00EB604B"/>
    <w:rsid w:val="00EB670D"/>
    <w:rsid w:val="00EC01F0"/>
    <w:rsid w:val="00EC16DA"/>
    <w:rsid w:val="00EC1A91"/>
    <w:rsid w:val="00EC41A4"/>
    <w:rsid w:val="00EC5C1E"/>
    <w:rsid w:val="00EC6581"/>
    <w:rsid w:val="00ED0121"/>
    <w:rsid w:val="00ED3F58"/>
    <w:rsid w:val="00ED686E"/>
    <w:rsid w:val="00ED78EC"/>
    <w:rsid w:val="00EE0095"/>
    <w:rsid w:val="00EE0DE8"/>
    <w:rsid w:val="00EE1A9A"/>
    <w:rsid w:val="00EE284F"/>
    <w:rsid w:val="00EF05DC"/>
    <w:rsid w:val="00EF16C1"/>
    <w:rsid w:val="00EF180C"/>
    <w:rsid w:val="00EF2B8D"/>
    <w:rsid w:val="00EF3D22"/>
    <w:rsid w:val="00EF5390"/>
    <w:rsid w:val="00EF6530"/>
    <w:rsid w:val="00EF7469"/>
    <w:rsid w:val="00EF7F3D"/>
    <w:rsid w:val="00F012B5"/>
    <w:rsid w:val="00F029B8"/>
    <w:rsid w:val="00F02B2E"/>
    <w:rsid w:val="00F0322E"/>
    <w:rsid w:val="00F04FC9"/>
    <w:rsid w:val="00F0646D"/>
    <w:rsid w:val="00F117C7"/>
    <w:rsid w:val="00F11EB3"/>
    <w:rsid w:val="00F13666"/>
    <w:rsid w:val="00F13DC9"/>
    <w:rsid w:val="00F22A43"/>
    <w:rsid w:val="00F23379"/>
    <w:rsid w:val="00F23B57"/>
    <w:rsid w:val="00F24B5E"/>
    <w:rsid w:val="00F254B6"/>
    <w:rsid w:val="00F27CC4"/>
    <w:rsid w:val="00F31A1C"/>
    <w:rsid w:val="00F3311D"/>
    <w:rsid w:val="00F364F5"/>
    <w:rsid w:val="00F403D4"/>
    <w:rsid w:val="00F41360"/>
    <w:rsid w:val="00F50D64"/>
    <w:rsid w:val="00F53107"/>
    <w:rsid w:val="00F54C15"/>
    <w:rsid w:val="00F54C94"/>
    <w:rsid w:val="00F56668"/>
    <w:rsid w:val="00F64512"/>
    <w:rsid w:val="00F67D3B"/>
    <w:rsid w:val="00F72E87"/>
    <w:rsid w:val="00F80896"/>
    <w:rsid w:val="00F84B6E"/>
    <w:rsid w:val="00F85047"/>
    <w:rsid w:val="00F85685"/>
    <w:rsid w:val="00F87A1A"/>
    <w:rsid w:val="00F900B3"/>
    <w:rsid w:val="00F942A1"/>
    <w:rsid w:val="00F97E42"/>
    <w:rsid w:val="00FA5A0F"/>
    <w:rsid w:val="00FA5B64"/>
    <w:rsid w:val="00FA6F37"/>
    <w:rsid w:val="00FA77E0"/>
    <w:rsid w:val="00FB1A50"/>
    <w:rsid w:val="00FB2D20"/>
    <w:rsid w:val="00FB33D0"/>
    <w:rsid w:val="00FC0427"/>
    <w:rsid w:val="00FC138A"/>
    <w:rsid w:val="00FC1742"/>
    <w:rsid w:val="00FC2B4E"/>
    <w:rsid w:val="00FC34A1"/>
    <w:rsid w:val="00FC4A81"/>
    <w:rsid w:val="00FC57F4"/>
    <w:rsid w:val="00FC7580"/>
    <w:rsid w:val="00FD3F73"/>
    <w:rsid w:val="00FD631D"/>
    <w:rsid w:val="00FD712C"/>
    <w:rsid w:val="00FD7A8E"/>
    <w:rsid w:val="00FE0522"/>
    <w:rsid w:val="00FE178F"/>
    <w:rsid w:val="00FE1825"/>
    <w:rsid w:val="00FE4EBE"/>
    <w:rsid w:val="00FE5AB8"/>
    <w:rsid w:val="00FE5D4C"/>
    <w:rsid w:val="00FE6FA2"/>
    <w:rsid w:val="00FF00DA"/>
    <w:rsid w:val="00FF12D2"/>
    <w:rsid w:val="00FF5197"/>
    <w:rsid w:val="00FF6DEC"/>
    <w:rsid w:val="00FF709B"/>
    <w:rsid w:val="01044865"/>
    <w:rsid w:val="011941B1"/>
    <w:rsid w:val="013C1336"/>
    <w:rsid w:val="018F16B3"/>
    <w:rsid w:val="01BA026B"/>
    <w:rsid w:val="01C674E5"/>
    <w:rsid w:val="01CC0FF6"/>
    <w:rsid w:val="02A52BB1"/>
    <w:rsid w:val="02CA4FC0"/>
    <w:rsid w:val="02D71AAC"/>
    <w:rsid w:val="04403D2F"/>
    <w:rsid w:val="04BC3E65"/>
    <w:rsid w:val="04D04AF4"/>
    <w:rsid w:val="05156869"/>
    <w:rsid w:val="052470BD"/>
    <w:rsid w:val="055711FF"/>
    <w:rsid w:val="06025CC9"/>
    <w:rsid w:val="06124E40"/>
    <w:rsid w:val="062C20C0"/>
    <w:rsid w:val="06CE60CE"/>
    <w:rsid w:val="078D06C3"/>
    <w:rsid w:val="0795575B"/>
    <w:rsid w:val="084118C3"/>
    <w:rsid w:val="085F156F"/>
    <w:rsid w:val="08763AC0"/>
    <w:rsid w:val="096A06FA"/>
    <w:rsid w:val="09CC509E"/>
    <w:rsid w:val="0A96001D"/>
    <w:rsid w:val="0AAF2DAF"/>
    <w:rsid w:val="0AB115FF"/>
    <w:rsid w:val="0BC21C61"/>
    <w:rsid w:val="0D1D29E0"/>
    <w:rsid w:val="0D4472E9"/>
    <w:rsid w:val="0D664719"/>
    <w:rsid w:val="0DC5681D"/>
    <w:rsid w:val="0DD8176C"/>
    <w:rsid w:val="0EC4320D"/>
    <w:rsid w:val="0EDC015F"/>
    <w:rsid w:val="0F101191"/>
    <w:rsid w:val="0F105E37"/>
    <w:rsid w:val="10445F4B"/>
    <w:rsid w:val="104F35F0"/>
    <w:rsid w:val="10CD3B6A"/>
    <w:rsid w:val="10EA7A96"/>
    <w:rsid w:val="12F7443A"/>
    <w:rsid w:val="131A737F"/>
    <w:rsid w:val="137F1C8E"/>
    <w:rsid w:val="13C90F7E"/>
    <w:rsid w:val="14B31BA2"/>
    <w:rsid w:val="159942A1"/>
    <w:rsid w:val="15A85D07"/>
    <w:rsid w:val="15CE468A"/>
    <w:rsid w:val="15D20ADE"/>
    <w:rsid w:val="15E43DEC"/>
    <w:rsid w:val="169B5027"/>
    <w:rsid w:val="16A123AD"/>
    <w:rsid w:val="16B75D00"/>
    <w:rsid w:val="16F60062"/>
    <w:rsid w:val="17545A2D"/>
    <w:rsid w:val="177D1D54"/>
    <w:rsid w:val="17821A34"/>
    <w:rsid w:val="17AA6570"/>
    <w:rsid w:val="17B015AA"/>
    <w:rsid w:val="18766CF5"/>
    <w:rsid w:val="1898077E"/>
    <w:rsid w:val="1941596A"/>
    <w:rsid w:val="19421F69"/>
    <w:rsid w:val="19BA132B"/>
    <w:rsid w:val="1A116080"/>
    <w:rsid w:val="1B0D7720"/>
    <w:rsid w:val="1B491D02"/>
    <w:rsid w:val="1B944A93"/>
    <w:rsid w:val="1BA0362D"/>
    <w:rsid w:val="1C4E77C9"/>
    <w:rsid w:val="1C5D4210"/>
    <w:rsid w:val="1C6A1C89"/>
    <w:rsid w:val="1CA24390"/>
    <w:rsid w:val="1CEE3375"/>
    <w:rsid w:val="1E4B65F1"/>
    <w:rsid w:val="1E5D31E3"/>
    <w:rsid w:val="1E6D3173"/>
    <w:rsid w:val="1EA23F09"/>
    <w:rsid w:val="1F0E3790"/>
    <w:rsid w:val="1F724C78"/>
    <w:rsid w:val="1F87077F"/>
    <w:rsid w:val="20134151"/>
    <w:rsid w:val="20952C09"/>
    <w:rsid w:val="20EE6FD1"/>
    <w:rsid w:val="21645B97"/>
    <w:rsid w:val="21EC356B"/>
    <w:rsid w:val="221819BA"/>
    <w:rsid w:val="2276771E"/>
    <w:rsid w:val="22B52CC7"/>
    <w:rsid w:val="23B60BD2"/>
    <w:rsid w:val="23C9604C"/>
    <w:rsid w:val="24751CF8"/>
    <w:rsid w:val="249078C8"/>
    <w:rsid w:val="249A3F0B"/>
    <w:rsid w:val="24C54E36"/>
    <w:rsid w:val="25053014"/>
    <w:rsid w:val="251B7651"/>
    <w:rsid w:val="25943DDB"/>
    <w:rsid w:val="25BD0563"/>
    <w:rsid w:val="25DE653F"/>
    <w:rsid w:val="262062FE"/>
    <w:rsid w:val="26340950"/>
    <w:rsid w:val="2714160F"/>
    <w:rsid w:val="27815E2C"/>
    <w:rsid w:val="29276E59"/>
    <w:rsid w:val="29566D26"/>
    <w:rsid w:val="29C373E5"/>
    <w:rsid w:val="2ABA7043"/>
    <w:rsid w:val="2C295ADF"/>
    <w:rsid w:val="2C36440C"/>
    <w:rsid w:val="2C9F5569"/>
    <w:rsid w:val="2CA64F54"/>
    <w:rsid w:val="2CC23B8B"/>
    <w:rsid w:val="2D884B6F"/>
    <w:rsid w:val="2DD03D87"/>
    <w:rsid w:val="2DE05ED4"/>
    <w:rsid w:val="2F182CC7"/>
    <w:rsid w:val="2F2B4118"/>
    <w:rsid w:val="2F8349AC"/>
    <w:rsid w:val="2F9779BA"/>
    <w:rsid w:val="2FBE2F15"/>
    <w:rsid w:val="2FBF44E9"/>
    <w:rsid w:val="2FEB36AF"/>
    <w:rsid w:val="3142760F"/>
    <w:rsid w:val="31832EBE"/>
    <w:rsid w:val="31872E7C"/>
    <w:rsid w:val="31F3003F"/>
    <w:rsid w:val="31FF57CE"/>
    <w:rsid w:val="324B3F5B"/>
    <w:rsid w:val="32850C7D"/>
    <w:rsid w:val="3362031F"/>
    <w:rsid w:val="336E6C55"/>
    <w:rsid w:val="33F41E77"/>
    <w:rsid w:val="3402506F"/>
    <w:rsid w:val="34026E84"/>
    <w:rsid w:val="340A231B"/>
    <w:rsid w:val="34217FBF"/>
    <w:rsid w:val="345530E8"/>
    <w:rsid w:val="34EA4D8D"/>
    <w:rsid w:val="354650A4"/>
    <w:rsid w:val="35EB0F46"/>
    <w:rsid w:val="360812A5"/>
    <w:rsid w:val="361A003E"/>
    <w:rsid w:val="36594D89"/>
    <w:rsid w:val="36D61F2B"/>
    <w:rsid w:val="36E419BD"/>
    <w:rsid w:val="37720852"/>
    <w:rsid w:val="37A04407"/>
    <w:rsid w:val="37AC4997"/>
    <w:rsid w:val="37BF6276"/>
    <w:rsid w:val="3805083B"/>
    <w:rsid w:val="388327D7"/>
    <w:rsid w:val="38E14290"/>
    <w:rsid w:val="390157ED"/>
    <w:rsid w:val="3A362411"/>
    <w:rsid w:val="3A6B7BDC"/>
    <w:rsid w:val="3A837788"/>
    <w:rsid w:val="3A8408F8"/>
    <w:rsid w:val="3AF944EE"/>
    <w:rsid w:val="3C6E66F7"/>
    <w:rsid w:val="3D9108EC"/>
    <w:rsid w:val="3D9D7B53"/>
    <w:rsid w:val="3DA17262"/>
    <w:rsid w:val="3DB9399F"/>
    <w:rsid w:val="3E4D1356"/>
    <w:rsid w:val="3E5E40DF"/>
    <w:rsid w:val="3EAB41B0"/>
    <w:rsid w:val="3EFE79B5"/>
    <w:rsid w:val="3F0303CB"/>
    <w:rsid w:val="3F3B09D0"/>
    <w:rsid w:val="3FA0544B"/>
    <w:rsid w:val="3FD629BC"/>
    <w:rsid w:val="40122C4C"/>
    <w:rsid w:val="414C3A04"/>
    <w:rsid w:val="4163636A"/>
    <w:rsid w:val="4198167F"/>
    <w:rsid w:val="41A8218C"/>
    <w:rsid w:val="41C07276"/>
    <w:rsid w:val="41DF0241"/>
    <w:rsid w:val="41E60745"/>
    <w:rsid w:val="41E642EC"/>
    <w:rsid w:val="42182425"/>
    <w:rsid w:val="42382847"/>
    <w:rsid w:val="424D1A99"/>
    <w:rsid w:val="428F567D"/>
    <w:rsid w:val="42C03696"/>
    <w:rsid w:val="43251416"/>
    <w:rsid w:val="43D67F21"/>
    <w:rsid w:val="44847001"/>
    <w:rsid w:val="449A77AB"/>
    <w:rsid w:val="44A81C61"/>
    <w:rsid w:val="44BF7D71"/>
    <w:rsid w:val="45400A5E"/>
    <w:rsid w:val="45DD6AD4"/>
    <w:rsid w:val="45F478F4"/>
    <w:rsid w:val="46273D7C"/>
    <w:rsid w:val="46530F7E"/>
    <w:rsid w:val="469428D0"/>
    <w:rsid w:val="46BC3741"/>
    <w:rsid w:val="46F86FD5"/>
    <w:rsid w:val="47616696"/>
    <w:rsid w:val="476D46F8"/>
    <w:rsid w:val="47947D78"/>
    <w:rsid w:val="481952D5"/>
    <w:rsid w:val="487972FE"/>
    <w:rsid w:val="48C84A9E"/>
    <w:rsid w:val="48D43C7A"/>
    <w:rsid w:val="48E840B8"/>
    <w:rsid w:val="49346D14"/>
    <w:rsid w:val="49466C1D"/>
    <w:rsid w:val="49CB3C34"/>
    <w:rsid w:val="49DF6F1B"/>
    <w:rsid w:val="49E673FD"/>
    <w:rsid w:val="49E7488D"/>
    <w:rsid w:val="4A2829E2"/>
    <w:rsid w:val="4B4E46FD"/>
    <w:rsid w:val="4BCD457A"/>
    <w:rsid w:val="4BCF51B2"/>
    <w:rsid w:val="4C110B53"/>
    <w:rsid w:val="4C2F3B0D"/>
    <w:rsid w:val="4CC83473"/>
    <w:rsid w:val="4CFE4EDB"/>
    <w:rsid w:val="4D07167C"/>
    <w:rsid w:val="4D090BA9"/>
    <w:rsid w:val="4D4A6E17"/>
    <w:rsid w:val="4D5B6458"/>
    <w:rsid w:val="4D640D97"/>
    <w:rsid w:val="4D76279D"/>
    <w:rsid w:val="4D9C65BE"/>
    <w:rsid w:val="4DE47859"/>
    <w:rsid w:val="4E5564B2"/>
    <w:rsid w:val="4E97412C"/>
    <w:rsid w:val="4EC9441C"/>
    <w:rsid w:val="4F396642"/>
    <w:rsid w:val="4F5642D1"/>
    <w:rsid w:val="4F823DE7"/>
    <w:rsid w:val="51F6095E"/>
    <w:rsid w:val="520D015F"/>
    <w:rsid w:val="529A6FB7"/>
    <w:rsid w:val="52B22921"/>
    <w:rsid w:val="52B4652D"/>
    <w:rsid w:val="52FF40CB"/>
    <w:rsid w:val="53A57031"/>
    <w:rsid w:val="53AA2B9D"/>
    <w:rsid w:val="53F3149A"/>
    <w:rsid w:val="54961A86"/>
    <w:rsid w:val="549F44D5"/>
    <w:rsid w:val="54A300A0"/>
    <w:rsid w:val="554C38CA"/>
    <w:rsid w:val="5580269B"/>
    <w:rsid w:val="56836955"/>
    <w:rsid w:val="568D6E16"/>
    <w:rsid w:val="56D70F50"/>
    <w:rsid w:val="578D7B9F"/>
    <w:rsid w:val="57BD59A1"/>
    <w:rsid w:val="589D62C5"/>
    <w:rsid w:val="594A6B4C"/>
    <w:rsid w:val="5A5E7E62"/>
    <w:rsid w:val="5AD01428"/>
    <w:rsid w:val="5AEA24B5"/>
    <w:rsid w:val="5B454EBA"/>
    <w:rsid w:val="5B5969C9"/>
    <w:rsid w:val="5B835269"/>
    <w:rsid w:val="5BAD253B"/>
    <w:rsid w:val="5BCC5F55"/>
    <w:rsid w:val="5C333B7E"/>
    <w:rsid w:val="5C511936"/>
    <w:rsid w:val="5C5F0345"/>
    <w:rsid w:val="5C802B4D"/>
    <w:rsid w:val="5CEC7639"/>
    <w:rsid w:val="5D0F6F63"/>
    <w:rsid w:val="5D3B11B1"/>
    <w:rsid w:val="5D4B1964"/>
    <w:rsid w:val="5D8B4D2B"/>
    <w:rsid w:val="5DF662BE"/>
    <w:rsid w:val="5E68190B"/>
    <w:rsid w:val="5F33081E"/>
    <w:rsid w:val="5F452C0E"/>
    <w:rsid w:val="5F602E00"/>
    <w:rsid w:val="5F7F436A"/>
    <w:rsid w:val="5F850DD3"/>
    <w:rsid w:val="5FFD0BD6"/>
    <w:rsid w:val="601E0E96"/>
    <w:rsid w:val="605A54FE"/>
    <w:rsid w:val="60ED5368"/>
    <w:rsid w:val="614E47CF"/>
    <w:rsid w:val="61785B76"/>
    <w:rsid w:val="61A51F32"/>
    <w:rsid w:val="61B570DC"/>
    <w:rsid w:val="61E9253C"/>
    <w:rsid w:val="61FF197B"/>
    <w:rsid w:val="62336140"/>
    <w:rsid w:val="62776B17"/>
    <w:rsid w:val="63394822"/>
    <w:rsid w:val="637E5341"/>
    <w:rsid w:val="6389230A"/>
    <w:rsid w:val="6466260E"/>
    <w:rsid w:val="648102A2"/>
    <w:rsid w:val="64F64C9F"/>
    <w:rsid w:val="65CD3756"/>
    <w:rsid w:val="66BE088F"/>
    <w:rsid w:val="66D825A6"/>
    <w:rsid w:val="670C6E6A"/>
    <w:rsid w:val="67F762DD"/>
    <w:rsid w:val="68651689"/>
    <w:rsid w:val="687E72DD"/>
    <w:rsid w:val="690C0799"/>
    <w:rsid w:val="698536CB"/>
    <w:rsid w:val="699027AE"/>
    <w:rsid w:val="69BE1848"/>
    <w:rsid w:val="6AD46F9B"/>
    <w:rsid w:val="6BE20F2D"/>
    <w:rsid w:val="6BFF69F9"/>
    <w:rsid w:val="6CF008BB"/>
    <w:rsid w:val="6E5C4CDD"/>
    <w:rsid w:val="6EB70825"/>
    <w:rsid w:val="6F2364BD"/>
    <w:rsid w:val="6F3D122B"/>
    <w:rsid w:val="6F431C8C"/>
    <w:rsid w:val="70256B11"/>
    <w:rsid w:val="703D1AAA"/>
    <w:rsid w:val="705C25B6"/>
    <w:rsid w:val="70B74FD0"/>
    <w:rsid w:val="711F294B"/>
    <w:rsid w:val="717C23B3"/>
    <w:rsid w:val="71C04526"/>
    <w:rsid w:val="72667DF8"/>
    <w:rsid w:val="72F35B4A"/>
    <w:rsid w:val="73B93AA4"/>
    <w:rsid w:val="756A165C"/>
    <w:rsid w:val="75C74555"/>
    <w:rsid w:val="76626857"/>
    <w:rsid w:val="76821ED4"/>
    <w:rsid w:val="76E05161"/>
    <w:rsid w:val="76F02424"/>
    <w:rsid w:val="76FD7668"/>
    <w:rsid w:val="770C77B9"/>
    <w:rsid w:val="77277067"/>
    <w:rsid w:val="77F549BB"/>
    <w:rsid w:val="78296B05"/>
    <w:rsid w:val="78671AF3"/>
    <w:rsid w:val="789E1D85"/>
    <w:rsid w:val="78D90AE4"/>
    <w:rsid w:val="78EB5209"/>
    <w:rsid w:val="797A042B"/>
    <w:rsid w:val="79A62188"/>
    <w:rsid w:val="79A73746"/>
    <w:rsid w:val="7A1A394D"/>
    <w:rsid w:val="7A6B665B"/>
    <w:rsid w:val="7AAB1988"/>
    <w:rsid w:val="7AC74DDD"/>
    <w:rsid w:val="7B2765A8"/>
    <w:rsid w:val="7BA918DF"/>
    <w:rsid w:val="7C3E020A"/>
    <w:rsid w:val="7D35169B"/>
    <w:rsid w:val="7D416789"/>
    <w:rsid w:val="7D81228E"/>
    <w:rsid w:val="7E307FAB"/>
    <w:rsid w:val="7E4C2537"/>
    <w:rsid w:val="7EE7591E"/>
    <w:rsid w:val="7EFD0E8F"/>
    <w:rsid w:val="7F955233"/>
    <w:rsid w:val="7F9C5AC8"/>
    <w:rsid w:val="7FAF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5"/>
    <w:qFormat/>
    <w:uiPriority w:val="0"/>
    <w:pPr>
      <w:keepNext/>
      <w:keepLines/>
      <w:snapToGrid w:val="0"/>
      <w:spacing w:before="240" w:line="360" w:lineRule="auto"/>
      <w:outlineLvl w:val="0"/>
    </w:pPr>
    <w:rPr>
      <w:rFonts w:ascii="仿宋_GB2312"/>
      <w:b/>
      <w:bCs/>
      <w:kern w:val="44"/>
      <w:sz w:val="24"/>
      <w:szCs w:val="44"/>
    </w:rPr>
  </w:style>
  <w:style w:type="paragraph" w:styleId="4">
    <w:name w:val="heading 2"/>
    <w:basedOn w:val="1"/>
    <w:next w:val="1"/>
    <w:link w:val="56"/>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link w:val="57"/>
    <w:qFormat/>
    <w:uiPriority w:val="0"/>
    <w:pPr>
      <w:keepNext/>
      <w:keepLines/>
      <w:adjustRightInd w:val="0"/>
      <w:snapToGrid w:val="0"/>
      <w:spacing w:before="240" w:after="240"/>
      <w:outlineLvl w:val="2"/>
    </w:pPr>
    <w:rPr>
      <w:b/>
      <w:bCs/>
      <w:sz w:val="24"/>
      <w:szCs w:val="32"/>
    </w:rPr>
  </w:style>
  <w:style w:type="paragraph" w:styleId="6">
    <w:name w:val="heading 4"/>
    <w:basedOn w:val="1"/>
    <w:next w:val="1"/>
    <w:link w:val="58"/>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link w:val="59"/>
    <w:qFormat/>
    <w:uiPriority w:val="0"/>
    <w:pPr>
      <w:keepNext/>
      <w:keepLines/>
      <w:spacing w:before="280" w:after="290" w:line="372" w:lineRule="auto"/>
      <w:outlineLvl w:val="4"/>
    </w:pPr>
    <w:rPr>
      <w:b/>
      <w:bCs/>
      <w:sz w:val="28"/>
      <w:szCs w:val="28"/>
    </w:rPr>
  </w:style>
  <w:style w:type="paragraph" w:styleId="8">
    <w:name w:val="heading 6"/>
    <w:basedOn w:val="1"/>
    <w:next w:val="1"/>
    <w:link w:val="60"/>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61"/>
    <w:qFormat/>
    <w:uiPriority w:val="0"/>
    <w:pPr>
      <w:keepNext/>
      <w:keepLines/>
      <w:spacing w:before="240" w:after="64" w:line="317" w:lineRule="auto"/>
      <w:outlineLvl w:val="6"/>
    </w:pPr>
    <w:rPr>
      <w:b/>
      <w:bCs/>
      <w:sz w:val="24"/>
      <w:szCs w:val="24"/>
    </w:rPr>
  </w:style>
  <w:style w:type="paragraph" w:styleId="10">
    <w:name w:val="heading 8"/>
    <w:basedOn w:val="1"/>
    <w:next w:val="1"/>
    <w:link w:val="62"/>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63"/>
    <w:qFormat/>
    <w:uiPriority w:val="0"/>
    <w:pPr>
      <w:keepNext/>
      <w:keepLines/>
      <w:spacing w:before="240" w:after="64" w:line="317" w:lineRule="auto"/>
      <w:outlineLvl w:val="8"/>
    </w:pPr>
    <w:rPr>
      <w:rFonts w:ascii="Cambria" w:hAnsi="Cambria"/>
      <w:szCs w:val="21"/>
    </w:rPr>
  </w:style>
  <w:style w:type="character" w:default="1" w:styleId="46">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0"/>
    <w:pPr>
      <w:adjustRightInd w:val="0"/>
      <w:snapToGrid w:val="0"/>
      <w:spacing w:line="360" w:lineRule="auto"/>
      <w:textAlignment w:val="baseline"/>
    </w:pPr>
    <w:rPr>
      <w:kern w:val="0"/>
      <w:sz w:val="20"/>
      <w:szCs w:val="20"/>
    </w:rPr>
  </w:style>
  <w:style w:type="paragraph" w:styleId="12">
    <w:name w:val="toc 7"/>
    <w:basedOn w:val="1"/>
    <w:next w:val="1"/>
    <w:qFormat/>
    <w:uiPriority w:val="39"/>
    <w:pPr>
      <w:ind w:left="1260"/>
      <w:jc w:val="left"/>
    </w:pPr>
    <w:rPr>
      <w:rFonts w:asciiTheme="minorHAnsi" w:eastAsiaTheme="minorHAnsi"/>
      <w:sz w:val="18"/>
      <w:szCs w:val="18"/>
    </w:rPr>
  </w:style>
  <w:style w:type="paragraph" w:styleId="13">
    <w:name w:val="Normal Indent"/>
    <w:basedOn w:val="1"/>
    <w:link w:val="64"/>
    <w:qFormat/>
    <w:uiPriority w:val="0"/>
    <w:pPr>
      <w:adjustRightInd w:val="0"/>
      <w:spacing w:line="360" w:lineRule="atLeast"/>
      <w:ind w:firstLine="482"/>
      <w:textAlignment w:val="baseline"/>
    </w:pPr>
    <w:rPr>
      <w:kern w:val="0"/>
      <w:sz w:val="24"/>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5"/>
    <w:qFormat/>
    <w:uiPriority w:val="0"/>
    <w:pPr>
      <w:shd w:val="clear" w:color="auto" w:fill="000080"/>
    </w:pPr>
    <w:rPr>
      <w:kern w:val="0"/>
      <w:sz w:val="20"/>
      <w:szCs w:val="24"/>
      <w:shd w:val="clear" w:color="auto" w:fill="000080"/>
    </w:rPr>
  </w:style>
  <w:style w:type="paragraph" w:styleId="16">
    <w:name w:val="toa heading"/>
    <w:basedOn w:val="1"/>
    <w:next w:val="1"/>
    <w:qFormat/>
    <w:uiPriority w:val="0"/>
    <w:pPr>
      <w:spacing w:before="120"/>
    </w:pPr>
    <w:rPr>
      <w:rFonts w:ascii="Arial" w:hAnsi="Arial"/>
      <w:sz w:val="24"/>
    </w:rPr>
  </w:style>
  <w:style w:type="paragraph" w:styleId="17">
    <w:name w:val="annotation text"/>
    <w:basedOn w:val="1"/>
    <w:link w:val="66"/>
    <w:qFormat/>
    <w:uiPriority w:val="99"/>
    <w:pPr>
      <w:jc w:val="left"/>
    </w:pPr>
  </w:style>
  <w:style w:type="paragraph" w:styleId="18">
    <w:name w:val="Body Text 3"/>
    <w:basedOn w:val="1"/>
    <w:link w:val="67"/>
    <w:unhideWhenUsed/>
    <w:qFormat/>
    <w:uiPriority w:val="99"/>
    <w:pPr>
      <w:widowControl/>
      <w:wordWrap w:val="0"/>
      <w:topLinePunct/>
      <w:adjustRightInd w:val="0"/>
      <w:snapToGrid w:val="0"/>
      <w:spacing w:after="120" w:afterLines="50" w:line="360" w:lineRule="auto"/>
      <w:ind w:firstLine="480" w:firstLineChars="200"/>
    </w:pPr>
    <w:rPr>
      <w:rFonts w:ascii="Calibri" w:hAnsi="Calibri"/>
      <w:sz w:val="16"/>
      <w:szCs w:val="16"/>
    </w:rPr>
  </w:style>
  <w:style w:type="paragraph" w:styleId="19">
    <w:name w:val="Body Text Indent"/>
    <w:basedOn w:val="1"/>
    <w:next w:val="1"/>
    <w:unhideWhenUsed/>
    <w:qFormat/>
    <w:uiPriority w:val="99"/>
    <w:pPr>
      <w:spacing w:after="120"/>
      <w:ind w:left="420" w:leftChars="200"/>
    </w:pPr>
  </w:style>
  <w:style w:type="paragraph" w:styleId="20">
    <w:name w:val="index 4"/>
    <w:basedOn w:val="1"/>
    <w:next w:val="1"/>
    <w:qFormat/>
    <w:uiPriority w:val="0"/>
    <w:pPr>
      <w:ind w:left="600" w:leftChars="600"/>
    </w:pPr>
    <w:rPr>
      <w:szCs w:val="24"/>
    </w:rPr>
  </w:style>
  <w:style w:type="paragraph" w:styleId="21">
    <w:name w:val="toc 5"/>
    <w:basedOn w:val="1"/>
    <w:next w:val="1"/>
    <w:qFormat/>
    <w:uiPriority w:val="39"/>
    <w:pPr>
      <w:ind w:left="840"/>
      <w:jc w:val="left"/>
    </w:pPr>
    <w:rPr>
      <w:rFonts w:asciiTheme="minorHAnsi" w:eastAsiaTheme="minorHAnsi"/>
      <w:sz w:val="18"/>
      <w:szCs w:val="18"/>
    </w:rPr>
  </w:style>
  <w:style w:type="paragraph" w:styleId="22">
    <w:name w:val="toc 3"/>
    <w:basedOn w:val="1"/>
    <w:next w:val="1"/>
    <w:qFormat/>
    <w:uiPriority w:val="39"/>
    <w:pPr>
      <w:ind w:left="420"/>
      <w:jc w:val="left"/>
    </w:pPr>
    <w:rPr>
      <w:rFonts w:asciiTheme="minorHAnsi" w:eastAsiaTheme="minorHAnsi"/>
      <w:i/>
      <w:iCs/>
      <w:sz w:val="20"/>
      <w:szCs w:val="20"/>
    </w:rPr>
  </w:style>
  <w:style w:type="paragraph" w:styleId="23">
    <w:name w:val="Plain Text"/>
    <w:basedOn w:val="1"/>
    <w:link w:val="68"/>
    <w:qFormat/>
    <w:uiPriority w:val="0"/>
    <w:rPr>
      <w:rFonts w:ascii="宋体" w:hAnsi="Courier New"/>
      <w:szCs w:val="21"/>
    </w:rPr>
  </w:style>
  <w:style w:type="paragraph" w:styleId="24">
    <w:name w:val="toc 8"/>
    <w:basedOn w:val="1"/>
    <w:next w:val="1"/>
    <w:qFormat/>
    <w:uiPriority w:val="39"/>
    <w:pPr>
      <w:ind w:left="1470"/>
      <w:jc w:val="left"/>
    </w:pPr>
    <w:rPr>
      <w:rFonts w:asciiTheme="minorHAnsi" w:eastAsiaTheme="minorHAnsi"/>
      <w:sz w:val="18"/>
      <w:szCs w:val="18"/>
    </w:rPr>
  </w:style>
  <w:style w:type="paragraph" w:styleId="25">
    <w:name w:val="Date"/>
    <w:basedOn w:val="1"/>
    <w:next w:val="1"/>
    <w:link w:val="69"/>
    <w:qFormat/>
    <w:uiPriority w:val="0"/>
    <w:pPr>
      <w:ind w:left="100" w:leftChars="2500"/>
    </w:pPr>
    <w:rPr>
      <w:rFonts w:ascii="宋体"/>
      <w:kern w:val="0"/>
      <w:sz w:val="28"/>
      <w:szCs w:val="20"/>
    </w:rPr>
  </w:style>
  <w:style w:type="paragraph" w:styleId="26">
    <w:name w:val="Body Text Indent 2"/>
    <w:basedOn w:val="1"/>
    <w:qFormat/>
    <w:uiPriority w:val="0"/>
    <w:pPr>
      <w:spacing w:after="120" w:line="480" w:lineRule="auto"/>
      <w:ind w:left="420" w:leftChars="200"/>
    </w:pPr>
    <w:rPr>
      <w:sz w:val="24"/>
      <w:szCs w:val="24"/>
    </w:rPr>
  </w:style>
  <w:style w:type="paragraph" w:styleId="27">
    <w:name w:val="Balloon Text"/>
    <w:basedOn w:val="1"/>
    <w:link w:val="70"/>
    <w:qFormat/>
    <w:uiPriority w:val="0"/>
    <w:rPr>
      <w:rFonts w:ascii="宋体"/>
      <w:kern w:val="0"/>
      <w:sz w:val="18"/>
      <w:szCs w:val="18"/>
    </w:rPr>
  </w:style>
  <w:style w:type="paragraph" w:styleId="28">
    <w:name w:val="footer"/>
    <w:basedOn w:val="1"/>
    <w:link w:val="71"/>
    <w:qFormat/>
    <w:uiPriority w:val="99"/>
    <w:pPr>
      <w:tabs>
        <w:tab w:val="center" w:pos="4153"/>
        <w:tab w:val="right" w:pos="8306"/>
      </w:tabs>
      <w:snapToGrid w:val="0"/>
      <w:jc w:val="left"/>
    </w:pPr>
    <w:rPr>
      <w:sz w:val="18"/>
      <w:szCs w:val="18"/>
    </w:rPr>
  </w:style>
  <w:style w:type="paragraph" w:styleId="29">
    <w:name w:val="envelope return"/>
    <w:basedOn w:val="1"/>
    <w:unhideWhenUsed/>
    <w:qFormat/>
    <w:uiPriority w:val="99"/>
    <w:pPr>
      <w:snapToGrid w:val="0"/>
    </w:pPr>
    <w:rPr>
      <w:rFonts w:ascii="Arial" w:hAnsi="Arial"/>
    </w:rPr>
  </w:style>
  <w:style w:type="paragraph" w:styleId="30">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rFonts w:asciiTheme="minorHAnsi" w:eastAsiaTheme="minorHAnsi"/>
      <w:b/>
      <w:bCs/>
      <w:caps/>
      <w:sz w:val="20"/>
      <w:szCs w:val="20"/>
    </w:rPr>
  </w:style>
  <w:style w:type="paragraph" w:styleId="32">
    <w:name w:val="toc 4"/>
    <w:basedOn w:val="1"/>
    <w:next w:val="1"/>
    <w:qFormat/>
    <w:uiPriority w:val="39"/>
    <w:pPr>
      <w:ind w:left="630"/>
      <w:jc w:val="left"/>
    </w:pPr>
    <w:rPr>
      <w:rFonts w:asciiTheme="minorHAnsi" w:eastAsiaTheme="minorHAnsi"/>
      <w:sz w:val="18"/>
      <w:szCs w:val="18"/>
    </w:rPr>
  </w:style>
  <w:style w:type="paragraph" w:styleId="33">
    <w:name w:val="Subtitle"/>
    <w:basedOn w:val="1"/>
    <w:next w:val="1"/>
    <w:link w:val="73"/>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220"/>
    <w:qFormat/>
    <w:uiPriority w:val="0"/>
    <w:pPr>
      <w:snapToGrid w:val="0"/>
      <w:jc w:val="left"/>
    </w:pPr>
    <w:rPr>
      <w:sz w:val="18"/>
      <w:szCs w:val="18"/>
    </w:rPr>
  </w:style>
  <w:style w:type="paragraph" w:styleId="35">
    <w:name w:val="toc 6"/>
    <w:basedOn w:val="1"/>
    <w:next w:val="1"/>
    <w:qFormat/>
    <w:uiPriority w:val="39"/>
    <w:pPr>
      <w:ind w:left="1050"/>
      <w:jc w:val="left"/>
    </w:pPr>
    <w:rPr>
      <w:rFonts w:asciiTheme="minorHAnsi" w:eastAsiaTheme="minorHAnsi"/>
      <w:sz w:val="18"/>
      <w:szCs w:val="18"/>
    </w:rPr>
  </w:style>
  <w:style w:type="paragraph" w:styleId="36">
    <w:name w:val="toc 2"/>
    <w:basedOn w:val="1"/>
    <w:next w:val="1"/>
    <w:qFormat/>
    <w:uiPriority w:val="39"/>
    <w:pPr>
      <w:ind w:left="210"/>
      <w:jc w:val="left"/>
    </w:pPr>
    <w:rPr>
      <w:rFonts w:asciiTheme="minorHAnsi" w:eastAsiaTheme="minorHAnsi"/>
      <w:smallCaps/>
      <w:sz w:val="20"/>
      <w:szCs w:val="20"/>
    </w:rPr>
  </w:style>
  <w:style w:type="paragraph" w:styleId="37">
    <w:name w:val="toc 9"/>
    <w:basedOn w:val="1"/>
    <w:next w:val="1"/>
    <w:qFormat/>
    <w:uiPriority w:val="39"/>
    <w:pPr>
      <w:ind w:left="1680"/>
      <w:jc w:val="left"/>
    </w:pPr>
    <w:rPr>
      <w:rFonts w:asciiTheme="minorHAnsi" w:eastAsiaTheme="minorHAnsi"/>
      <w:sz w:val="18"/>
      <w:szCs w:val="18"/>
    </w:rPr>
  </w:style>
  <w:style w:type="paragraph" w:styleId="38">
    <w:name w:val="Body Text 2"/>
    <w:basedOn w:val="1"/>
    <w:link w:val="74"/>
    <w:unhideWhenUsed/>
    <w:qFormat/>
    <w:uiPriority w:val="99"/>
    <w:pPr>
      <w:widowControl/>
      <w:wordWrap w:val="0"/>
      <w:topLinePunct/>
      <w:adjustRightInd w:val="0"/>
      <w:snapToGrid w:val="0"/>
      <w:spacing w:after="120" w:afterLines="50" w:line="480" w:lineRule="auto"/>
      <w:ind w:firstLine="480" w:firstLineChars="200"/>
    </w:pPr>
    <w:rPr>
      <w:rFonts w:ascii="Calibri" w:hAnsi="Calibri"/>
      <w:sz w:val="24"/>
    </w:rPr>
  </w:style>
  <w:style w:type="paragraph" w:styleId="39">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kern w:val="0"/>
      <w:sz w:val="24"/>
      <w:szCs w:val="24"/>
    </w:rPr>
  </w:style>
  <w:style w:type="paragraph" w:styleId="40">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1">
    <w:name w:val="Title"/>
    <w:basedOn w:val="1"/>
    <w:next w:val="1"/>
    <w:link w:val="76"/>
    <w:qFormat/>
    <w:uiPriority w:val="0"/>
    <w:pPr>
      <w:spacing w:before="360" w:after="120" w:line="360" w:lineRule="auto"/>
      <w:jc w:val="center"/>
      <w:outlineLvl w:val="0"/>
    </w:pPr>
    <w:rPr>
      <w:rFonts w:ascii="Cambria" w:hAnsi="Cambria"/>
      <w:b/>
      <w:bCs/>
      <w:sz w:val="32"/>
      <w:szCs w:val="32"/>
    </w:rPr>
  </w:style>
  <w:style w:type="paragraph" w:styleId="42">
    <w:name w:val="annotation subject"/>
    <w:basedOn w:val="17"/>
    <w:next w:val="17"/>
    <w:link w:val="77"/>
    <w:qFormat/>
    <w:uiPriority w:val="0"/>
    <w:rPr>
      <w:rFonts w:ascii="宋体"/>
      <w:b/>
      <w:bCs/>
      <w:kern w:val="0"/>
      <w:sz w:val="28"/>
      <w:szCs w:val="20"/>
    </w:rPr>
  </w:style>
  <w:style w:type="paragraph" w:styleId="43">
    <w:name w:val="Body Text First Indent"/>
    <w:basedOn w:val="2"/>
    <w:unhideWhenUsed/>
    <w:qFormat/>
    <w:uiPriority w:val="99"/>
    <w:pPr>
      <w:spacing w:after="120"/>
      <w:ind w:firstLine="420" w:firstLineChars="100"/>
    </w:pPr>
    <w:rPr>
      <w:kern w:val="2"/>
      <w:sz w:val="21"/>
    </w:rPr>
  </w:style>
  <w:style w:type="paragraph" w:styleId="44">
    <w:name w:val="Body Text First Indent 2"/>
    <w:basedOn w:val="19"/>
    <w:unhideWhenUsed/>
    <w:qFormat/>
    <w:uiPriority w:val="99"/>
    <w:pPr>
      <w:ind w:firstLine="420" w:firstLineChars="200"/>
    </w:pPr>
  </w:style>
  <w:style w:type="character" w:styleId="47">
    <w:name w:val="Strong"/>
    <w:qFormat/>
    <w:uiPriority w:val="22"/>
    <w:rPr>
      <w:b/>
      <w:bCs/>
    </w:rPr>
  </w:style>
  <w:style w:type="character" w:styleId="48">
    <w:name w:val="page number"/>
    <w:qFormat/>
    <w:uiPriority w:val="0"/>
    <w:rPr>
      <w:rFonts w:cs="Times New Roman"/>
    </w:rPr>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qFormat/>
    <w:uiPriority w:val="99"/>
    <w:rPr>
      <w:rFonts w:cs="Times New Roman"/>
      <w:color w:val="0000FF"/>
      <w:u w:val="single"/>
    </w:rPr>
  </w:style>
  <w:style w:type="character" w:styleId="52">
    <w:name w:val="annotation reference"/>
    <w:qFormat/>
    <w:uiPriority w:val="99"/>
    <w:rPr>
      <w:rFonts w:cs="Times New Roman"/>
      <w:sz w:val="21"/>
      <w:szCs w:val="21"/>
    </w:rPr>
  </w:style>
  <w:style w:type="character" w:styleId="53">
    <w:name w:val="footnote reference"/>
    <w:basedOn w:val="46"/>
    <w:qFormat/>
    <w:uiPriority w:val="0"/>
    <w:rPr>
      <w:vertAlign w:val="superscript"/>
    </w:rPr>
  </w:style>
  <w:style w:type="character" w:customStyle="1" w:styleId="54">
    <w:name w:val="正文文本 字符1"/>
    <w:link w:val="2"/>
    <w:qFormat/>
    <w:uiPriority w:val="0"/>
  </w:style>
  <w:style w:type="character" w:customStyle="1" w:styleId="55">
    <w:name w:val="标题 1 字符1"/>
    <w:link w:val="3"/>
    <w:qFormat/>
    <w:uiPriority w:val="0"/>
    <w:rPr>
      <w:rFonts w:ascii="仿宋_GB2312"/>
      <w:b/>
      <w:bCs/>
      <w:kern w:val="44"/>
      <w:sz w:val="24"/>
      <w:szCs w:val="44"/>
    </w:rPr>
  </w:style>
  <w:style w:type="character" w:customStyle="1" w:styleId="56">
    <w:name w:val="标题 2 字符"/>
    <w:link w:val="4"/>
    <w:qFormat/>
    <w:uiPriority w:val="0"/>
    <w:rPr>
      <w:rFonts w:ascii="Cambria" w:hAnsi="Cambria" w:eastAsia="宋体" w:cs="Times New Roman"/>
      <w:b/>
      <w:bCs/>
      <w:kern w:val="2"/>
      <w:sz w:val="32"/>
      <w:szCs w:val="32"/>
    </w:rPr>
  </w:style>
  <w:style w:type="character" w:customStyle="1" w:styleId="57">
    <w:name w:val="标题 3 字符1"/>
    <w:link w:val="5"/>
    <w:qFormat/>
    <w:uiPriority w:val="0"/>
    <w:rPr>
      <w:b/>
      <w:bCs/>
      <w:kern w:val="2"/>
      <w:sz w:val="24"/>
      <w:szCs w:val="32"/>
    </w:rPr>
  </w:style>
  <w:style w:type="character" w:customStyle="1" w:styleId="58">
    <w:name w:val="标题 4 字符"/>
    <w:link w:val="6"/>
    <w:qFormat/>
    <w:uiPriority w:val="0"/>
    <w:rPr>
      <w:rFonts w:ascii="Cambria" w:hAnsi="Cambria" w:eastAsia="宋体" w:cs="Times New Roman"/>
      <w:b/>
      <w:bCs/>
      <w:kern w:val="2"/>
      <w:sz w:val="28"/>
      <w:szCs w:val="28"/>
    </w:rPr>
  </w:style>
  <w:style w:type="character" w:customStyle="1" w:styleId="59">
    <w:name w:val="标题 5 字符1"/>
    <w:link w:val="7"/>
    <w:qFormat/>
    <w:uiPriority w:val="0"/>
    <w:rPr>
      <w:b/>
      <w:bCs/>
      <w:kern w:val="2"/>
      <w:sz w:val="28"/>
      <w:szCs w:val="28"/>
    </w:rPr>
  </w:style>
  <w:style w:type="character" w:customStyle="1" w:styleId="60">
    <w:name w:val="标题 6 字符1"/>
    <w:link w:val="8"/>
    <w:qFormat/>
    <w:uiPriority w:val="0"/>
    <w:rPr>
      <w:rFonts w:ascii="Cambria" w:hAnsi="Cambria" w:eastAsia="宋体" w:cs="Times New Roman"/>
      <w:b/>
      <w:bCs/>
      <w:kern w:val="2"/>
      <w:sz w:val="24"/>
      <w:szCs w:val="24"/>
    </w:rPr>
  </w:style>
  <w:style w:type="character" w:customStyle="1" w:styleId="61">
    <w:name w:val="标题 7 字符1"/>
    <w:link w:val="9"/>
    <w:qFormat/>
    <w:uiPriority w:val="0"/>
    <w:rPr>
      <w:b/>
      <w:bCs/>
      <w:kern w:val="2"/>
      <w:sz w:val="24"/>
      <w:szCs w:val="24"/>
    </w:rPr>
  </w:style>
  <w:style w:type="character" w:customStyle="1" w:styleId="62">
    <w:name w:val="标题 8 字符1"/>
    <w:link w:val="10"/>
    <w:qFormat/>
    <w:uiPriority w:val="0"/>
    <w:rPr>
      <w:rFonts w:ascii="Cambria" w:hAnsi="Cambria" w:eastAsia="宋体" w:cs="Times New Roman"/>
      <w:kern w:val="2"/>
      <w:sz w:val="24"/>
      <w:szCs w:val="24"/>
    </w:rPr>
  </w:style>
  <w:style w:type="character" w:customStyle="1" w:styleId="63">
    <w:name w:val="标题 9 字符1"/>
    <w:link w:val="11"/>
    <w:qFormat/>
    <w:uiPriority w:val="0"/>
    <w:rPr>
      <w:rFonts w:ascii="Cambria" w:hAnsi="Cambria" w:eastAsia="宋体" w:cs="Times New Roman"/>
      <w:kern w:val="2"/>
      <w:sz w:val="21"/>
      <w:szCs w:val="21"/>
    </w:rPr>
  </w:style>
  <w:style w:type="character" w:customStyle="1" w:styleId="64">
    <w:name w:val="正文缩进 字符"/>
    <w:link w:val="13"/>
    <w:qFormat/>
    <w:uiPriority w:val="0"/>
    <w:rPr>
      <w:sz w:val="24"/>
    </w:rPr>
  </w:style>
  <w:style w:type="character" w:customStyle="1" w:styleId="65">
    <w:name w:val="文档结构图 字符1"/>
    <w:link w:val="15"/>
    <w:qFormat/>
    <w:uiPriority w:val="0"/>
    <w:rPr>
      <w:rFonts w:ascii="Times New Roman" w:hAnsi="Times New Roman"/>
      <w:szCs w:val="24"/>
      <w:shd w:val="clear" w:color="auto" w:fill="000080"/>
    </w:rPr>
  </w:style>
  <w:style w:type="character" w:customStyle="1" w:styleId="66">
    <w:name w:val="批注文字 字符1"/>
    <w:link w:val="17"/>
    <w:qFormat/>
    <w:uiPriority w:val="0"/>
    <w:rPr>
      <w:kern w:val="2"/>
      <w:sz w:val="21"/>
      <w:szCs w:val="22"/>
    </w:rPr>
  </w:style>
  <w:style w:type="character" w:customStyle="1" w:styleId="67">
    <w:name w:val="正文文本 3 字符"/>
    <w:link w:val="18"/>
    <w:qFormat/>
    <w:uiPriority w:val="99"/>
    <w:rPr>
      <w:rFonts w:ascii="Calibri" w:hAnsi="Calibri"/>
      <w:kern w:val="2"/>
      <w:sz w:val="16"/>
      <w:szCs w:val="16"/>
    </w:rPr>
  </w:style>
  <w:style w:type="character" w:customStyle="1" w:styleId="68">
    <w:name w:val="纯文本 字符"/>
    <w:link w:val="23"/>
    <w:qFormat/>
    <w:uiPriority w:val="0"/>
    <w:rPr>
      <w:rFonts w:ascii="宋体" w:hAnsi="Courier New" w:cs="Courier New"/>
      <w:kern w:val="2"/>
      <w:sz w:val="21"/>
      <w:szCs w:val="21"/>
    </w:rPr>
  </w:style>
  <w:style w:type="character" w:customStyle="1" w:styleId="69">
    <w:name w:val="日期 字符1"/>
    <w:link w:val="25"/>
    <w:qFormat/>
    <w:uiPriority w:val="0"/>
    <w:rPr>
      <w:rFonts w:ascii="宋体" w:hAnsi="Times New Roman"/>
      <w:sz w:val="28"/>
    </w:rPr>
  </w:style>
  <w:style w:type="character" w:customStyle="1" w:styleId="70">
    <w:name w:val="批注框文本 字符1"/>
    <w:link w:val="27"/>
    <w:qFormat/>
    <w:uiPriority w:val="0"/>
    <w:rPr>
      <w:rFonts w:ascii="宋体" w:hAnsi="Times New Roman"/>
      <w:sz w:val="18"/>
      <w:szCs w:val="18"/>
    </w:rPr>
  </w:style>
  <w:style w:type="character" w:customStyle="1" w:styleId="71">
    <w:name w:val="页脚 字符1"/>
    <w:link w:val="28"/>
    <w:qFormat/>
    <w:uiPriority w:val="0"/>
    <w:rPr>
      <w:kern w:val="2"/>
      <w:sz w:val="18"/>
      <w:szCs w:val="18"/>
    </w:rPr>
  </w:style>
  <w:style w:type="character" w:customStyle="1" w:styleId="72">
    <w:name w:val="页眉 字符1"/>
    <w:link w:val="30"/>
    <w:qFormat/>
    <w:uiPriority w:val="0"/>
    <w:rPr>
      <w:kern w:val="2"/>
      <w:sz w:val="18"/>
      <w:szCs w:val="18"/>
    </w:rPr>
  </w:style>
  <w:style w:type="character" w:customStyle="1" w:styleId="73">
    <w:name w:val="副标题 字符1"/>
    <w:link w:val="33"/>
    <w:qFormat/>
    <w:uiPriority w:val="0"/>
    <w:rPr>
      <w:rFonts w:ascii="Cambria" w:hAnsi="Cambria" w:cs="Times New Roman"/>
      <w:b/>
      <w:bCs/>
      <w:kern w:val="28"/>
      <w:sz w:val="32"/>
      <w:szCs w:val="32"/>
    </w:rPr>
  </w:style>
  <w:style w:type="character" w:customStyle="1" w:styleId="74">
    <w:name w:val="正文文本 2 字符"/>
    <w:link w:val="38"/>
    <w:qFormat/>
    <w:uiPriority w:val="99"/>
    <w:rPr>
      <w:rFonts w:ascii="Calibri" w:hAnsi="Calibri"/>
      <w:kern w:val="2"/>
      <w:sz w:val="24"/>
      <w:szCs w:val="22"/>
    </w:rPr>
  </w:style>
  <w:style w:type="character" w:customStyle="1" w:styleId="75">
    <w:name w:val="HTML 预设格式 字符"/>
    <w:link w:val="39"/>
    <w:qFormat/>
    <w:uiPriority w:val="99"/>
    <w:rPr>
      <w:rFonts w:ascii="宋体" w:hAnsi="宋体" w:cs="宋体"/>
      <w:sz w:val="24"/>
      <w:szCs w:val="24"/>
    </w:rPr>
  </w:style>
  <w:style w:type="character" w:customStyle="1" w:styleId="76">
    <w:name w:val="标题 字符"/>
    <w:link w:val="41"/>
    <w:qFormat/>
    <w:uiPriority w:val="0"/>
    <w:rPr>
      <w:rFonts w:ascii="Cambria" w:hAnsi="Cambria"/>
      <w:b/>
      <w:bCs/>
      <w:kern w:val="2"/>
      <w:sz w:val="32"/>
      <w:szCs w:val="32"/>
    </w:rPr>
  </w:style>
  <w:style w:type="character" w:customStyle="1" w:styleId="77">
    <w:name w:val="批注主题 字符1"/>
    <w:link w:val="42"/>
    <w:qFormat/>
    <w:uiPriority w:val="0"/>
    <w:rPr>
      <w:rFonts w:ascii="宋体" w:hAnsi="Times New Roman"/>
      <w:b/>
      <w:bCs/>
      <w:sz w:val="28"/>
    </w:rPr>
  </w:style>
  <w:style w:type="character" w:customStyle="1" w:styleId="78">
    <w:name w:val="Body text (9) + SimSun"/>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79">
    <w:name w:val="Heading #6 (2) + Spacing 1 pt"/>
    <w:qFormat/>
    <w:uiPriority w:val="0"/>
    <w:rPr>
      <w:rFonts w:ascii="宋体" w:hAnsi="宋体" w:eastAsia="宋体" w:cs="宋体"/>
      <w:b/>
      <w:bCs/>
      <w:color w:val="000000"/>
      <w:spacing w:val="30"/>
      <w:w w:val="100"/>
      <w:position w:val="0"/>
      <w:sz w:val="21"/>
      <w:szCs w:val="21"/>
      <w:u w:val="none"/>
      <w:lang w:val="zh-CN" w:eastAsia="zh-CN" w:bidi="zh-CN"/>
    </w:rPr>
  </w:style>
  <w:style w:type="character" w:customStyle="1" w:styleId="80">
    <w:name w:val="未处理的提及1"/>
    <w:unhideWhenUsed/>
    <w:qFormat/>
    <w:uiPriority w:val="99"/>
    <w:rPr>
      <w:color w:val="605E5C"/>
      <w:shd w:val="clear" w:color="auto" w:fill="E1DFDD"/>
    </w:rPr>
  </w:style>
  <w:style w:type="character" w:customStyle="1" w:styleId="81">
    <w:name w:val="Header or footer + SimSun4"/>
    <w:qFormat/>
    <w:uiPriority w:val="0"/>
    <w:rPr>
      <w:rFonts w:ascii="宋体" w:hAnsi="宋体" w:eastAsia="宋体" w:cs="宋体"/>
      <w:b/>
      <w:bCs/>
      <w:color w:val="000000"/>
      <w:spacing w:val="0"/>
      <w:w w:val="100"/>
      <w:position w:val="0"/>
      <w:sz w:val="21"/>
      <w:szCs w:val="21"/>
      <w:u w:val="none"/>
      <w:lang w:val="zh-CN" w:eastAsia="zh-CN" w:bidi="zh-CN"/>
    </w:rPr>
  </w:style>
  <w:style w:type="character" w:customStyle="1" w:styleId="82">
    <w:name w:val="批注主题 Char1"/>
    <w:qFormat/>
    <w:uiPriority w:val="0"/>
    <w:rPr>
      <w:b/>
      <w:bCs/>
      <w:kern w:val="2"/>
      <w:sz w:val="21"/>
      <w:szCs w:val="22"/>
    </w:rPr>
  </w:style>
  <w:style w:type="character" w:customStyle="1" w:styleId="83">
    <w:name w:val="不明显参考1"/>
    <w:qFormat/>
    <w:uiPriority w:val="0"/>
    <w:rPr>
      <w:smallCaps/>
      <w:color w:val="C0504D"/>
      <w:u w:val="single"/>
    </w:rPr>
  </w:style>
  <w:style w:type="character" w:customStyle="1" w:styleId="84">
    <w:name w:val="日期 字符"/>
    <w:basedOn w:val="46"/>
    <w:qFormat/>
    <w:uiPriority w:val="0"/>
  </w:style>
  <w:style w:type="character" w:customStyle="1" w:styleId="85">
    <w:name w:val="引用 字符"/>
    <w:link w:val="86"/>
    <w:qFormat/>
    <w:uiPriority w:val="0"/>
    <w:rPr>
      <w:i/>
      <w:iCs/>
      <w:color w:val="000000"/>
      <w:kern w:val="2"/>
      <w:sz w:val="21"/>
      <w:szCs w:val="22"/>
    </w:rPr>
  </w:style>
  <w:style w:type="paragraph" w:styleId="86">
    <w:name w:val="Quote"/>
    <w:basedOn w:val="1"/>
    <w:next w:val="1"/>
    <w:link w:val="85"/>
    <w:qFormat/>
    <w:uiPriority w:val="0"/>
    <w:rPr>
      <w:i/>
      <w:iCs/>
      <w:color w:val="000000"/>
    </w:rPr>
  </w:style>
  <w:style w:type="character" w:customStyle="1" w:styleId="87">
    <w:name w:val="明显参考1"/>
    <w:qFormat/>
    <w:uiPriority w:val="0"/>
    <w:rPr>
      <w:b/>
      <w:bCs/>
      <w:smallCaps/>
      <w:color w:val="C0504D"/>
      <w:spacing w:val="5"/>
      <w:u w:val="single"/>
    </w:rPr>
  </w:style>
  <w:style w:type="character" w:customStyle="1" w:styleId="88">
    <w:name w:val="Body text (2) + 5 pt"/>
    <w:qFormat/>
    <w:uiPriority w:val="0"/>
    <w:rPr>
      <w:rFonts w:ascii="宋体" w:hAnsi="宋体" w:eastAsia="宋体" w:cs="宋体"/>
      <w:color w:val="000000"/>
      <w:spacing w:val="-20"/>
      <w:w w:val="150"/>
      <w:position w:val="0"/>
      <w:sz w:val="10"/>
      <w:szCs w:val="10"/>
      <w:u w:val="none"/>
      <w:lang w:val="zh-CN" w:eastAsia="zh-CN" w:bidi="zh-CN"/>
    </w:rPr>
  </w:style>
  <w:style w:type="character" w:customStyle="1" w:styleId="89">
    <w:name w:val="Header or footer"/>
    <w:qFormat/>
    <w:uiPriority w:val="0"/>
    <w:rPr>
      <w:rFonts w:ascii="Century Schoolbook" w:hAnsi="Century Schoolbook" w:eastAsia="Century Schoolbook" w:cs="Century Schoolbook"/>
      <w:color w:val="000000"/>
      <w:spacing w:val="0"/>
      <w:w w:val="100"/>
      <w:position w:val="0"/>
      <w:sz w:val="16"/>
      <w:szCs w:val="16"/>
      <w:u w:val="none"/>
      <w:lang w:val="zh-CN" w:eastAsia="zh-CN" w:bidi="zh-CN"/>
    </w:rPr>
  </w:style>
  <w:style w:type="character" w:customStyle="1" w:styleId="90">
    <w:name w:val="textcontents"/>
    <w:qFormat/>
    <w:uiPriority w:val="0"/>
    <w:rPr>
      <w:rFonts w:cs="Times New Roman"/>
    </w:rPr>
  </w:style>
  <w:style w:type="character" w:customStyle="1" w:styleId="91">
    <w:name w:val="Body text (2) + 10.5 pt"/>
    <w:qFormat/>
    <w:uiPriority w:val="0"/>
    <w:rPr>
      <w:rFonts w:ascii="宋体" w:hAnsi="宋体" w:eastAsia="宋体" w:cs="宋体"/>
      <w:b/>
      <w:bCs/>
      <w:color w:val="000000"/>
      <w:spacing w:val="0"/>
      <w:w w:val="100"/>
      <w:position w:val="0"/>
      <w:sz w:val="21"/>
      <w:szCs w:val="21"/>
      <w:u w:val="none"/>
      <w:lang w:val="zh-CN" w:eastAsia="zh-CN" w:bidi="zh-CN"/>
    </w:rPr>
  </w:style>
  <w:style w:type="character" w:customStyle="1" w:styleId="92">
    <w:name w:val="Body text (2) + 10.5 pt1"/>
    <w:qFormat/>
    <w:uiPriority w:val="0"/>
    <w:rPr>
      <w:rFonts w:ascii="宋体" w:hAnsi="宋体" w:eastAsia="宋体" w:cs="宋体"/>
      <w:b/>
      <w:bCs/>
      <w:color w:val="000000"/>
      <w:spacing w:val="-20"/>
      <w:w w:val="100"/>
      <w:position w:val="0"/>
      <w:sz w:val="21"/>
      <w:szCs w:val="21"/>
      <w:u w:val="none"/>
      <w:lang w:val="zh-CN" w:eastAsia="zh-CN" w:bidi="zh-CN"/>
    </w:rPr>
  </w:style>
  <w:style w:type="character" w:customStyle="1" w:styleId="93">
    <w:name w:val="标题4 Char Char"/>
    <w:link w:val="94"/>
    <w:qFormat/>
    <w:uiPriority w:val="0"/>
    <w:rPr>
      <w:rFonts w:ascii="Arial" w:hAnsi="Arial"/>
      <w:b/>
      <w:bCs/>
      <w:sz w:val="24"/>
      <w:szCs w:val="32"/>
    </w:rPr>
  </w:style>
  <w:style w:type="paragraph" w:customStyle="1" w:styleId="94">
    <w:name w:val="标题4"/>
    <w:basedOn w:val="4"/>
    <w:next w:val="20"/>
    <w:link w:val="93"/>
    <w:qFormat/>
    <w:uiPriority w:val="0"/>
    <w:rPr>
      <w:rFonts w:ascii="Arial" w:hAnsi="Arial"/>
      <w:kern w:val="0"/>
      <w:sz w:val="24"/>
    </w:rPr>
  </w:style>
  <w:style w:type="character" w:customStyle="1" w:styleId="95">
    <w:name w:val="标题 8 字符"/>
    <w:qFormat/>
    <w:uiPriority w:val="0"/>
    <w:rPr>
      <w:rFonts w:ascii="CG Times" w:hAnsi="CG Times"/>
      <w:sz w:val="22"/>
      <w:lang w:val="en-GB"/>
    </w:rPr>
  </w:style>
  <w:style w:type="character" w:customStyle="1" w:styleId="96">
    <w:name w:val="refer-count"/>
    <w:basedOn w:val="46"/>
    <w:qFormat/>
    <w:uiPriority w:val="0"/>
  </w:style>
  <w:style w:type="character" w:customStyle="1" w:styleId="97">
    <w:name w:val="search-in-page-highlight-wrapper"/>
    <w:basedOn w:val="46"/>
    <w:qFormat/>
    <w:uiPriority w:val="0"/>
  </w:style>
  <w:style w:type="character" w:customStyle="1" w:styleId="98">
    <w:name w:val="Body text (2) + Spacing -1 pt1"/>
    <w:qFormat/>
    <w:uiPriority w:val="0"/>
    <w:rPr>
      <w:rFonts w:ascii="宋体" w:hAnsi="宋体" w:eastAsia="宋体" w:cs="宋体"/>
      <w:color w:val="000000"/>
      <w:spacing w:val="-20"/>
      <w:w w:val="100"/>
      <w:position w:val="0"/>
      <w:sz w:val="20"/>
      <w:szCs w:val="20"/>
      <w:u w:val="none"/>
      <w:lang w:val="zh-CN" w:eastAsia="zh-CN" w:bidi="zh-CN"/>
    </w:rPr>
  </w:style>
  <w:style w:type="character" w:customStyle="1" w:styleId="99">
    <w:name w:val="标题 9 字符"/>
    <w:qFormat/>
    <w:uiPriority w:val="0"/>
    <w:rPr>
      <w:rFonts w:ascii="CG Times" w:hAnsi="CG Times"/>
      <w:b/>
      <w:smallCaps/>
      <w:sz w:val="21"/>
      <w:lang w:val="en-GB"/>
    </w:rPr>
  </w:style>
  <w:style w:type="character" w:customStyle="1" w:styleId="100">
    <w:name w:val="正文文本 3 Char"/>
    <w:qFormat/>
    <w:uiPriority w:val="0"/>
    <w:rPr>
      <w:kern w:val="2"/>
      <w:sz w:val="16"/>
      <w:szCs w:val="16"/>
    </w:rPr>
  </w:style>
  <w:style w:type="character" w:customStyle="1" w:styleId="101">
    <w:name w:val="Body text (2) + Spacing 2 pt"/>
    <w:qFormat/>
    <w:uiPriority w:val="0"/>
    <w:rPr>
      <w:rFonts w:ascii="宋体" w:hAnsi="宋体" w:eastAsia="宋体" w:cs="宋体"/>
      <w:color w:val="000000"/>
      <w:spacing w:val="40"/>
      <w:w w:val="100"/>
      <w:position w:val="0"/>
      <w:sz w:val="20"/>
      <w:szCs w:val="20"/>
      <w:u w:val="none"/>
      <w:lang w:val="zh-CN" w:eastAsia="zh-CN" w:bidi="zh-CN"/>
    </w:rPr>
  </w:style>
  <w:style w:type="character" w:customStyle="1" w:styleId="102">
    <w:name w:val="Body text (2) + Spacing 4 pt"/>
    <w:qFormat/>
    <w:uiPriority w:val="0"/>
    <w:rPr>
      <w:rFonts w:ascii="宋体" w:hAnsi="宋体" w:eastAsia="宋体" w:cs="宋体"/>
      <w:color w:val="000000"/>
      <w:spacing w:val="80"/>
      <w:w w:val="100"/>
      <w:position w:val="0"/>
      <w:sz w:val="20"/>
      <w:szCs w:val="20"/>
      <w:u w:val="none"/>
      <w:lang w:val="zh-CN" w:eastAsia="zh-CN" w:bidi="zh-CN"/>
    </w:rPr>
  </w:style>
  <w:style w:type="character" w:customStyle="1" w:styleId="103">
    <w:name w:val="正文文本 字符"/>
    <w:qFormat/>
    <w:uiPriority w:val="99"/>
    <w:rPr>
      <w:rFonts w:ascii="Calibri" w:hAnsi="Calibri" w:eastAsia="宋体" w:cs="Times New Roman"/>
      <w:kern w:val="2"/>
      <w:sz w:val="24"/>
      <w:szCs w:val="22"/>
    </w:rPr>
  </w:style>
  <w:style w:type="character" w:customStyle="1" w:styleId="104">
    <w:name w:val="标题 6 字符"/>
    <w:semiHidden/>
    <w:qFormat/>
    <w:uiPriority w:val="9"/>
    <w:rPr>
      <w:rFonts w:ascii="Calibri Light" w:hAnsi="Calibri Light" w:eastAsia="宋体" w:cs="Times New Roman"/>
      <w:b/>
      <w:bCs/>
      <w:kern w:val="2"/>
      <w:sz w:val="24"/>
      <w:szCs w:val="24"/>
    </w:rPr>
  </w:style>
  <w:style w:type="character" w:customStyle="1" w:styleId="105">
    <w:name w:val="Body text (10)_"/>
    <w:link w:val="106"/>
    <w:qFormat/>
    <w:uiPriority w:val="0"/>
    <w:rPr>
      <w:rFonts w:ascii="宋体" w:hAnsi="宋体" w:eastAsia="宋体" w:cs="宋体"/>
      <w:spacing w:val="-20"/>
      <w:w w:val="150"/>
      <w:sz w:val="10"/>
      <w:szCs w:val="10"/>
      <w:u w:val="none"/>
    </w:rPr>
  </w:style>
  <w:style w:type="paragraph" w:customStyle="1" w:styleId="106">
    <w:name w:val="Body text (10)"/>
    <w:basedOn w:val="1"/>
    <w:link w:val="105"/>
    <w:qFormat/>
    <w:uiPriority w:val="0"/>
    <w:pPr>
      <w:shd w:val="clear" w:color="auto" w:fill="FFFFFF"/>
      <w:spacing w:after="120" w:line="0" w:lineRule="atLeast"/>
      <w:jc w:val="distribute"/>
    </w:pPr>
    <w:rPr>
      <w:rFonts w:ascii="宋体" w:hAnsi="宋体"/>
      <w:spacing w:val="-20"/>
      <w:w w:val="150"/>
      <w:kern w:val="0"/>
      <w:sz w:val="10"/>
      <w:szCs w:val="10"/>
    </w:rPr>
  </w:style>
  <w:style w:type="character" w:customStyle="1" w:styleId="107">
    <w:name w:val="标题 3 字符"/>
    <w:qFormat/>
    <w:uiPriority w:val="0"/>
    <w:rPr>
      <w:rFonts w:ascii="宋体" w:hAnsi="Calibri" w:cs="Times New Roman"/>
      <w:b/>
      <w:kern w:val="2"/>
      <w:sz w:val="24"/>
      <w:szCs w:val="22"/>
    </w:rPr>
  </w:style>
  <w:style w:type="character" w:customStyle="1" w:styleId="108">
    <w:name w:val="HTML 预设格式 Char"/>
    <w:qFormat/>
    <w:uiPriority w:val="0"/>
    <w:rPr>
      <w:rFonts w:ascii="Courier New" w:hAnsi="Courier New" w:cs="Courier New"/>
      <w:kern w:val="2"/>
    </w:rPr>
  </w:style>
  <w:style w:type="character" w:customStyle="1" w:styleId="109">
    <w:name w:val="Header or footer_"/>
    <w:link w:val="110"/>
    <w:qFormat/>
    <w:uiPriority w:val="0"/>
    <w:rPr>
      <w:rFonts w:ascii="Century Schoolbook" w:hAnsi="Century Schoolbook" w:eastAsia="Century Schoolbook" w:cs="Century Schoolbook"/>
      <w:sz w:val="16"/>
      <w:szCs w:val="16"/>
      <w:u w:val="none"/>
    </w:rPr>
  </w:style>
  <w:style w:type="paragraph" w:customStyle="1" w:styleId="110">
    <w:name w:val="Header or footer1"/>
    <w:basedOn w:val="1"/>
    <w:link w:val="109"/>
    <w:qFormat/>
    <w:uiPriority w:val="0"/>
    <w:pPr>
      <w:shd w:val="clear" w:color="auto" w:fill="FFFFFF"/>
      <w:spacing w:line="0" w:lineRule="atLeast"/>
    </w:pPr>
    <w:rPr>
      <w:rFonts w:ascii="Century Schoolbook" w:hAnsi="Century Schoolbook" w:eastAsia="Century Schoolbook"/>
      <w:kern w:val="0"/>
      <w:sz w:val="16"/>
      <w:szCs w:val="16"/>
    </w:rPr>
  </w:style>
  <w:style w:type="character" w:customStyle="1" w:styleId="111">
    <w:name w:val="未处理的提及3"/>
    <w:unhideWhenUsed/>
    <w:qFormat/>
    <w:uiPriority w:val="99"/>
    <w:rPr>
      <w:color w:val="605E5C"/>
      <w:shd w:val="clear" w:color="auto" w:fill="E1DFDD"/>
    </w:rPr>
  </w:style>
  <w:style w:type="character" w:customStyle="1" w:styleId="112">
    <w:name w:val="Body text (2) + Italic"/>
    <w:qFormat/>
    <w:uiPriority w:val="0"/>
    <w:rPr>
      <w:rFonts w:ascii="宋体" w:hAnsi="宋体" w:eastAsia="宋体" w:cs="宋体"/>
      <w:i/>
      <w:iCs/>
      <w:color w:val="000000"/>
      <w:spacing w:val="0"/>
      <w:w w:val="100"/>
      <w:position w:val="0"/>
      <w:sz w:val="20"/>
      <w:szCs w:val="20"/>
      <w:u w:val="none"/>
      <w:lang w:val="zh-CN" w:eastAsia="zh-CN" w:bidi="zh-CN"/>
    </w:rPr>
  </w:style>
  <w:style w:type="character" w:customStyle="1" w:styleId="113">
    <w:name w:val="批注框文本 字符"/>
    <w:semiHidden/>
    <w:qFormat/>
    <w:uiPriority w:val="99"/>
    <w:rPr>
      <w:sz w:val="18"/>
      <w:szCs w:val="18"/>
    </w:rPr>
  </w:style>
  <w:style w:type="character" w:customStyle="1" w:styleId="114">
    <w:name w:val="Body text (8)_"/>
    <w:link w:val="115"/>
    <w:qFormat/>
    <w:uiPriority w:val="0"/>
    <w:rPr>
      <w:rFonts w:ascii="宋体" w:hAnsi="宋体" w:eastAsia="宋体" w:cs="宋体"/>
      <w:b/>
      <w:bCs/>
      <w:sz w:val="21"/>
      <w:szCs w:val="21"/>
      <w:u w:val="none"/>
    </w:rPr>
  </w:style>
  <w:style w:type="paragraph" w:customStyle="1" w:styleId="115">
    <w:name w:val="Body text (8)"/>
    <w:basedOn w:val="1"/>
    <w:link w:val="114"/>
    <w:qFormat/>
    <w:uiPriority w:val="0"/>
    <w:pPr>
      <w:shd w:val="clear" w:color="auto" w:fill="FFFFFF"/>
      <w:spacing w:line="610" w:lineRule="exact"/>
    </w:pPr>
    <w:rPr>
      <w:rFonts w:ascii="宋体" w:hAnsi="宋体"/>
      <w:b/>
      <w:bCs/>
      <w:kern w:val="0"/>
      <w:szCs w:val="21"/>
    </w:rPr>
  </w:style>
  <w:style w:type="character" w:customStyle="1" w:styleId="116">
    <w:name w:val="批注框文本 Char1"/>
    <w:qFormat/>
    <w:uiPriority w:val="0"/>
    <w:rPr>
      <w:kern w:val="2"/>
      <w:sz w:val="18"/>
      <w:szCs w:val="18"/>
    </w:rPr>
  </w:style>
  <w:style w:type="character" w:customStyle="1" w:styleId="117">
    <w:name w:val="未处理的提及2"/>
    <w:unhideWhenUsed/>
    <w:qFormat/>
    <w:uiPriority w:val="99"/>
    <w:rPr>
      <w:color w:val="605E5C"/>
      <w:shd w:val="clear" w:color="auto" w:fill="E1DFDD"/>
    </w:rPr>
  </w:style>
  <w:style w:type="character" w:customStyle="1" w:styleId="118">
    <w:name w:val="标题 7 字符"/>
    <w:qFormat/>
    <w:uiPriority w:val="0"/>
    <w:rPr>
      <w:rFonts w:ascii="CG Times" w:hAnsi="CG Times"/>
      <w:sz w:val="22"/>
      <w:lang w:val="en-GB"/>
    </w:rPr>
  </w:style>
  <w:style w:type="character" w:customStyle="1" w:styleId="119">
    <w:name w:val="Body text (2) + MS Reference Sans Serif"/>
    <w:qFormat/>
    <w:uiPriority w:val="0"/>
    <w:rPr>
      <w:rFonts w:ascii="MS Reference Sans Serif" w:hAnsi="MS Reference Sans Serif" w:eastAsia="MS Reference Sans Serif" w:cs="MS Reference Sans Serif"/>
      <w:color w:val="000000"/>
      <w:spacing w:val="0"/>
      <w:w w:val="100"/>
      <w:position w:val="0"/>
      <w:sz w:val="23"/>
      <w:szCs w:val="23"/>
      <w:u w:val="none"/>
      <w:lang w:val="zh-CN" w:eastAsia="zh-CN" w:bidi="zh-CN"/>
    </w:rPr>
  </w:style>
  <w:style w:type="character" w:customStyle="1" w:styleId="120">
    <w:name w:val="Heading #6 (2)_"/>
    <w:link w:val="121"/>
    <w:qFormat/>
    <w:uiPriority w:val="0"/>
    <w:rPr>
      <w:rFonts w:ascii="宋体" w:hAnsi="宋体" w:eastAsia="宋体" w:cs="宋体"/>
      <w:b/>
      <w:bCs/>
      <w:sz w:val="21"/>
      <w:szCs w:val="21"/>
      <w:u w:val="none"/>
    </w:rPr>
  </w:style>
  <w:style w:type="paragraph" w:customStyle="1" w:styleId="121">
    <w:name w:val="Heading #6 (2)"/>
    <w:basedOn w:val="1"/>
    <w:link w:val="120"/>
    <w:qFormat/>
    <w:uiPriority w:val="0"/>
    <w:pPr>
      <w:shd w:val="clear" w:color="auto" w:fill="FFFFFF"/>
      <w:spacing w:before="120" w:after="420" w:line="0" w:lineRule="atLeast"/>
      <w:outlineLvl w:val="5"/>
    </w:pPr>
    <w:rPr>
      <w:rFonts w:ascii="宋体" w:hAnsi="宋体"/>
      <w:b/>
      <w:bCs/>
      <w:kern w:val="0"/>
      <w:szCs w:val="21"/>
    </w:rPr>
  </w:style>
  <w:style w:type="character" w:customStyle="1" w:styleId="122">
    <w:name w:val="Body text (2) + Spacing 5 pt"/>
    <w:qFormat/>
    <w:uiPriority w:val="0"/>
    <w:rPr>
      <w:rFonts w:ascii="宋体" w:hAnsi="宋体" w:eastAsia="宋体" w:cs="宋体"/>
      <w:color w:val="000000"/>
      <w:spacing w:val="110"/>
      <w:w w:val="100"/>
      <w:position w:val="0"/>
      <w:sz w:val="20"/>
      <w:szCs w:val="20"/>
      <w:u w:val="none"/>
      <w:lang w:val="zh-CN" w:eastAsia="zh-CN" w:bidi="zh-CN"/>
    </w:rPr>
  </w:style>
  <w:style w:type="character" w:customStyle="1" w:styleId="123">
    <w:name w:val="标题 1 字符"/>
    <w:qFormat/>
    <w:uiPriority w:val="9"/>
    <w:rPr>
      <w:rFonts w:eastAsia="宋体" w:cs="Times New Roman"/>
      <w:b/>
      <w:kern w:val="44"/>
      <w:sz w:val="30"/>
      <w:szCs w:val="22"/>
    </w:rPr>
  </w:style>
  <w:style w:type="character" w:customStyle="1" w:styleId="124">
    <w:name w:val="Body text (10) + 10 pt"/>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25">
    <w:name w:val="Body text (8) + 10 pt"/>
    <w:qFormat/>
    <w:uiPriority w:val="0"/>
    <w:rPr>
      <w:rFonts w:ascii="宋体" w:hAnsi="宋体" w:eastAsia="宋体" w:cs="宋体"/>
      <w:b/>
      <w:bCs/>
      <w:color w:val="000000"/>
      <w:spacing w:val="0"/>
      <w:w w:val="100"/>
      <w:position w:val="0"/>
      <w:sz w:val="20"/>
      <w:szCs w:val="20"/>
      <w:u w:val="none"/>
      <w:lang w:val="zh-CN" w:eastAsia="zh-CN" w:bidi="zh-CN"/>
    </w:rPr>
  </w:style>
  <w:style w:type="character" w:customStyle="1" w:styleId="126">
    <w:name w:val="标题5 Char Char"/>
    <w:link w:val="127"/>
    <w:qFormat/>
    <w:uiPriority w:val="0"/>
    <w:rPr>
      <w:rFonts w:ascii="Arial" w:hAnsi="Arial"/>
      <w:b/>
      <w:bCs/>
      <w:sz w:val="24"/>
      <w:szCs w:val="32"/>
    </w:rPr>
  </w:style>
  <w:style w:type="paragraph" w:customStyle="1" w:styleId="127">
    <w:name w:val="标题5"/>
    <w:basedOn w:val="5"/>
    <w:link w:val="126"/>
    <w:qFormat/>
    <w:uiPriority w:val="0"/>
    <w:rPr>
      <w:rFonts w:ascii="Arial" w:hAnsi="Arial"/>
      <w:kern w:val="0"/>
    </w:rPr>
  </w:style>
  <w:style w:type="character" w:customStyle="1" w:styleId="128">
    <w:name w:val="文档结构图 字符"/>
    <w:semiHidden/>
    <w:qFormat/>
    <w:uiPriority w:val="99"/>
    <w:rPr>
      <w:rFonts w:ascii="宋体" w:hAnsi="Calibri" w:cs="Times New Roman"/>
      <w:kern w:val="2"/>
      <w:sz w:val="24"/>
      <w:szCs w:val="24"/>
    </w:rPr>
  </w:style>
  <w:style w:type="character" w:customStyle="1" w:styleId="129">
    <w:name w:val="Header or footer + SimSun2"/>
    <w:qFormat/>
    <w:uiPriority w:val="0"/>
    <w:rPr>
      <w:rFonts w:ascii="宋体" w:hAnsi="宋体" w:eastAsia="宋体" w:cs="宋体"/>
      <w:b/>
      <w:bCs/>
      <w:color w:val="000000"/>
      <w:spacing w:val="0"/>
      <w:w w:val="100"/>
      <w:position w:val="0"/>
      <w:sz w:val="24"/>
      <w:szCs w:val="24"/>
      <w:u w:val="none"/>
      <w:lang w:val="zh-CN" w:eastAsia="zh-CN" w:bidi="zh-CN"/>
    </w:rPr>
  </w:style>
  <w:style w:type="character" w:customStyle="1" w:styleId="130">
    <w:name w:val="日期 Char1"/>
    <w:qFormat/>
    <w:uiPriority w:val="0"/>
    <w:rPr>
      <w:kern w:val="2"/>
      <w:sz w:val="21"/>
      <w:szCs w:val="22"/>
    </w:rPr>
  </w:style>
  <w:style w:type="character" w:customStyle="1" w:styleId="131">
    <w:name w:val="副标题 字符"/>
    <w:qFormat/>
    <w:uiPriority w:val="11"/>
    <w:rPr>
      <w:rFonts w:ascii="宋体" w:hAnsi="宋体" w:cs="Times New Roman"/>
      <w:b/>
      <w:bCs/>
      <w:kern w:val="28"/>
      <w:sz w:val="24"/>
      <w:szCs w:val="32"/>
    </w:rPr>
  </w:style>
  <w:style w:type="character" w:customStyle="1" w:styleId="132">
    <w:name w:val="Body text (2) + Spacing 1 pt"/>
    <w:qFormat/>
    <w:uiPriority w:val="0"/>
    <w:rPr>
      <w:rFonts w:ascii="宋体" w:hAnsi="宋体" w:eastAsia="宋体" w:cs="宋体"/>
      <w:color w:val="000000"/>
      <w:spacing w:val="30"/>
      <w:w w:val="100"/>
      <w:position w:val="0"/>
      <w:sz w:val="20"/>
      <w:szCs w:val="20"/>
      <w:u w:val="none"/>
      <w:lang w:val="zh-CN" w:eastAsia="zh-CN" w:bidi="zh-CN"/>
    </w:rPr>
  </w:style>
  <w:style w:type="character" w:customStyle="1" w:styleId="133">
    <w:name w:val="标题 5 字符"/>
    <w:qFormat/>
    <w:uiPriority w:val="9"/>
    <w:rPr>
      <w:b/>
      <w:bCs/>
      <w:kern w:val="2"/>
      <w:sz w:val="28"/>
      <w:szCs w:val="28"/>
    </w:rPr>
  </w:style>
  <w:style w:type="character" w:customStyle="1" w:styleId="134">
    <w:name w:val="样式1 字符"/>
    <w:link w:val="135"/>
    <w:qFormat/>
    <w:uiPriority w:val="0"/>
    <w:rPr>
      <w:rFonts w:ascii="Calibri" w:hAnsi="Calibri"/>
      <w:b/>
      <w:kern w:val="44"/>
      <w:sz w:val="30"/>
      <w:szCs w:val="22"/>
    </w:rPr>
  </w:style>
  <w:style w:type="paragraph" w:customStyle="1" w:styleId="135">
    <w:name w:val="样式1"/>
    <w:basedOn w:val="3"/>
    <w:link w:val="134"/>
    <w:qFormat/>
    <w:uiPriority w:val="0"/>
    <w:pPr>
      <w:keepNext w:val="0"/>
      <w:keepLines w:val="0"/>
      <w:widowControl/>
      <w:adjustRightInd w:val="0"/>
      <w:spacing w:before="0"/>
      <w:jc w:val="center"/>
    </w:pPr>
    <w:rPr>
      <w:rFonts w:ascii="Calibri" w:hAnsi="Calibri"/>
      <w:bCs w:val="0"/>
      <w:sz w:val="30"/>
      <w:szCs w:val="22"/>
    </w:rPr>
  </w:style>
  <w:style w:type="character" w:customStyle="1" w:styleId="136">
    <w:name w:val="Body text (2) + Spacing 1 pt1"/>
    <w:qFormat/>
    <w:uiPriority w:val="0"/>
    <w:rPr>
      <w:rFonts w:ascii="宋体" w:hAnsi="宋体" w:eastAsia="宋体" w:cs="宋体"/>
      <w:color w:val="000000"/>
      <w:spacing w:val="20"/>
      <w:w w:val="100"/>
      <w:position w:val="0"/>
      <w:sz w:val="20"/>
      <w:szCs w:val="20"/>
      <w:u w:val="none"/>
      <w:lang w:val="zh-CN" w:eastAsia="zh-CN" w:bidi="zh-CN"/>
    </w:rPr>
  </w:style>
  <w:style w:type="character" w:customStyle="1" w:styleId="137">
    <w:name w:val="Body text (2) + Spacing 2 pt1"/>
    <w:qFormat/>
    <w:uiPriority w:val="0"/>
    <w:rPr>
      <w:rFonts w:ascii="宋体" w:hAnsi="宋体" w:eastAsia="宋体" w:cs="宋体"/>
      <w:color w:val="000000"/>
      <w:spacing w:val="50"/>
      <w:w w:val="100"/>
      <w:position w:val="0"/>
      <w:sz w:val="20"/>
      <w:szCs w:val="20"/>
      <w:u w:val="none"/>
      <w:lang w:val="zh-CN" w:eastAsia="zh-CN" w:bidi="zh-CN"/>
    </w:rPr>
  </w:style>
  <w:style w:type="character" w:customStyle="1" w:styleId="138">
    <w:name w:val="正文文本 Char1"/>
    <w:qFormat/>
    <w:uiPriority w:val="0"/>
    <w:rPr>
      <w:kern w:val="2"/>
      <w:sz w:val="21"/>
      <w:szCs w:val="22"/>
    </w:rPr>
  </w:style>
  <w:style w:type="character" w:customStyle="1" w:styleId="139">
    <w:name w:val="Body text (9)_"/>
    <w:link w:val="140"/>
    <w:qFormat/>
    <w:uiPriority w:val="0"/>
    <w:rPr>
      <w:rFonts w:ascii="Century Schoolbook" w:hAnsi="Century Schoolbook" w:eastAsia="Century Schoolbook" w:cs="Century Schoolbook"/>
      <w:sz w:val="9"/>
      <w:szCs w:val="9"/>
      <w:u w:val="none"/>
    </w:rPr>
  </w:style>
  <w:style w:type="paragraph" w:customStyle="1" w:styleId="140">
    <w:name w:val="Body text (9)"/>
    <w:basedOn w:val="1"/>
    <w:link w:val="139"/>
    <w:qFormat/>
    <w:uiPriority w:val="0"/>
    <w:pPr>
      <w:shd w:val="clear" w:color="auto" w:fill="FFFFFF"/>
      <w:spacing w:line="0" w:lineRule="atLeast"/>
      <w:jc w:val="distribute"/>
    </w:pPr>
    <w:rPr>
      <w:rFonts w:ascii="Century Schoolbook" w:hAnsi="Century Schoolbook" w:eastAsia="Century Schoolbook"/>
      <w:kern w:val="0"/>
      <w:sz w:val="9"/>
      <w:szCs w:val="9"/>
    </w:rPr>
  </w:style>
  <w:style w:type="character" w:customStyle="1" w:styleId="141">
    <w:name w:val="页脚 字符"/>
    <w:qFormat/>
    <w:uiPriority w:val="99"/>
    <w:rPr>
      <w:rFonts w:ascii="宋体" w:hAnsi="宋体" w:cs="Times New Roman"/>
      <w:kern w:val="2"/>
      <w:sz w:val="18"/>
      <w:szCs w:val="18"/>
    </w:rPr>
  </w:style>
  <w:style w:type="character" w:customStyle="1" w:styleId="142">
    <w:name w:val="law-parenthese"/>
    <w:basedOn w:val="46"/>
    <w:qFormat/>
    <w:uiPriority w:val="0"/>
  </w:style>
  <w:style w:type="character" w:customStyle="1" w:styleId="143">
    <w:name w:val="批注主题 字符"/>
    <w:semiHidden/>
    <w:qFormat/>
    <w:uiPriority w:val="99"/>
    <w:rPr>
      <w:rFonts w:ascii="Calibri" w:hAnsi="Calibri" w:eastAsia="宋体" w:cs="Times New Roman"/>
      <w:b/>
      <w:bCs/>
      <w:kern w:val="2"/>
      <w:sz w:val="24"/>
      <w:szCs w:val="22"/>
    </w:rPr>
  </w:style>
  <w:style w:type="character" w:customStyle="1" w:styleId="144">
    <w:name w:val="正文文本 2 Char"/>
    <w:qFormat/>
    <w:uiPriority w:val="0"/>
    <w:rPr>
      <w:kern w:val="2"/>
      <w:sz w:val="21"/>
      <w:szCs w:val="22"/>
    </w:rPr>
  </w:style>
  <w:style w:type="character" w:customStyle="1" w:styleId="145">
    <w:name w:val="明显强调1"/>
    <w:qFormat/>
    <w:uiPriority w:val="0"/>
    <w:rPr>
      <w:b/>
      <w:bCs/>
      <w:i/>
      <w:iCs/>
      <w:color w:val="4F81BD"/>
    </w:rPr>
  </w:style>
  <w:style w:type="character" w:customStyle="1" w:styleId="146">
    <w:name w:val="Body text (8) + 10 pt1"/>
    <w:qFormat/>
    <w:uiPriority w:val="0"/>
    <w:rPr>
      <w:rFonts w:ascii="宋体" w:hAnsi="宋体" w:eastAsia="宋体" w:cs="宋体"/>
      <w:b/>
      <w:bCs/>
      <w:color w:val="000000"/>
      <w:spacing w:val="-20"/>
      <w:w w:val="100"/>
      <w:position w:val="0"/>
      <w:sz w:val="20"/>
      <w:szCs w:val="20"/>
      <w:u w:val="none"/>
      <w:lang w:val="zh-CN" w:eastAsia="zh-CN" w:bidi="zh-CN"/>
    </w:rPr>
  </w:style>
  <w:style w:type="character" w:customStyle="1" w:styleId="147">
    <w:name w:val="批注文字 Char Char"/>
    <w:qFormat/>
    <w:uiPriority w:val="0"/>
    <w:rPr>
      <w:rFonts w:ascii="宋体" w:hAnsi="Times New Roman" w:eastAsia="宋体" w:cs="Times New Roman"/>
      <w:sz w:val="28"/>
      <w:szCs w:val="20"/>
    </w:rPr>
  </w:style>
  <w:style w:type="character" w:customStyle="1" w:styleId="148">
    <w:name w:val="Header or footer + SimSun1"/>
    <w:qFormat/>
    <w:uiPriority w:val="0"/>
    <w:rPr>
      <w:rFonts w:ascii="宋体" w:hAnsi="宋体" w:eastAsia="宋体" w:cs="宋体"/>
      <w:b/>
      <w:bCs/>
      <w:color w:val="000000"/>
      <w:spacing w:val="0"/>
      <w:w w:val="100"/>
      <w:position w:val="0"/>
      <w:sz w:val="21"/>
      <w:szCs w:val="21"/>
      <w:u w:val="none"/>
      <w:lang w:val="zh-CN" w:eastAsia="zh-CN" w:bidi="zh-CN"/>
    </w:rPr>
  </w:style>
  <w:style w:type="character" w:customStyle="1" w:styleId="149">
    <w:name w:val="search-in-page-highlight-item"/>
    <w:basedOn w:val="46"/>
    <w:qFormat/>
    <w:uiPriority w:val="0"/>
  </w:style>
  <w:style w:type="character" w:customStyle="1" w:styleId="150">
    <w:name w:val="标题 Char1"/>
    <w:qFormat/>
    <w:uiPriority w:val="0"/>
    <w:rPr>
      <w:rFonts w:ascii="Calibri Light" w:hAnsi="Calibri Light" w:cs="Times New Roman"/>
      <w:b/>
      <w:bCs/>
      <w:kern w:val="2"/>
      <w:sz w:val="32"/>
      <w:szCs w:val="32"/>
    </w:rPr>
  </w:style>
  <w:style w:type="character" w:customStyle="1" w:styleId="151">
    <w:name w:val="书籍标题1"/>
    <w:qFormat/>
    <w:uiPriority w:val="0"/>
    <w:rPr>
      <w:b/>
      <w:bCs/>
      <w:smallCaps/>
      <w:spacing w:val="5"/>
    </w:rPr>
  </w:style>
  <w:style w:type="character" w:customStyle="1" w:styleId="152">
    <w:name w:val="Body text (2)"/>
    <w:qFormat/>
    <w:uiPriority w:val="0"/>
    <w:rPr>
      <w:rFonts w:ascii="宋体" w:hAnsi="宋体" w:eastAsia="宋体" w:cs="宋体"/>
      <w:color w:val="000000"/>
      <w:spacing w:val="0"/>
      <w:w w:val="100"/>
      <w:position w:val="0"/>
      <w:sz w:val="20"/>
      <w:szCs w:val="20"/>
      <w:u w:val="single"/>
      <w:lang w:val="zh-CN" w:eastAsia="zh-CN" w:bidi="zh-CN"/>
    </w:rPr>
  </w:style>
  <w:style w:type="character" w:customStyle="1" w:styleId="153">
    <w:name w:val="批注文字 字符"/>
    <w:qFormat/>
    <w:uiPriority w:val="99"/>
    <w:rPr>
      <w:rFonts w:ascii="Calibri" w:hAnsi="Calibri" w:eastAsia="宋体" w:cs="Times New Roman"/>
      <w:kern w:val="2"/>
      <w:sz w:val="24"/>
      <w:szCs w:val="22"/>
    </w:rPr>
  </w:style>
  <w:style w:type="character" w:customStyle="1" w:styleId="154">
    <w:name w:val="Header or footer + SimSun3"/>
    <w:qFormat/>
    <w:uiPriority w:val="0"/>
    <w:rPr>
      <w:rFonts w:ascii="宋体" w:hAnsi="宋体" w:eastAsia="宋体" w:cs="宋体"/>
      <w:b/>
      <w:bCs/>
      <w:color w:val="000000"/>
      <w:spacing w:val="0"/>
      <w:w w:val="100"/>
      <w:position w:val="0"/>
      <w:sz w:val="20"/>
      <w:szCs w:val="20"/>
      <w:u w:val="none"/>
      <w:lang w:val="zh-CN" w:eastAsia="zh-CN" w:bidi="zh-CN"/>
    </w:rPr>
  </w:style>
  <w:style w:type="character" w:customStyle="1" w:styleId="155">
    <w:name w:val="Body text (2) + Spacing -1 pt"/>
    <w:qFormat/>
    <w:uiPriority w:val="0"/>
    <w:rPr>
      <w:rFonts w:ascii="宋体" w:hAnsi="宋体" w:eastAsia="宋体" w:cs="宋体"/>
      <w:color w:val="000000"/>
      <w:spacing w:val="-30"/>
      <w:w w:val="100"/>
      <w:position w:val="0"/>
      <w:sz w:val="20"/>
      <w:szCs w:val="20"/>
      <w:u w:val="none"/>
      <w:lang w:val="zh-CN" w:eastAsia="zh-CN" w:bidi="zh-CN"/>
    </w:rPr>
  </w:style>
  <w:style w:type="character" w:customStyle="1" w:styleId="156">
    <w:name w:val="content"/>
    <w:basedOn w:val="46"/>
    <w:qFormat/>
    <w:uiPriority w:val="0"/>
  </w:style>
  <w:style w:type="character" w:customStyle="1" w:styleId="157">
    <w:name w:val="Body text (2)_"/>
    <w:link w:val="158"/>
    <w:qFormat/>
    <w:uiPriority w:val="0"/>
    <w:rPr>
      <w:rFonts w:ascii="宋体" w:hAnsi="宋体" w:eastAsia="宋体" w:cs="宋体"/>
      <w:sz w:val="20"/>
      <w:szCs w:val="20"/>
      <w:u w:val="none"/>
    </w:rPr>
  </w:style>
  <w:style w:type="paragraph" w:customStyle="1" w:styleId="158">
    <w:name w:val="Body text (2)2"/>
    <w:basedOn w:val="1"/>
    <w:link w:val="157"/>
    <w:qFormat/>
    <w:uiPriority w:val="0"/>
    <w:pPr>
      <w:shd w:val="clear" w:color="auto" w:fill="FFFFFF"/>
      <w:spacing w:before="180" w:line="312" w:lineRule="exact"/>
      <w:ind w:hanging="260"/>
      <w:jc w:val="distribute"/>
    </w:pPr>
    <w:rPr>
      <w:rFonts w:ascii="宋体" w:hAnsi="宋体"/>
      <w:kern w:val="0"/>
      <w:sz w:val="20"/>
      <w:szCs w:val="20"/>
    </w:rPr>
  </w:style>
  <w:style w:type="character" w:customStyle="1" w:styleId="159">
    <w:name w:val="文档结构图 Char1"/>
    <w:qFormat/>
    <w:uiPriority w:val="0"/>
    <w:rPr>
      <w:rFonts w:ascii="宋体"/>
      <w:kern w:val="2"/>
      <w:sz w:val="18"/>
      <w:szCs w:val="18"/>
    </w:rPr>
  </w:style>
  <w:style w:type="character" w:customStyle="1" w:styleId="160">
    <w:name w:val="页眉 字符"/>
    <w:qFormat/>
    <w:uiPriority w:val="99"/>
    <w:rPr>
      <w:rFonts w:ascii="宋体" w:hAnsi="宋体" w:cs="Times New Roman"/>
      <w:kern w:val="2"/>
      <w:sz w:val="18"/>
      <w:szCs w:val="18"/>
    </w:rPr>
  </w:style>
  <w:style w:type="character" w:customStyle="1" w:styleId="161">
    <w:name w:val="Body text (8) + Spacing 1 pt1"/>
    <w:qFormat/>
    <w:uiPriority w:val="0"/>
    <w:rPr>
      <w:rFonts w:ascii="宋体" w:hAnsi="宋体" w:eastAsia="宋体" w:cs="宋体"/>
      <w:b/>
      <w:bCs/>
      <w:color w:val="000000"/>
      <w:spacing w:val="30"/>
      <w:w w:val="100"/>
      <w:position w:val="0"/>
      <w:sz w:val="21"/>
      <w:szCs w:val="21"/>
      <w:u w:val="none"/>
      <w:lang w:val="zh-CN" w:eastAsia="zh-CN" w:bidi="zh-CN"/>
    </w:rPr>
  </w:style>
  <w:style w:type="character" w:customStyle="1" w:styleId="162">
    <w:name w:val="明显引用 字符"/>
    <w:link w:val="163"/>
    <w:qFormat/>
    <w:uiPriority w:val="0"/>
    <w:rPr>
      <w:b/>
      <w:bCs/>
      <w:i/>
      <w:iCs/>
      <w:color w:val="4F81BD"/>
      <w:kern w:val="2"/>
      <w:sz w:val="21"/>
      <w:szCs w:val="22"/>
    </w:rPr>
  </w:style>
  <w:style w:type="paragraph" w:styleId="163">
    <w:name w:val="Intense Quote"/>
    <w:basedOn w:val="1"/>
    <w:next w:val="1"/>
    <w:link w:val="162"/>
    <w:qFormat/>
    <w:uiPriority w:val="0"/>
    <w:pPr>
      <w:pBdr>
        <w:bottom w:val="single" w:color="4F81BD" w:sz="4" w:space="4"/>
      </w:pBdr>
      <w:spacing w:before="200" w:after="280"/>
      <w:ind w:left="936" w:right="936"/>
    </w:pPr>
    <w:rPr>
      <w:b/>
      <w:bCs/>
      <w:i/>
      <w:iCs/>
      <w:color w:val="4F81BD"/>
    </w:rPr>
  </w:style>
  <w:style w:type="character" w:styleId="164">
    <w:name w:val="Placeholder Text"/>
    <w:unhideWhenUsed/>
    <w:qFormat/>
    <w:uiPriority w:val="99"/>
    <w:rPr>
      <w:color w:val="808080"/>
    </w:rPr>
  </w:style>
  <w:style w:type="character" w:customStyle="1" w:styleId="165">
    <w:name w:val="Header or footer + SimSun"/>
    <w:qFormat/>
    <w:uiPriority w:val="0"/>
    <w:rPr>
      <w:rFonts w:ascii="宋体" w:hAnsi="宋体" w:eastAsia="宋体" w:cs="宋体"/>
      <w:b/>
      <w:bCs/>
      <w:color w:val="000000"/>
      <w:spacing w:val="0"/>
      <w:w w:val="100"/>
      <w:position w:val="0"/>
      <w:sz w:val="21"/>
      <w:szCs w:val="21"/>
      <w:u w:val="none"/>
      <w:lang w:val="zh-CN" w:eastAsia="zh-CN" w:bidi="zh-CN"/>
    </w:rPr>
  </w:style>
  <w:style w:type="character" w:customStyle="1" w:styleId="166">
    <w:name w:val="不明显强调1"/>
    <w:qFormat/>
    <w:uiPriority w:val="0"/>
    <w:rPr>
      <w:i/>
      <w:iCs/>
      <w:color w:val="808080"/>
    </w:rPr>
  </w:style>
  <w:style w:type="paragraph" w:customStyle="1" w:styleId="167">
    <w:name w:val="修订1"/>
    <w:qFormat/>
    <w:uiPriority w:val="0"/>
    <w:rPr>
      <w:rFonts w:ascii="Times New Roman" w:hAnsi="Times New Roman" w:eastAsia="宋体" w:cs="Times New Roman"/>
      <w:kern w:val="2"/>
      <w:sz w:val="21"/>
      <w:szCs w:val="24"/>
      <w:lang w:val="en-US" w:eastAsia="zh-CN" w:bidi="ar-SA"/>
    </w:rPr>
  </w:style>
  <w:style w:type="paragraph" w:customStyle="1" w:styleId="168">
    <w:name w:val="专用标题4"/>
    <w:basedOn w:val="169"/>
    <w:next w:val="1"/>
    <w:qFormat/>
    <w:uiPriority w:val="0"/>
    <w:pPr>
      <w:tabs>
        <w:tab w:val="left" w:pos="851"/>
      </w:tabs>
      <w:spacing w:before="50" w:after="156"/>
      <w:ind w:firstLine="200"/>
      <w:jc w:val="left"/>
    </w:pPr>
    <w:rPr>
      <w:rFonts w:hAnsi="Arial"/>
      <w:bCs w:val="0"/>
      <w:szCs w:val="22"/>
    </w:rPr>
  </w:style>
  <w:style w:type="paragraph" w:customStyle="1" w:styleId="169">
    <w:name w:val="通用标题4"/>
    <w:basedOn w:val="6"/>
    <w:next w:val="1"/>
    <w:qFormat/>
    <w:uiPriority w:val="0"/>
    <w:pPr>
      <w:keepNext w:val="0"/>
      <w:keepLines w:val="0"/>
      <w:tabs>
        <w:tab w:val="left" w:pos="851"/>
      </w:tabs>
      <w:adjustRightInd w:val="0"/>
      <w:snapToGrid w:val="0"/>
      <w:spacing w:before="120" w:beforeLines="50" w:after="0" w:line="360" w:lineRule="auto"/>
      <w:ind w:firstLine="480" w:firstLineChars="200"/>
    </w:pPr>
    <w:rPr>
      <w:rFonts w:ascii="宋体" w:hAnsi="宋体"/>
      <w:b w:val="0"/>
      <w:sz w:val="24"/>
      <w:szCs w:val="21"/>
    </w:rPr>
  </w:style>
  <w:style w:type="paragraph" w:customStyle="1" w:styleId="170">
    <w:name w:val="Title 4"/>
    <w:next w:val="171"/>
    <w:qFormat/>
    <w:uiPriority w:val="0"/>
    <w:pPr>
      <w:numPr>
        <w:ilvl w:val="0"/>
        <w:numId w:val="1"/>
      </w:numPr>
      <w:ind w:left="1276" w:hanging="562"/>
      <w:jc w:val="both"/>
    </w:pPr>
    <w:rPr>
      <w:rFonts w:ascii="Times New Roman" w:hAnsi="Times New Roman" w:eastAsia="宋体" w:cs="Times New Roman"/>
      <w:kern w:val="2"/>
      <w:sz w:val="24"/>
      <w:szCs w:val="24"/>
      <w:lang w:val="en-US" w:eastAsia="zh-CN" w:bidi="ar-SA"/>
    </w:rPr>
  </w:style>
  <w:style w:type="paragraph" w:customStyle="1" w:styleId="171">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172">
    <w:name w:val="Heading #2"/>
    <w:basedOn w:val="1"/>
    <w:qFormat/>
    <w:uiPriority w:val="0"/>
    <w:pPr>
      <w:shd w:val="clear" w:color="auto" w:fill="FFFFFF"/>
      <w:spacing w:after="600" w:line="0" w:lineRule="atLeast"/>
      <w:jc w:val="center"/>
      <w:outlineLvl w:val="1"/>
    </w:pPr>
    <w:rPr>
      <w:rFonts w:ascii="宋体" w:hAnsi="宋体" w:cs="宋体"/>
      <w:sz w:val="32"/>
      <w:szCs w:val="32"/>
    </w:rPr>
  </w:style>
  <w:style w:type="paragraph" w:customStyle="1" w:styleId="173">
    <w:name w:val="TOC 标题1"/>
    <w:basedOn w:val="3"/>
    <w:next w:val="1"/>
    <w:unhideWhenUsed/>
    <w:qFormat/>
    <w:uiPriority w:val="39"/>
    <w:pPr>
      <w:keepNext w:val="0"/>
      <w:keepLines w:val="0"/>
      <w:widowControl/>
      <w:adjustRightInd w:val="0"/>
      <w:spacing w:line="259" w:lineRule="auto"/>
      <w:jc w:val="left"/>
      <w:outlineLvl w:val="9"/>
    </w:pPr>
    <w:rPr>
      <w:rFonts w:ascii="Calibri Light" w:hAnsi="Calibri Light"/>
      <w:b w:val="0"/>
      <w:bCs w:val="0"/>
      <w:color w:val="2E75B5"/>
      <w:kern w:val="0"/>
      <w:sz w:val="32"/>
      <w:szCs w:val="32"/>
    </w:rPr>
  </w:style>
  <w:style w:type="paragraph" w:customStyle="1" w:styleId="174">
    <w:name w:val="列出段落1"/>
    <w:basedOn w:val="1"/>
    <w:qFormat/>
    <w:uiPriority w:val="0"/>
    <w:pPr>
      <w:ind w:firstLine="420" w:firstLineChars="200"/>
    </w:pPr>
  </w:style>
  <w:style w:type="paragraph" w:customStyle="1" w:styleId="175">
    <w:name w:val="Heading #7"/>
    <w:basedOn w:val="1"/>
    <w:qFormat/>
    <w:uiPriority w:val="0"/>
    <w:pPr>
      <w:shd w:val="clear" w:color="auto" w:fill="FFFFFF"/>
      <w:spacing w:line="542" w:lineRule="exact"/>
      <w:outlineLvl w:val="6"/>
    </w:pPr>
    <w:rPr>
      <w:rFonts w:ascii="宋体" w:hAnsi="宋体" w:cs="宋体"/>
      <w:b/>
      <w:bCs/>
      <w:szCs w:val="21"/>
    </w:rPr>
  </w:style>
  <w:style w:type="paragraph" w:customStyle="1" w:styleId="176">
    <w:name w:val="Char Char Char Char Char Char Char Char Char Char Char Char Char"/>
    <w:basedOn w:val="1"/>
    <w:qFormat/>
    <w:uiPriority w:val="0"/>
    <w:rPr>
      <w:rFonts w:ascii="宋体" w:hAnsi="宋体"/>
      <w:sz w:val="24"/>
      <w:szCs w:val="24"/>
    </w:rPr>
  </w:style>
  <w:style w:type="paragraph" w:customStyle="1" w:styleId="177">
    <w:name w:val="通用标题3"/>
    <w:basedOn w:val="5"/>
    <w:next w:val="1"/>
    <w:qFormat/>
    <w:uiPriority w:val="0"/>
    <w:pPr>
      <w:keepNext w:val="0"/>
      <w:keepLines w:val="0"/>
      <w:tabs>
        <w:tab w:val="left" w:pos="851"/>
      </w:tabs>
      <w:spacing w:before="120" w:beforeLines="50" w:after="0" w:line="360" w:lineRule="auto"/>
      <w:ind w:firstLine="241" w:firstLineChars="100"/>
    </w:pPr>
    <w:rPr>
      <w:rFonts w:ascii="宋体" w:hAnsi="黑体"/>
      <w:szCs w:val="24"/>
    </w:rPr>
  </w:style>
  <w:style w:type="paragraph" w:customStyle="1" w:styleId="178">
    <w:name w:val="附件标题"/>
    <w:basedOn w:val="4"/>
    <w:next w:val="1"/>
    <w:qFormat/>
    <w:uiPriority w:val="0"/>
    <w:pPr>
      <w:widowControl/>
      <w:numPr>
        <w:ilvl w:val="0"/>
        <w:numId w:val="2"/>
      </w:numPr>
      <w:tabs>
        <w:tab w:val="left" w:pos="1134"/>
      </w:tabs>
      <w:wordWrap w:val="0"/>
      <w:topLinePunct/>
      <w:adjustRightInd w:val="0"/>
      <w:snapToGrid w:val="0"/>
      <w:spacing w:before="0" w:after="120" w:afterLines="50" w:line="360" w:lineRule="auto"/>
      <w:ind w:firstLine="0"/>
      <w:jc w:val="center"/>
    </w:pPr>
    <w:rPr>
      <w:rFonts w:ascii="黑体" w:hAnsi="黑体" w:eastAsia="黑体"/>
      <w:bCs w:val="0"/>
      <w:kern w:val="0"/>
      <w:sz w:val="30"/>
      <w:szCs w:val="30"/>
    </w:rPr>
  </w:style>
  <w:style w:type="paragraph" w:customStyle="1" w:styleId="179">
    <w:name w:val="Table of contents"/>
    <w:basedOn w:val="1"/>
    <w:qFormat/>
    <w:uiPriority w:val="0"/>
    <w:pPr>
      <w:shd w:val="clear" w:color="auto" w:fill="FFFFFF"/>
      <w:spacing w:line="466" w:lineRule="exact"/>
      <w:jc w:val="distribute"/>
    </w:pPr>
    <w:rPr>
      <w:rFonts w:ascii="宋体" w:hAnsi="宋体" w:cs="宋体"/>
      <w:sz w:val="20"/>
      <w:szCs w:val="20"/>
    </w:rPr>
  </w:style>
  <w:style w:type="paragraph" w:customStyle="1" w:styleId="180">
    <w:name w:val="WPSOffice手动目录 1"/>
    <w:qFormat/>
    <w:uiPriority w:val="0"/>
    <w:rPr>
      <w:rFonts w:ascii="Times New Roman" w:hAnsi="Times New Roman" w:eastAsia="宋体" w:cs="Times New Roman"/>
      <w:lang w:val="en-US" w:eastAsia="zh-CN" w:bidi="ar-SA"/>
    </w:rPr>
  </w:style>
  <w:style w:type="paragraph" w:customStyle="1" w:styleId="181">
    <w:name w:val="LIST ALPHA CAPS 2"/>
    <w:basedOn w:val="1"/>
    <w:next w:val="38"/>
    <w:qFormat/>
    <w:uiPriority w:val="0"/>
    <w:pPr>
      <w:widowControl/>
      <w:numPr>
        <w:ilvl w:val="1"/>
        <w:numId w:val="3"/>
      </w:numPr>
      <w:tabs>
        <w:tab w:val="left" w:pos="50"/>
        <w:tab w:val="left" w:pos="312"/>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18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
    <w:name w:val="通用标题5"/>
    <w:basedOn w:val="1"/>
    <w:qFormat/>
    <w:uiPriority w:val="0"/>
    <w:pPr>
      <w:tabs>
        <w:tab w:val="left" w:pos="1134"/>
      </w:tabs>
      <w:autoSpaceDE w:val="0"/>
      <w:autoSpaceDN w:val="0"/>
      <w:adjustRightInd w:val="0"/>
      <w:snapToGrid w:val="0"/>
      <w:spacing w:line="360" w:lineRule="auto"/>
      <w:ind w:firstLine="200" w:firstLineChars="200"/>
    </w:pPr>
    <w:rPr>
      <w:rFonts w:ascii="宋体" w:hAnsi="宋体"/>
      <w:sz w:val="24"/>
      <w:szCs w:val="21"/>
    </w:rPr>
  </w:style>
  <w:style w:type="paragraph" w:customStyle="1" w:styleId="185">
    <w:name w:val="通用标题7"/>
    <w:basedOn w:val="1"/>
    <w:qFormat/>
    <w:uiPriority w:val="0"/>
    <w:pPr>
      <w:widowControl/>
      <w:numPr>
        <w:ilvl w:val="5"/>
        <w:numId w:val="4"/>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186">
    <w:name w:val="正文 New New"/>
    <w:qFormat/>
    <w:uiPriority w:val="99"/>
    <w:pPr>
      <w:widowControl w:val="0"/>
      <w:jc w:val="both"/>
    </w:pPr>
    <w:rPr>
      <w:rFonts w:ascii="Calibri" w:hAnsi="Calibri" w:eastAsia="等线" w:cs="Calibri"/>
      <w:kern w:val="2"/>
      <w:sz w:val="21"/>
      <w:szCs w:val="21"/>
      <w:lang w:val="en-US" w:eastAsia="zh-CN" w:bidi="ar-SA"/>
    </w:rPr>
  </w:style>
  <w:style w:type="paragraph" w:customStyle="1" w:styleId="187">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188">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89">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190">
    <w:name w:val="Heading #6"/>
    <w:basedOn w:val="1"/>
    <w:qFormat/>
    <w:uiPriority w:val="0"/>
    <w:pPr>
      <w:shd w:val="clear" w:color="auto" w:fill="FFFFFF"/>
      <w:spacing w:before="300" w:line="624" w:lineRule="exact"/>
      <w:ind w:hanging="160"/>
      <w:outlineLvl w:val="5"/>
    </w:pPr>
    <w:rPr>
      <w:rFonts w:ascii="宋体" w:hAnsi="宋体" w:cs="宋体"/>
    </w:rPr>
  </w:style>
  <w:style w:type="paragraph" w:customStyle="1" w:styleId="191">
    <w:name w:val="List ALPHA CAPS 1"/>
    <w:basedOn w:val="1"/>
    <w:next w:val="2"/>
    <w:qFormat/>
    <w:uiPriority w:val="0"/>
    <w:pPr>
      <w:widowControl/>
      <w:tabs>
        <w:tab w:val="left" w:pos="22"/>
        <w:tab w:val="left" w:pos="31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192">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193">
    <w:name w:val="目录3"/>
    <w:basedOn w:val="6"/>
    <w:qFormat/>
    <w:uiPriority w:val="0"/>
  </w:style>
  <w:style w:type="paragraph" w:customStyle="1" w:styleId="194">
    <w:name w:val="附件标题1"/>
    <w:next w:val="1"/>
    <w:qFormat/>
    <w:uiPriority w:val="0"/>
    <w:pPr>
      <w:numPr>
        <w:ilvl w:val="0"/>
        <w:numId w:val="5"/>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195">
    <w:name w:val="正文首行缩进1"/>
    <w:basedOn w:val="2"/>
    <w:qFormat/>
    <w:uiPriority w:val="0"/>
    <w:pPr>
      <w:spacing w:line="312" w:lineRule="auto"/>
      <w:ind w:firstLine="420"/>
    </w:pPr>
    <w:rPr>
      <w:szCs w:val="24"/>
    </w:rPr>
  </w:style>
  <w:style w:type="paragraph" w:customStyle="1" w:styleId="196">
    <w:name w:val="专用标题3"/>
    <w:basedOn w:val="177"/>
    <w:qFormat/>
    <w:uiPriority w:val="0"/>
    <w:pPr>
      <w:spacing w:before="50"/>
      <w:ind w:firstLine="100"/>
    </w:pPr>
  </w:style>
  <w:style w:type="paragraph" w:customStyle="1" w:styleId="197">
    <w:name w:val="Table caption"/>
    <w:basedOn w:val="1"/>
    <w:qFormat/>
    <w:uiPriority w:val="0"/>
    <w:pPr>
      <w:shd w:val="clear" w:color="auto" w:fill="FFFFFF"/>
      <w:spacing w:line="0" w:lineRule="atLeast"/>
    </w:pPr>
    <w:rPr>
      <w:rFonts w:ascii="宋体" w:hAnsi="宋体" w:cs="宋体"/>
      <w:sz w:val="20"/>
      <w:szCs w:val="20"/>
    </w:rPr>
  </w:style>
  <w:style w:type="paragraph" w:customStyle="1" w:styleId="198">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9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0">
    <w:name w:val="专用标题2"/>
    <w:basedOn w:val="201"/>
    <w:next w:val="1"/>
    <w:qFormat/>
    <w:uiPriority w:val="0"/>
    <w:pPr>
      <w:spacing w:before="156" w:after="156"/>
      <w:ind w:firstLine="241"/>
    </w:pPr>
  </w:style>
  <w:style w:type="paragraph" w:customStyle="1" w:styleId="201">
    <w:name w:val="通用标题2"/>
    <w:basedOn w:val="4"/>
    <w:next w:val="1"/>
    <w:qFormat/>
    <w:uiPriority w:val="0"/>
    <w:pPr>
      <w:keepNext w:val="0"/>
      <w:keepLines w:val="0"/>
      <w:snapToGrid w:val="0"/>
      <w:spacing w:before="120" w:after="120" w:line="360" w:lineRule="auto"/>
    </w:pPr>
    <w:rPr>
      <w:rFonts w:ascii="宋体"/>
      <w:sz w:val="28"/>
    </w:rPr>
  </w:style>
  <w:style w:type="paragraph" w:customStyle="1" w:styleId="202">
    <w:name w:val="TOC 标题2"/>
    <w:basedOn w:val="3"/>
    <w:next w:val="1"/>
    <w:qFormat/>
    <w:uiPriority w:val="0"/>
    <w:pPr>
      <w:outlineLvl w:val="9"/>
    </w:pPr>
  </w:style>
  <w:style w:type="paragraph" w:customStyle="1" w:styleId="203">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04">
    <w:name w:val="修订11"/>
    <w:semiHidden/>
    <w:qFormat/>
    <w:uiPriority w:val="99"/>
    <w:rPr>
      <w:rFonts w:ascii="宋体" w:hAnsi="Calibri" w:eastAsia="宋体" w:cs="Times New Roman"/>
      <w:kern w:val="2"/>
      <w:sz w:val="24"/>
      <w:szCs w:val="22"/>
      <w:lang w:val="en-US" w:eastAsia="zh-CN" w:bidi="ar-SA"/>
    </w:rPr>
  </w:style>
  <w:style w:type="paragraph" w:customStyle="1" w:styleId="205">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06">
    <w:name w:val="_Style 75"/>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07">
    <w:name w:val="样式3"/>
    <w:next w:val="1"/>
    <w:qFormat/>
    <w:uiPriority w:val="0"/>
    <w:pPr>
      <w:numPr>
        <w:ilvl w:val="2"/>
        <w:numId w:val="6"/>
      </w:numPr>
    </w:pPr>
    <w:rPr>
      <w:rFonts w:ascii="Times New Roman" w:hAnsi="Times New Roman" w:eastAsia="宋体" w:cs="Times New Roman"/>
      <w:bCs/>
      <w:kern w:val="2"/>
      <w:sz w:val="24"/>
      <w:szCs w:val="24"/>
      <w:lang w:val="en-US" w:eastAsia="zh-CN" w:bidi="ar-SA"/>
    </w:rPr>
  </w:style>
  <w:style w:type="paragraph" w:customStyle="1" w:styleId="208">
    <w:name w:val="协议书标题2"/>
    <w:basedOn w:val="4"/>
    <w:next w:val="1"/>
    <w:qFormat/>
    <w:uiPriority w:val="0"/>
    <w:pPr>
      <w:keepNext w:val="0"/>
      <w:keepLines w:val="0"/>
      <w:widowControl/>
      <w:numPr>
        <w:ilvl w:val="0"/>
        <w:numId w:val="7"/>
      </w:numPr>
      <w:tabs>
        <w:tab w:val="left" w:pos="567"/>
      </w:tabs>
      <w:wordWrap w:val="0"/>
      <w:topLinePunct/>
      <w:adjustRightInd w:val="0"/>
      <w:snapToGrid w:val="0"/>
      <w:spacing w:before="0" w:after="120" w:afterLines="50" w:line="360" w:lineRule="auto"/>
      <w:jc w:val="left"/>
    </w:pPr>
    <w:rPr>
      <w:rFonts w:ascii="宋体" w:hAnsi="宋体"/>
      <w:bCs w:val="0"/>
      <w:kern w:val="0"/>
      <w:sz w:val="24"/>
      <w:szCs w:val="20"/>
    </w:rPr>
  </w:style>
  <w:style w:type="paragraph" w:customStyle="1" w:styleId="209">
    <w:name w:val="Heading #7 (2)"/>
    <w:basedOn w:val="1"/>
    <w:qFormat/>
    <w:uiPriority w:val="0"/>
    <w:pPr>
      <w:shd w:val="clear" w:color="auto" w:fill="FFFFFF"/>
      <w:spacing w:line="312" w:lineRule="exact"/>
      <w:jc w:val="distribute"/>
      <w:outlineLvl w:val="6"/>
    </w:pPr>
    <w:rPr>
      <w:rFonts w:ascii="宋体" w:hAnsi="宋体" w:cs="宋体"/>
      <w:sz w:val="20"/>
      <w:szCs w:val="20"/>
    </w:rPr>
  </w:style>
  <w:style w:type="paragraph" w:styleId="210">
    <w:name w:val="List Paragraph"/>
    <w:basedOn w:val="1"/>
    <w:qFormat/>
    <w:uiPriority w:val="1"/>
    <w:pPr>
      <w:ind w:left="480" w:firstLine="480"/>
    </w:pPr>
    <w:rPr>
      <w:rFonts w:hint="eastAsia"/>
      <w:sz w:val="24"/>
    </w:rPr>
  </w:style>
  <w:style w:type="paragraph" w:customStyle="1" w:styleId="211">
    <w:name w:val="Title 5"/>
    <w:next w:val="212"/>
    <w:qFormat/>
    <w:uiPriority w:val="0"/>
    <w:pPr>
      <w:numPr>
        <w:ilvl w:val="0"/>
        <w:numId w:val="8"/>
      </w:numPr>
      <w:ind w:left="1701" w:hanging="426"/>
      <w:jc w:val="both"/>
    </w:pPr>
    <w:rPr>
      <w:rFonts w:ascii="Times New Roman" w:hAnsi="Times New Roman" w:eastAsia="宋体" w:cs="Times New Roman"/>
      <w:kern w:val="2"/>
      <w:sz w:val="24"/>
      <w:szCs w:val="24"/>
      <w:lang w:val="en-US" w:eastAsia="zh-CN" w:bidi="ar-SA"/>
    </w:rPr>
  </w:style>
  <w:style w:type="paragraph" w:customStyle="1" w:styleId="212">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1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14">
    <w:name w:val="通用标题6"/>
    <w:basedOn w:val="1"/>
    <w:qFormat/>
    <w:uiPriority w:val="0"/>
    <w:pPr>
      <w:widowControl/>
      <w:numPr>
        <w:ilvl w:val="4"/>
        <w:numId w:val="9"/>
      </w:numPr>
      <w:tabs>
        <w:tab w:val="left" w:pos="993"/>
      </w:tabs>
      <w:adjustRightInd w:val="0"/>
      <w:snapToGrid w:val="0"/>
      <w:spacing w:after="120" w:afterLines="50" w:line="360" w:lineRule="auto"/>
    </w:pPr>
    <w:rPr>
      <w:rFonts w:ascii="宋体" w:hAnsi="宋体"/>
      <w:kern w:val="0"/>
      <w:sz w:val="24"/>
      <w:szCs w:val="20"/>
    </w:rPr>
  </w:style>
  <w:style w:type="paragraph" w:customStyle="1" w:styleId="215">
    <w:name w:val="LIST ALPHA CAPS 3"/>
    <w:basedOn w:val="1"/>
    <w:next w:val="18"/>
    <w:qFormat/>
    <w:uiPriority w:val="0"/>
    <w:pPr>
      <w:widowControl/>
      <w:numPr>
        <w:ilvl w:val="2"/>
        <w:numId w:val="3"/>
      </w:numPr>
      <w:tabs>
        <w:tab w:val="left" w:pos="68"/>
        <w:tab w:val="left" w:pos="312"/>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16">
    <w:name w:val="TOC 标题21"/>
    <w:basedOn w:val="3"/>
    <w:next w:val="1"/>
    <w:qFormat/>
    <w:uiPriority w:val="0"/>
    <w:pPr>
      <w:spacing w:before="260" w:after="260" w:line="413" w:lineRule="auto"/>
      <w:jc w:val="center"/>
    </w:pPr>
    <w:rPr>
      <w:rFonts w:ascii="宋体" w:hAnsi="宋体"/>
      <w:sz w:val="36"/>
      <w:lang w:val="zh-CN"/>
    </w:rPr>
  </w:style>
  <w:style w:type="paragraph" w:customStyle="1" w:styleId="21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218">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19">
    <w:name w:val="TableGrid"/>
    <w:qFormat/>
    <w:uiPriority w:val="0"/>
    <w:tblPr>
      <w:tblCellMar>
        <w:top w:w="0" w:type="dxa"/>
        <w:left w:w="0" w:type="dxa"/>
        <w:bottom w:w="0" w:type="dxa"/>
        <w:right w:w="0" w:type="dxa"/>
      </w:tblCellMar>
    </w:tblPr>
  </w:style>
  <w:style w:type="character" w:customStyle="1" w:styleId="220">
    <w:name w:val="脚注文本 字符"/>
    <w:basedOn w:val="46"/>
    <w:link w:val="34"/>
    <w:qFormat/>
    <w:uiPriority w:val="0"/>
    <w:rPr>
      <w:kern w:val="2"/>
      <w:sz w:val="18"/>
      <w:szCs w:val="18"/>
    </w:rPr>
  </w:style>
  <w:style w:type="character" w:customStyle="1" w:styleId="221">
    <w:name w:val="未处理的提及4"/>
    <w:basedOn w:val="46"/>
    <w:semiHidden/>
    <w:unhideWhenUsed/>
    <w:qFormat/>
    <w:uiPriority w:val="99"/>
    <w:rPr>
      <w:color w:val="605E5C"/>
      <w:shd w:val="clear" w:color="auto" w:fill="E1DFDD"/>
    </w:rPr>
  </w:style>
  <w:style w:type="character" w:customStyle="1" w:styleId="222">
    <w:name w:val="正文缩进 字符1"/>
    <w:qFormat/>
    <w:uiPriority w:val="0"/>
    <w:rPr>
      <w:sz w:val="24"/>
    </w:rPr>
  </w:style>
  <w:style w:type="character" w:customStyle="1" w:styleId="223">
    <w:name w:val="日期 字符2"/>
    <w:qFormat/>
    <w:uiPriority w:val="0"/>
    <w:rPr>
      <w:rFonts w:ascii="宋体" w:hAnsi="Times New Roman"/>
      <w:sz w:val="28"/>
    </w:rPr>
  </w:style>
  <w:style w:type="character" w:customStyle="1" w:styleId="224">
    <w:name w:val="Unresolved Mention"/>
    <w:basedOn w:val="4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0F64057-E5FA-47D6-814E-A3AAF7AEED5F}">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187</Pages>
  <Words>112943</Words>
  <Characters>118668</Characters>
  <Lines>254</Lines>
  <Paragraphs>286</Paragraphs>
  <TotalTime>32</TotalTime>
  <ScaleCrop>false</ScaleCrop>
  <LinksUpToDate>false</LinksUpToDate>
  <CharactersWithSpaces>121747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2022-05-07T07:45:00Z</dcterms:created>
  <dc:creator>12129</dc:creator>
  <cp:lastModifiedBy>kwan</cp:lastModifiedBy>
  <cp:lastPrinted>2021-09-27T07:13:00Z</cp:lastPrinted>
  <dcterms:modified xsi:type="dcterms:W3CDTF">2022-05-13T08:16:51Z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7AFA01198CC34082A938207F8C91D35A</vt:lpwstr>
  </property>
</Properties>
</file>