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44"/>
          <w:highlight w:val="none"/>
          <w:lang w:eastAsia="zh-CN"/>
        </w:rPr>
      </w:pPr>
      <w:bookmarkStart w:id="0" w:name="_第一章__投标须知"/>
      <w:bookmarkEnd w:id="0"/>
      <w:bookmarkStart w:id="1" w:name="_Toc18352"/>
      <w:bookmarkStart w:id="2" w:name="_Toc10653"/>
      <w:bookmarkStart w:id="3" w:name="_Toc8930"/>
      <w:bookmarkStart w:id="4" w:name="_Toc262229159"/>
      <w:bookmarkStart w:id="5" w:name="_Toc29083"/>
      <w:bookmarkStart w:id="6" w:name="_Toc9944"/>
      <w:bookmarkStart w:id="7" w:name="_Toc101777609"/>
      <w:bookmarkStart w:id="8" w:name="_Toc1626"/>
      <w:bookmarkStart w:id="9" w:name="_Toc27070"/>
      <w:bookmarkStart w:id="10" w:name="_Toc22933"/>
    </w:p>
    <w:p>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中金岭南国际贸易中心园林景观及室外工程</w:t>
      </w:r>
    </w:p>
    <w:p>
      <w:pPr>
        <w:spacing w:line="360" w:lineRule="auto"/>
        <w:rPr>
          <w:rFonts w:hint="eastAsia" w:ascii="宋体" w:hAnsi="宋体" w:eastAsia="宋体" w:cs="宋体"/>
          <w:b/>
          <w:bCs/>
          <w:color w:val="auto"/>
          <w:sz w:val="36"/>
          <w:highlight w:val="none"/>
          <w:u w:val="single"/>
        </w:rPr>
      </w:pPr>
    </w:p>
    <w:p>
      <w:pPr>
        <w:spacing w:line="360" w:lineRule="auto"/>
        <w:jc w:val="center"/>
        <w:rPr>
          <w:rFonts w:hint="eastAsia" w:ascii="宋体" w:hAnsi="宋体" w:eastAsia="宋体" w:cs="宋体"/>
          <w:b/>
          <w:bCs/>
          <w:color w:val="auto"/>
          <w:spacing w:val="26"/>
          <w:sz w:val="110"/>
          <w:szCs w:val="110"/>
          <w:highlight w:val="none"/>
        </w:rPr>
      </w:pPr>
    </w:p>
    <w:p>
      <w:pPr>
        <w:pStyle w:val="3"/>
        <w:rPr>
          <w:rFonts w:hint="eastAsia"/>
          <w:highlight w:val="none"/>
        </w:rPr>
      </w:pPr>
    </w:p>
    <w:p>
      <w:pPr>
        <w:spacing w:line="360" w:lineRule="auto"/>
        <w:jc w:val="center"/>
        <w:rPr>
          <w:rFonts w:hint="eastAsia" w:ascii="宋体" w:hAnsi="宋体" w:eastAsia="宋体" w:cs="宋体"/>
          <w:b/>
          <w:bCs/>
          <w:color w:val="auto"/>
          <w:spacing w:val="26"/>
          <w:sz w:val="110"/>
          <w:szCs w:val="110"/>
          <w:highlight w:val="none"/>
          <w:lang w:eastAsia="zh-CN"/>
        </w:rPr>
      </w:pPr>
      <w:r>
        <w:rPr>
          <w:rFonts w:hint="eastAsia" w:ascii="宋体" w:hAnsi="宋体" w:eastAsia="宋体" w:cs="宋体"/>
          <w:b/>
          <w:bCs/>
          <w:color w:val="auto"/>
          <w:spacing w:val="26"/>
          <w:sz w:val="110"/>
          <w:szCs w:val="110"/>
          <w:highlight w:val="none"/>
        </w:rPr>
        <w:t>招标</w:t>
      </w:r>
      <w:r>
        <w:rPr>
          <w:rFonts w:hint="eastAsia" w:ascii="宋体" w:hAnsi="宋体" w:eastAsia="宋体" w:cs="宋体"/>
          <w:b/>
          <w:bCs/>
          <w:color w:val="auto"/>
          <w:spacing w:val="26"/>
          <w:sz w:val="110"/>
          <w:szCs w:val="110"/>
          <w:highlight w:val="none"/>
          <w:lang w:val="en-US" w:eastAsia="zh-CN"/>
        </w:rPr>
        <w:t>文件</w:t>
      </w:r>
    </w:p>
    <w:p>
      <w:pPr>
        <w:spacing w:line="360" w:lineRule="auto"/>
        <w:jc w:val="center"/>
        <w:rPr>
          <w:rFonts w:hint="eastAsia" w:ascii="宋体" w:hAnsi="宋体" w:eastAsia="宋体" w:cs="宋体"/>
          <w:b/>
          <w:bCs/>
          <w:color w:val="auto"/>
          <w:sz w:val="32"/>
          <w:highlight w:val="none"/>
        </w:rPr>
      </w:pPr>
    </w:p>
    <w:p>
      <w:pPr>
        <w:spacing w:line="360" w:lineRule="auto"/>
        <w:jc w:val="center"/>
        <w:rPr>
          <w:rFonts w:hint="eastAsia" w:ascii="宋体" w:hAnsi="宋体" w:eastAsia="宋体" w:cs="宋体"/>
          <w:b/>
          <w:bCs/>
          <w:color w:val="auto"/>
          <w:sz w:val="32"/>
          <w:highlight w:val="none"/>
        </w:rPr>
      </w:pPr>
    </w:p>
    <w:p>
      <w:pPr>
        <w:spacing w:line="360" w:lineRule="auto"/>
        <w:ind w:firstLine="2570" w:firstLineChars="800"/>
        <w:rPr>
          <w:rFonts w:hint="eastAsia" w:ascii="宋体" w:hAnsi="宋体" w:eastAsia="宋体" w:cs="宋体"/>
          <w:b/>
          <w:bCs/>
          <w:color w:val="auto"/>
          <w:sz w:val="32"/>
          <w:highlight w:val="none"/>
        </w:rPr>
      </w:pPr>
    </w:p>
    <w:p>
      <w:pPr>
        <w:spacing w:line="360" w:lineRule="auto"/>
        <w:rPr>
          <w:rFonts w:hint="eastAsia" w:ascii="宋体" w:hAnsi="宋体" w:eastAsia="宋体" w:cs="宋体"/>
          <w:b/>
          <w:bCs/>
          <w:color w:val="auto"/>
          <w:sz w:val="52"/>
          <w:highlight w:val="none"/>
        </w:rPr>
      </w:pPr>
    </w:p>
    <w:p>
      <w:pPr>
        <w:spacing w:line="360" w:lineRule="auto"/>
        <w:rPr>
          <w:rFonts w:hint="eastAsia" w:ascii="宋体" w:hAnsi="宋体" w:eastAsia="宋体" w:cs="宋体"/>
          <w:b/>
          <w:bCs/>
          <w:color w:val="auto"/>
          <w:sz w:val="32"/>
          <w:szCs w:val="32"/>
          <w:highlight w:val="none"/>
        </w:rPr>
      </w:pPr>
    </w:p>
    <w:p>
      <w:pPr>
        <w:spacing w:line="360" w:lineRule="auto"/>
        <w:ind w:firstLine="964" w:firstLineChars="300"/>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rPr>
        <w:t>招标单位：</w:t>
      </w:r>
      <w:r>
        <w:rPr>
          <w:rFonts w:hint="eastAsia" w:ascii="宋体" w:hAnsi="宋体" w:eastAsia="宋体" w:cs="宋体"/>
          <w:b/>
          <w:bCs/>
          <w:sz w:val="32"/>
          <w:szCs w:val="32"/>
          <w:highlight w:val="none"/>
          <w:u w:val="single"/>
          <w:lang w:eastAsia="zh-CN"/>
        </w:rPr>
        <w:t>广州中金国际商贸有限公司</w:t>
      </w:r>
    </w:p>
    <w:p>
      <w:pPr>
        <w:spacing w:line="360" w:lineRule="auto"/>
        <w:jc w:val="center"/>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rPr>
        <w:t>招标代理单位：</w:t>
      </w:r>
      <w:r>
        <w:rPr>
          <w:rFonts w:hint="eastAsia" w:ascii="宋体" w:hAnsi="宋体" w:eastAsia="宋体" w:cs="宋体"/>
          <w:b/>
          <w:bCs/>
          <w:color w:val="auto"/>
          <w:sz w:val="32"/>
          <w:szCs w:val="32"/>
          <w:highlight w:val="none"/>
          <w:u w:val="single"/>
        </w:rPr>
        <w:t>广州筑正工程建设管理有限公司</w:t>
      </w:r>
    </w:p>
    <w:p>
      <w:pPr>
        <w:spacing w:line="360" w:lineRule="auto"/>
        <w:jc w:val="center"/>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rPr>
        <w:t>日期：</w:t>
      </w:r>
      <w:r>
        <w:rPr>
          <w:rFonts w:hint="eastAsia" w:ascii="宋体" w:hAnsi="宋体" w:eastAsia="宋体" w:cs="宋体"/>
          <w:b/>
          <w:bCs/>
          <w:color w:val="auto"/>
          <w:sz w:val="32"/>
          <w:szCs w:val="32"/>
          <w:highlight w:val="none"/>
          <w:u w:val="single"/>
        </w:rPr>
        <w:t>202</w:t>
      </w:r>
      <w:r>
        <w:rPr>
          <w:rFonts w:hint="eastAsia" w:ascii="宋体" w:hAnsi="宋体" w:eastAsia="宋体" w:cs="宋体"/>
          <w:b/>
          <w:bCs/>
          <w:color w:val="auto"/>
          <w:sz w:val="32"/>
          <w:szCs w:val="32"/>
          <w:highlight w:val="none"/>
          <w:u w:val="single"/>
          <w:lang w:val="en-US" w:eastAsia="zh-CN"/>
        </w:rPr>
        <w:t>2</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lang w:val="en-US" w:eastAsia="zh-CN"/>
        </w:rPr>
        <w:t>5</w:t>
      </w:r>
      <w:r>
        <w:rPr>
          <w:rFonts w:hint="eastAsia" w:ascii="宋体" w:hAnsi="宋体" w:eastAsia="宋体" w:cs="宋体"/>
          <w:b/>
          <w:bCs/>
          <w:color w:val="auto"/>
          <w:sz w:val="32"/>
          <w:szCs w:val="32"/>
          <w:highlight w:val="none"/>
        </w:rPr>
        <w:t>月</w:t>
      </w:r>
    </w:p>
    <w:p>
      <w:pPr>
        <w:pStyle w:val="3"/>
        <w:rPr>
          <w:rFonts w:hint="eastAsia" w:ascii="宋体" w:hAnsi="宋体" w:eastAsia="宋体" w:cs="宋体"/>
          <w:highlight w:val="none"/>
        </w:rPr>
        <w:sectPr>
          <w:endnotePr>
            <w:numFmt w:val="decimal"/>
          </w:endnotePr>
          <w:pgSz w:w="11850" w:h="16783"/>
          <w:pgMar w:top="1440" w:right="1080" w:bottom="1440" w:left="1080" w:header="851" w:footer="907" w:gutter="0"/>
          <w:pgNumType w:fmt="decimal" w:start="1"/>
          <w:cols w:space="720" w:num="1"/>
        </w:sectPr>
      </w:pPr>
    </w:p>
    <w:p>
      <w:pPr>
        <w:pStyle w:val="3"/>
        <w:rPr>
          <w:rFonts w:hint="eastAsia" w:ascii="宋体" w:hAnsi="宋体" w:eastAsia="宋体" w:cs="宋体"/>
          <w:highlight w:val="none"/>
        </w:rPr>
      </w:pPr>
      <w:r>
        <w:rPr>
          <w:rFonts w:hint="eastAsia" w:ascii="宋体" w:hAnsi="宋体" w:eastAsia="宋体" w:cs="宋体"/>
          <w:highlight w:val="none"/>
        </w:rPr>
        <w:t>第一章  投标须知</w:t>
      </w:r>
      <w:bookmarkEnd w:id="1"/>
      <w:bookmarkEnd w:id="2"/>
      <w:bookmarkEnd w:id="3"/>
      <w:bookmarkEnd w:id="4"/>
      <w:bookmarkEnd w:id="5"/>
      <w:bookmarkEnd w:id="6"/>
      <w:bookmarkEnd w:id="7"/>
      <w:bookmarkEnd w:id="8"/>
      <w:bookmarkEnd w:id="9"/>
      <w:bookmarkEnd w:id="10"/>
    </w:p>
    <w:p>
      <w:pPr>
        <w:pStyle w:val="4"/>
        <w:spacing w:before="120"/>
        <w:rPr>
          <w:rFonts w:hint="eastAsia" w:ascii="宋体" w:hAnsi="宋体" w:eastAsia="宋体" w:cs="宋体"/>
          <w:highlight w:val="none"/>
        </w:rPr>
      </w:pPr>
      <w:bookmarkStart w:id="11" w:name="_一、投标须知前附表"/>
      <w:bookmarkEnd w:id="11"/>
      <w:bookmarkStart w:id="12" w:name="_Toc101777610"/>
      <w:bookmarkStart w:id="13" w:name="_Toc262229160"/>
      <w:bookmarkStart w:id="14" w:name="_Toc20346"/>
      <w:bookmarkStart w:id="15" w:name="_Toc24826"/>
      <w:bookmarkStart w:id="16" w:name="_Toc22312"/>
      <w:bookmarkStart w:id="17" w:name="_Toc28255"/>
      <w:bookmarkStart w:id="18" w:name="_Toc8328"/>
      <w:bookmarkStart w:id="19" w:name="_Toc4718"/>
      <w:bookmarkStart w:id="20" w:name="_Toc13828"/>
      <w:bookmarkStart w:id="21" w:name="_Toc20881"/>
      <w:r>
        <w:rPr>
          <w:rFonts w:hint="eastAsia" w:ascii="宋体" w:hAnsi="宋体" w:eastAsia="宋体" w:cs="宋体"/>
          <w:highlight w:val="none"/>
        </w:rPr>
        <w:t>一、投标须知前附表</w:t>
      </w:r>
      <w:bookmarkEnd w:id="12"/>
      <w:bookmarkEnd w:id="13"/>
      <w:bookmarkEnd w:id="14"/>
      <w:bookmarkEnd w:id="15"/>
      <w:bookmarkEnd w:id="16"/>
      <w:bookmarkEnd w:id="17"/>
      <w:bookmarkEnd w:id="18"/>
      <w:bookmarkEnd w:id="19"/>
      <w:bookmarkEnd w:id="20"/>
      <w:bookmarkEnd w:id="21"/>
    </w:p>
    <w:p>
      <w:pPr>
        <w:pStyle w:val="5"/>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声明：本投标须知前附表使用GZYLZB2020-1招标文件范本，与范本不同之处均以下划线标明，所有标明下划线部分属于本表的组成部分，同其他部分具有同等效力。对范本《投标须知通用条款》和《开标、评标和定标办法通用条款》可选择部分的选择使用，均已在本表中注明，通用条款可选择部分中未被本投标须知前附表选择的部分无效。</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41"/>
        <w:gridCol w:w="1904"/>
        <w:gridCol w:w="64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blHeader/>
          <w:jc w:val="center"/>
        </w:trPr>
        <w:tc>
          <w:tcPr>
            <w:tcW w:w="457" w:type="dxa"/>
            <w:tcBorders>
              <w:top w:val="doub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项目</w:t>
            </w:r>
          </w:p>
        </w:tc>
        <w:tc>
          <w:tcPr>
            <w:tcW w:w="941" w:type="dxa"/>
            <w:tcBorders>
              <w:top w:val="doub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条款号</w:t>
            </w:r>
          </w:p>
        </w:tc>
        <w:tc>
          <w:tcPr>
            <w:tcW w:w="1904" w:type="dxa"/>
            <w:tcBorders>
              <w:top w:val="doub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内容</w:t>
            </w:r>
          </w:p>
        </w:tc>
        <w:tc>
          <w:tcPr>
            <w:tcW w:w="6466" w:type="dxa"/>
            <w:tcBorders>
              <w:top w:val="double" w:color="auto" w:sz="4" w:space="0"/>
              <w:left w:val="single" w:color="auto" w:sz="4" w:space="0"/>
              <w:bottom w:val="single" w:color="auto" w:sz="4" w:space="0"/>
              <w:right w:val="double" w:color="auto" w:sz="4" w:space="0"/>
            </w:tcBorders>
            <w:noWrap w:val="0"/>
            <w:vAlign w:val="center"/>
          </w:tcPr>
          <w:p>
            <w:pPr>
              <w:pStyle w:val="7"/>
              <w:jc w:val="center"/>
              <w:rPr>
                <w:rFonts w:hint="eastAsia" w:ascii="宋体" w:hAnsi="宋体" w:eastAsia="宋体" w:cs="宋体"/>
                <w:highlight w:val="none"/>
              </w:rPr>
            </w:pPr>
            <w:r>
              <w:rPr>
                <w:rFonts w:hint="eastAsia" w:ascii="宋体" w:hAnsi="宋体" w:eastAsia="宋体" w:cs="宋体"/>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定义</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pStyle w:val="2"/>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招标人（即发包人）：广州中金国际商贸有限公司</w:t>
            </w:r>
          </w:p>
          <w:p>
            <w:pPr>
              <w:pStyle w:val="2"/>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项目建设管理单位：无</w:t>
            </w:r>
          </w:p>
          <w:p>
            <w:pPr>
              <w:pStyle w:val="2"/>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招标代理机构：广州筑正工程建设管理有限公司</w:t>
            </w:r>
          </w:p>
          <w:p>
            <w:pPr>
              <w:pStyle w:val="2"/>
              <w:rPr>
                <w:rFonts w:hint="default" w:ascii="宋体" w:hAnsi="宋体" w:eastAsia="宋体" w:cs="宋体"/>
                <w:highlight w:val="none"/>
                <w:u w:val="single"/>
                <w:lang w:val="en-US" w:eastAsia="zh-CN"/>
              </w:rPr>
            </w:pPr>
            <w:r>
              <w:rPr>
                <w:rFonts w:hint="eastAsia" w:ascii="宋体" w:hAnsi="宋体" w:eastAsia="宋体" w:cs="宋体"/>
                <w:highlight w:val="none"/>
                <w:u w:val="single"/>
                <w:lang w:val="en-US" w:eastAsia="zh-CN"/>
              </w:rPr>
              <w:t>设计单位：</w:t>
            </w:r>
            <w:r>
              <w:rPr>
                <w:rFonts w:hint="eastAsia" w:hAnsi="宋体" w:eastAsia="宋体" w:cs="宋体"/>
                <w:highlight w:val="none"/>
                <w:u w:val="single"/>
                <w:lang w:val="en-US" w:eastAsia="zh-CN"/>
              </w:rPr>
              <w:t>广东大宸建筑设计有限公司</w:t>
            </w:r>
          </w:p>
          <w:p>
            <w:pPr>
              <w:pStyle w:val="2"/>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监理单位：广东建设工程监理有限公司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工程名称</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u w:val="single"/>
                <w:lang w:eastAsia="zh-CN"/>
              </w:rPr>
            </w:pPr>
            <w:r>
              <w:rPr>
                <w:rFonts w:hint="eastAsia" w:ascii="宋体" w:hAnsi="宋体" w:eastAsia="宋体" w:cs="宋体"/>
                <w:highlight w:val="none"/>
                <w:u w:val="single"/>
                <w:lang w:eastAsia="zh-CN"/>
              </w:rPr>
              <w:t>中金岭南国际贸易中心园林景观及室外工程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建设地点</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u w:val="single"/>
              </w:rPr>
            </w:pPr>
            <w:r>
              <w:rPr>
                <w:rFonts w:hint="eastAsia" w:ascii="宋体" w:hAnsi="宋体" w:eastAsia="宋体" w:cs="宋体"/>
                <w:highlight w:val="none"/>
                <w:u w:val="single"/>
              </w:rPr>
              <w:t>南沙灵山岛尖</w:t>
            </w:r>
            <w:r>
              <w:rPr>
                <w:rFonts w:hint="eastAsia" w:ascii="宋体" w:hAnsi="宋体" w:eastAsia="宋体" w:cs="宋体"/>
                <w:highlight w:val="none"/>
                <w:u w:val="single"/>
                <w:lang w:eastAsia="zh-CN"/>
              </w:rPr>
              <w:t>中金岭南国际贸易中心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4</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建设规模</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u w:val="single"/>
              </w:rPr>
            </w:pPr>
            <w:r>
              <w:rPr>
                <w:rFonts w:hint="eastAsia" w:ascii="宋体" w:hAnsi="宋体" w:eastAsia="宋体" w:cs="宋体"/>
                <w:highlight w:val="none"/>
                <w:u w:val="single"/>
              </w:rPr>
              <w:t>主要包括</w:t>
            </w:r>
            <w:r>
              <w:rPr>
                <w:rFonts w:hint="eastAsia" w:ascii="宋体" w:hAnsi="宋体" w:eastAsia="宋体" w:cs="宋体"/>
                <w:highlight w:val="none"/>
                <w:u w:val="single"/>
                <w:lang w:val="en-US" w:eastAsia="zh-CN"/>
              </w:rPr>
              <w:t>园林景观及室外工程施工等内容</w:t>
            </w:r>
            <w:r>
              <w:rPr>
                <w:rFonts w:hint="eastAsia" w:ascii="宋体" w:hAnsi="宋体" w:eastAsia="宋体" w:cs="宋体"/>
                <w:highlight w:val="none"/>
                <w:u w:val="single"/>
              </w:rPr>
              <w:t>（具体以招标图纸及工程量清单为准）。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5</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承包方式</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default" w:eastAsia="楷体_GB2312"/>
                <w:highlight w:val="none"/>
                <w:lang w:val="en-US" w:eastAsia="zh-CN"/>
              </w:rPr>
            </w:pPr>
            <w:r>
              <w:rPr>
                <w:rFonts w:hint="eastAsia" w:ascii="宋体" w:hAnsi="宋体" w:eastAsia="宋体" w:cs="宋体"/>
                <w:highlight w:val="none"/>
                <w:lang w:val="en-US" w:eastAsia="zh-CN"/>
              </w:rPr>
              <w:t xml:space="preserve">包工、包料、包工期、包质量、包安全、包文明施工。综合单价包干、措施费包干。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6</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质量标准</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color w:val="auto"/>
                <w:highlight w:val="none"/>
                <w:u w:val="single"/>
              </w:rPr>
              <w:t>按国家、省、市园林绿化规程、检评标准及相关要求，一次性验收合格。</w:t>
            </w:r>
            <w:r>
              <w:rPr>
                <w:rFonts w:hint="eastAsia" w:ascii="宋体" w:hAnsi="宋体" w:eastAsia="宋体" w:cs="宋体"/>
                <w:highlight w:val="none"/>
                <w:u w:val="single"/>
                <w:lang w:val="en-US" w:eastAsia="zh-CN"/>
              </w:rPr>
              <w:t>工程验收标准需符合海绵城市验收要求。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7</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招标范围</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u w:val="single"/>
              </w:rPr>
              <w:t>主要包括</w:t>
            </w:r>
            <w:r>
              <w:rPr>
                <w:rFonts w:hint="eastAsia" w:ascii="宋体" w:hAnsi="宋体" w:eastAsia="宋体" w:cs="宋体"/>
                <w:highlight w:val="none"/>
                <w:u w:val="single"/>
                <w:lang w:val="en-US" w:eastAsia="zh-CN"/>
              </w:rPr>
              <w:t>园林景观及室外工程施工等内容</w:t>
            </w:r>
            <w:r>
              <w:rPr>
                <w:rFonts w:hint="eastAsia" w:ascii="宋体" w:hAnsi="宋体" w:eastAsia="宋体" w:cs="宋体"/>
                <w:highlight w:val="none"/>
                <w:u w:val="single"/>
              </w:rPr>
              <w:t>（具体以招标图纸及工程量清单为准）。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8</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工期要求</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u w:val="single"/>
                <w:lang w:val="en-US" w:eastAsia="zh-CN"/>
              </w:rPr>
              <w:t>2022</w:t>
            </w:r>
            <w:r>
              <w:rPr>
                <w:rFonts w:hint="eastAsia" w:ascii="宋体" w:hAnsi="宋体" w:eastAsia="宋体" w:cs="宋体"/>
                <w:highlight w:val="none"/>
              </w:rPr>
              <w:t>年</w:t>
            </w:r>
            <w:r>
              <w:rPr>
                <w:rFonts w:hint="eastAsia" w:ascii="宋体" w:hAnsi="宋体" w:eastAsia="宋体" w:cs="宋体"/>
                <w:highlight w:val="none"/>
                <w:u w:val="single"/>
                <w:lang w:val="en-US" w:eastAsia="zh-CN"/>
              </w:rPr>
              <w:t>6</w:t>
            </w:r>
            <w:r>
              <w:rPr>
                <w:rFonts w:hint="eastAsia" w:ascii="宋体" w:hAnsi="宋体" w:eastAsia="宋体" w:cs="宋体"/>
                <w:highlight w:val="none"/>
              </w:rPr>
              <w:t>月</w:t>
            </w:r>
            <w:r>
              <w:rPr>
                <w:rFonts w:hint="eastAsia" w:ascii="宋体" w:hAnsi="宋体" w:eastAsia="宋体" w:cs="宋体"/>
                <w:highlight w:val="none"/>
                <w:u w:val="single"/>
                <w:lang w:val="en-US" w:eastAsia="zh-CN"/>
              </w:rPr>
              <w:t>20</w:t>
            </w:r>
            <w:r>
              <w:rPr>
                <w:rFonts w:hint="eastAsia" w:ascii="宋体" w:hAnsi="宋体" w:eastAsia="宋体" w:cs="宋体"/>
                <w:highlight w:val="none"/>
              </w:rPr>
              <w:t>日计划开工，施工总工期：</w:t>
            </w:r>
            <w:r>
              <w:rPr>
                <w:rFonts w:hint="eastAsia" w:ascii="宋体" w:hAnsi="宋体" w:eastAsia="宋体" w:cs="宋体"/>
                <w:highlight w:val="none"/>
                <w:u w:val="single"/>
                <w:lang w:val="en-US" w:eastAsia="zh-CN"/>
              </w:rPr>
              <w:t>90</w:t>
            </w:r>
            <w:r>
              <w:rPr>
                <w:rFonts w:hint="eastAsia" w:ascii="宋体" w:hAnsi="宋体" w:eastAsia="宋体" w:cs="宋体"/>
                <w:highlight w:val="none"/>
              </w:rPr>
              <w:t xml:space="preserve">日历天。                          </w:t>
            </w:r>
            <w:r>
              <w:rPr>
                <w:rFonts w:hint="eastAsia" w:ascii="宋体" w:hAnsi="宋体" w:eastAsia="宋体" w:cs="宋体"/>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9</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资金来源</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sz w:val="21"/>
                <w:szCs w:val="21"/>
                <w:highlight w:val="none"/>
                <w:u w:val="single"/>
              </w:rPr>
              <w:t>企业自筹资金。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10</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投标人资格条件</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11</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资格审查方式</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电子化资格后审。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12</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13.1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报价以及单价和总价计算方式</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工程量清单计价，按国家、省有关计价规范执行。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13</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15.1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投标有效期</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u w:val="single"/>
              </w:rPr>
            </w:pPr>
            <w:r>
              <w:rPr>
                <w:rFonts w:hint="eastAsia" w:ascii="宋体" w:hAnsi="宋体" w:eastAsia="宋体" w:cs="宋体"/>
                <w:highlight w:val="none"/>
                <w:u w:val="single"/>
                <w:lang w:val="en-US" w:eastAsia="zh-CN"/>
              </w:rPr>
              <w:t>90</w:t>
            </w:r>
            <w:r>
              <w:rPr>
                <w:rFonts w:hint="eastAsia" w:ascii="宋体" w:hAnsi="宋体" w:eastAsia="宋体" w:cs="宋体"/>
                <w:highlight w:val="none"/>
              </w:rPr>
              <w:t>日历天（从递交投标文件截止之日计起）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14</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16.1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投标保证金</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strike/>
                <w:dstrike w:val="0"/>
                <w:szCs w:val="21"/>
                <w:highlight w:val="none"/>
              </w:rPr>
            </w:pPr>
            <w:r>
              <w:rPr>
                <w:rFonts w:hint="eastAsia" w:ascii="宋体" w:hAnsi="宋体" w:eastAsia="宋体" w:cs="宋体"/>
                <w:strike/>
                <w:dstrike w:val="0"/>
                <w:szCs w:val="21"/>
                <w:highlight w:val="none"/>
              </w:rPr>
              <w:sym w:font="Wingdings 2" w:char="00A3"/>
            </w:r>
            <w:r>
              <w:rPr>
                <w:rFonts w:hint="eastAsia" w:ascii="宋体" w:hAnsi="宋体" w:eastAsia="宋体" w:cs="宋体"/>
                <w:strike/>
                <w:dstrike w:val="0"/>
                <w:szCs w:val="21"/>
                <w:highlight w:val="none"/>
              </w:rPr>
              <w:t>方式一：不要求投标人递交投标保证金。</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sym w:font="Wingdings 2" w:char="00A3"/>
            </w:r>
            <w:r>
              <w:rPr>
                <w:rFonts w:hint="eastAsia" w:ascii="宋体" w:hAnsi="宋体" w:eastAsia="宋体" w:cs="宋体"/>
                <w:szCs w:val="21"/>
                <w:highlight w:val="none"/>
              </w:rPr>
              <w:t>方式二：要求投标人递交投标保证金，具体要求如下：</w:t>
            </w:r>
          </w:p>
          <w:p>
            <w:pPr>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1.投标保证金数额：</w:t>
            </w:r>
            <w:r>
              <w:rPr>
                <w:rFonts w:hint="eastAsia" w:ascii="宋体" w:hAnsi="宋体" w:eastAsia="宋体" w:cs="宋体"/>
                <w:szCs w:val="21"/>
                <w:highlight w:val="none"/>
                <w:u w:val="single"/>
                <w:lang w:val="en-US" w:eastAsia="zh-CN"/>
              </w:rPr>
              <w:t>5</w:t>
            </w:r>
            <w:r>
              <w:rPr>
                <w:rFonts w:hint="eastAsia" w:ascii="宋体" w:hAnsi="宋体" w:eastAsia="宋体" w:cs="宋体"/>
                <w:szCs w:val="21"/>
                <w:highlight w:val="none"/>
              </w:rPr>
              <w:t>万元。</w:t>
            </w:r>
          </w:p>
          <w:p>
            <w:pPr>
              <w:ind w:left="1050" w:leftChars="400" w:hanging="210" w:hangingChars="100"/>
              <w:rPr>
                <w:rFonts w:hint="eastAsia" w:ascii="宋体" w:hAnsi="宋体" w:eastAsia="宋体" w:cs="宋体"/>
                <w:szCs w:val="21"/>
                <w:highlight w:val="none"/>
              </w:rPr>
            </w:pPr>
            <w:r>
              <w:rPr>
                <w:rFonts w:hint="eastAsia" w:ascii="宋体" w:hAnsi="宋体" w:eastAsia="宋体" w:cs="宋体"/>
                <w:szCs w:val="21"/>
                <w:highlight w:val="none"/>
              </w:rPr>
              <w:t>2.投标保证金的形式：投标保证金可采用</w:t>
            </w:r>
            <w:r>
              <w:rPr>
                <w:rFonts w:hint="eastAsia" w:ascii="宋体" w:hAnsi="宋体" w:eastAsia="宋体" w:cs="宋体"/>
                <w:szCs w:val="21"/>
                <w:highlight w:val="none"/>
                <w:u w:val="single"/>
              </w:rPr>
              <w:t>投标保函、转账、现金、支票、汇票、投标保证保险</w:t>
            </w:r>
            <w:r>
              <w:rPr>
                <w:rFonts w:hint="eastAsia" w:ascii="宋体" w:hAnsi="宋体" w:eastAsia="宋体" w:cs="宋体"/>
                <w:szCs w:val="21"/>
                <w:highlight w:val="none"/>
              </w:rPr>
              <w:t>形式，须在递交投标文件截止时间前完成缴纳。</w:t>
            </w:r>
          </w:p>
          <w:p>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pStyle w:val="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如采用投标保函或投标保证保险的形式提交的，在开标前不强制要求投标人提交纸质原件，由中标候选人在中标候选人公示前提交并在网上公示，投标人应在投标文件中提交投标保函或投标保证保险扫描件并加盖投标人电子印章。如投标人选择在开标前提交纸质原件的，可在投标截止时间前单独密封递交至开标室（时间及地点同递交投标文件的时间及地点）。</w:t>
            </w:r>
          </w:p>
          <w:p>
            <w:pPr>
              <w:pStyle w:val="2"/>
              <w:rPr>
                <w:rFonts w:hint="eastAsia" w:ascii="宋体" w:hAnsi="宋体" w:eastAsia="宋体" w:cs="宋体"/>
                <w:color w:val="auto"/>
                <w:szCs w:val="21"/>
                <w:highlight w:val="none"/>
                <w:u w:val="single"/>
              </w:rPr>
            </w:pPr>
          </w:p>
          <w:p>
            <w:pPr>
              <w:ind w:left="840" w:hanging="840" w:hangingChars="400"/>
              <w:rPr>
                <w:rFonts w:hint="eastAsia" w:ascii="宋体" w:hAnsi="宋体" w:eastAsia="宋体" w:cs="宋体"/>
                <w:szCs w:val="21"/>
                <w:highlight w:val="none"/>
              </w:rPr>
            </w:pPr>
            <w:r>
              <w:rPr>
                <w:rFonts w:hint="eastAsia" w:ascii="宋体" w:hAnsi="宋体" w:eastAsia="宋体" w:cs="宋体"/>
                <w:strike/>
                <w:dstrike w:val="0"/>
                <w:szCs w:val="21"/>
                <w:highlight w:val="none"/>
              </w:rPr>
              <w:sym w:font="Wingdings 2" w:char="00A3"/>
            </w:r>
            <w:r>
              <w:rPr>
                <w:rFonts w:hint="eastAsia" w:ascii="宋体" w:hAnsi="宋体" w:eastAsia="宋体" w:cs="宋体"/>
                <w:strike/>
                <w:dstrike w:val="0"/>
                <w:szCs w:val="21"/>
                <w:highlight w:val="none"/>
              </w:rPr>
              <w:t>方式三：</w:t>
            </w:r>
            <w:r>
              <w:rPr>
                <w:rFonts w:hint="eastAsia" w:ascii="宋体" w:hAnsi="宋体" w:eastAsia="宋体" w:cs="宋体"/>
                <w:strike/>
                <w:dstrike w:val="0"/>
                <w:szCs w:val="21"/>
                <w:highlight w:val="none"/>
                <w:u w:val="single"/>
              </w:rPr>
              <w:t>招标人自定的其它方式（招标人不得限定投标保证金只能以现金形式提交）</w:t>
            </w:r>
            <w:r>
              <w:rPr>
                <w:rFonts w:hint="eastAsia" w:ascii="宋体" w:hAnsi="宋体" w:eastAsia="宋体" w:cs="宋体"/>
                <w:strike/>
                <w:dstrike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15</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7.5</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领取招标文件及图纸</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pStyle w:val="7"/>
              <w:rPr>
                <w:rFonts w:hint="eastAsia" w:ascii="宋体" w:hAnsi="宋体" w:eastAsia="宋体" w:cs="宋体"/>
                <w:highlight w:val="none"/>
                <w:u w:val="single"/>
              </w:rPr>
            </w:pPr>
            <w:r>
              <w:rPr>
                <w:rFonts w:hint="eastAsia" w:ascii="宋体" w:hAnsi="宋体" w:eastAsia="宋体" w:cs="宋体"/>
                <w:highlight w:val="none"/>
              </w:rPr>
              <w:t>由投标人自行在广州公共资源交易中心网站下载。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16</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5.1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踏勘现场</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时间：自</w:t>
            </w:r>
            <w:r>
              <w:rPr>
                <w:rFonts w:hint="eastAsia" w:ascii="宋体" w:hAnsi="宋体" w:eastAsia="宋体" w:cs="宋体"/>
                <w:color w:val="auto"/>
                <w:highlight w:val="none"/>
                <w:u w:val="single"/>
              </w:rPr>
              <w:t>公告发布之日</w:t>
            </w:r>
            <w:r>
              <w:rPr>
                <w:rFonts w:hint="eastAsia" w:ascii="宋体" w:hAnsi="宋体" w:eastAsia="宋体" w:cs="宋体"/>
                <w:highlight w:val="none"/>
              </w:rPr>
              <w:t>起具备现场踏勘条件；</w:t>
            </w:r>
          </w:p>
          <w:p>
            <w:pPr>
              <w:rPr>
                <w:rFonts w:hint="eastAsia" w:ascii="宋体" w:hAnsi="宋体" w:eastAsia="宋体" w:cs="宋体"/>
                <w:highlight w:val="none"/>
              </w:rPr>
            </w:pPr>
            <w:r>
              <w:rPr>
                <w:rFonts w:hint="eastAsia" w:ascii="宋体" w:hAnsi="宋体" w:eastAsia="宋体" w:cs="宋体"/>
                <w:highlight w:val="none"/>
              </w:rPr>
              <w:t>方式：招标人不集中组织，由投标人自行踏勘；</w:t>
            </w:r>
          </w:p>
          <w:p>
            <w:pPr>
              <w:pStyle w:val="7"/>
              <w:rPr>
                <w:rFonts w:hint="eastAsia" w:ascii="宋体" w:hAnsi="宋体" w:eastAsia="宋体" w:cs="宋体"/>
                <w:highlight w:val="none"/>
              </w:rPr>
            </w:pPr>
            <w:r>
              <w:rPr>
                <w:rFonts w:hint="eastAsia" w:ascii="宋体" w:hAnsi="宋体" w:eastAsia="宋体" w:cs="宋体"/>
                <w:highlight w:val="none"/>
              </w:rPr>
              <w:t>现场详细地点：</w:t>
            </w:r>
            <w:r>
              <w:rPr>
                <w:rFonts w:hint="eastAsia" w:ascii="宋体" w:hAnsi="宋体" w:eastAsia="宋体" w:cs="宋体"/>
                <w:highlight w:val="none"/>
                <w:u w:val="single"/>
              </w:rPr>
              <w:t>南沙灵山岛尖</w:t>
            </w:r>
            <w:r>
              <w:rPr>
                <w:rFonts w:hint="eastAsia" w:ascii="宋体" w:hAnsi="宋体" w:eastAsia="宋体" w:cs="宋体"/>
                <w:highlight w:val="none"/>
                <w:u w:val="single"/>
                <w:lang w:eastAsia="zh-CN"/>
              </w:rPr>
              <w:t>中金岭南国际贸易</w:t>
            </w:r>
            <w:r>
              <w:rPr>
                <w:rFonts w:hint="eastAsia" w:ascii="宋体" w:hAnsi="宋体" w:eastAsia="宋体" w:cs="宋体"/>
                <w:color w:val="auto"/>
                <w:sz w:val="21"/>
                <w:szCs w:val="21"/>
                <w:highlight w:val="none"/>
                <w:u w:val="single"/>
                <w:lang w:eastAsia="zh-CN"/>
              </w:rPr>
              <w:t>中心</w:t>
            </w:r>
            <w:r>
              <w:rPr>
                <w:rFonts w:hint="eastAsia" w:ascii="宋体" w:hAnsi="宋体" w:eastAsia="宋体" w:cs="宋体"/>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17</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8.1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招标答疑与澄清</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1.方式：网上答疑</w:t>
            </w:r>
          </w:p>
          <w:p>
            <w:pPr>
              <w:rPr>
                <w:rFonts w:hint="eastAsia" w:ascii="宋体" w:hAnsi="宋体" w:eastAsia="宋体" w:cs="宋体"/>
                <w:highlight w:val="none"/>
              </w:rPr>
            </w:pPr>
            <w:r>
              <w:rPr>
                <w:rFonts w:hint="eastAsia" w:ascii="宋体" w:hAnsi="宋体" w:eastAsia="宋体" w:cs="宋体"/>
                <w:highlight w:val="none"/>
              </w:rPr>
              <w:t>2.投标人提问期限：自招标公告发布之日起3天内</w:t>
            </w:r>
          </w:p>
          <w:p>
            <w:pPr>
              <w:rPr>
                <w:rFonts w:hint="eastAsia" w:ascii="宋体" w:hAnsi="宋体" w:eastAsia="宋体" w:cs="宋体"/>
                <w:highlight w:val="none"/>
              </w:rPr>
            </w:pPr>
            <w:r>
              <w:rPr>
                <w:rFonts w:hint="eastAsia" w:ascii="宋体" w:hAnsi="宋体" w:eastAsia="宋体" w:cs="宋体"/>
                <w:highlight w:val="none"/>
              </w:rPr>
              <w:t>3.招标人澄清、修补或答疑期限：在递交投标文件截止日期前</w:t>
            </w:r>
            <w:r>
              <w:rPr>
                <w:rFonts w:hint="eastAsia" w:ascii="宋体" w:hAnsi="宋体" w:eastAsia="宋体" w:cs="宋体"/>
                <w:highlight w:val="none"/>
                <w:u w:val="single"/>
              </w:rPr>
              <w:t>15</w:t>
            </w:r>
            <w:r>
              <w:rPr>
                <w:rFonts w:hint="eastAsia" w:ascii="宋体" w:hAnsi="宋体" w:eastAsia="宋体" w:cs="宋体"/>
                <w:highlight w:val="none"/>
              </w:rPr>
              <w:t>日</w:t>
            </w:r>
          </w:p>
          <w:p>
            <w:pPr>
              <w:rPr>
                <w:rFonts w:hint="eastAsia" w:ascii="宋体" w:hAnsi="宋体" w:eastAsia="宋体" w:cs="宋体"/>
                <w:szCs w:val="21"/>
                <w:highlight w:val="none"/>
              </w:rPr>
            </w:pPr>
            <w:r>
              <w:rPr>
                <w:rFonts w:hint="eastAsia" w:ascii="宋体" w:hAnsi="宋体" w:eastAsia="宋体" w:cs="宋体"/>
                <w:highlight w:val="none"/>
              </w:rPr>
              <w:t>4.网上答疑的相关事项详见招标文件8.1款。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18</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投标文件的组成</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投标文件由资格审查部分和技术经济部分两部分组成。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19</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17.1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投标文件编制要求</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投标文件为含电子签名及电子签章的加密电子投标文件1套。</w:t>
            </w:r>
          </w:p>
          <w:p>
            <w:pPr>
              <w:rPr>
                <w:rFonts w:hint="eastAsia" w:ascii="宋体" w:hAnsi="宋体" w:eastAsia="宋体" w:cs="宋体"/>
                <w:highlight w:val="none"/>
              </w:rPr>
            </w:pPr>
            <w:r>
              <w:rPr>
                <w:rFonts w:hint="eastAsia" w:ascii="宋体" w:hAnsi="宋体" w:eastAsia="宋体" w:cs="宋体"/>
                <w:highlight w:val="none"/>
              </w:rPr>
              <w:t>技术部分</w:t>
            </w:r>
            <w:r>
              <w:rPr>
                <w:rFonts w:hint="eastAsia" w:ascii="宋体" w:hAnsi="宋体" w:eastAsia="宋体" w:cs="宋体"/>
                <w:highlight w:val="none"/>
                <w:lang w:eastAsia="zh-CN"/>
              </w:rPr>
              <w:t>（</w:t>
            </w:r>
            <w:r>
              <w:rPr>
                <w:rFonts w:hint="eastAsia" w:ascii="宋体" w:hAnsi="宋体" w:eastAsia="宋体" w:cs="宋体"/>
                <w:highlight w:val="none"/>
              </w:rPr>
              <w:t>施工组织方案</w:t>
            </w:r>
            <w:r>
              <w:rPr>
                <w:rFonts w:hint="eastAsia" w:ascii="宋体" w:hAnsi="宋体" w:eastAsia="宋体" w:cs="宋体"/>
                <w:highlight w:val="none"/>
                <w:lang w:eastAsia="zh-CN"/>
              </w:rPr>
              <w:t>）</w:t>
            </w:r>
            <w:r>
              <w:rPr>
                <w:rFonts w:hint="eastAsia" w:ascii="宋体" w:hAnsi="宋体" w:eastAsia="宋体" w:cs="宋体"/>
                <w:highlight w:val="none"/>
              </w:rPr>
              <w:t>文件页数最多不超过</w:t>
            </w:r>
            <w:r>
              <w:rPr>
                <w:rFonts w:hint="eastAsia" w:ascii="宋体" w:hAnsi="宋体" w:eastAsia="宋体" w:cs="宋体"/>
                <w:highlight w:val="none"/>
                <w:u w:val="single"/>
                <w:lang w:val="en-US" w:eastAsia="zh-CN"/>
              </w:rPr>
              <w:t>50</w:t>
            </w:r>
            <w:r>
              <w:rPr>
                <w:rFonts w:hint="eastAsia" w:ascii="宋体" w:hAnsi="宋体" w:eastAsia="宋体" w:cs="宋体"/>
                <w:highlight w:val="none"/>
              </w:rPr>
              <w:t>页（</w:t>
            </w:r>
            <w:r>
              <w:rPr>
                <w:rFonts w:hint="eastAsia" w:ascii="宋体" w:hAnsi="宋体" w:eastAsia="宋体" w:cs="宋体"/>
                <w:highlight w:val="none"/>
                <w:u w:val="single"/>
              </w:rPr>
              <w:t>50</w:t>
            </w:r>
            <w:r>
              <w:rPr>
                <w:rFonts w:hint="eastAsia" w:ascii="宋体" w:hAnsi="宋体" w:eastAsia="宋体" w:cs="宋体"/>
                <w:highlight w:val="none"/>
              </w:rPr>
              <w:t>页，不包括封面及目录页）。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20</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19.1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递交投标文件的时间和地点</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1.递交方式：网上递交投标文件。</w:t>
            </w:r>
          </w:p>
          <w:p>
            <w:pPr>
              <w:rPr>
                <w:rFonts w:hint="eastAsia" w:ascii="宋体" w:hAnsi="宋体" w:eastAsia="宋体" w:cs="宋体"/>
                <w:highlight w:val="none"/>
              </w:rPr>
            </w:pPr>
            <w:r>
              <w:rPr>
                <w:rFonts w:hint="eastAsia" w:ascii="宋体" w:hAnsi="宋体" w:eastAsia="宋体" w:cs="宋体"/>
                <w:highlight w:val="none"/>
              </w:rPr>
              <w:t>2.递交投标文件截止时间：</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r>
              <w:rPr>
                <w:rFonts w:hint="eastAsia" w:ascii="宋体" w:hAnsi="宋体" w:eastAsia="宋体" w:cs="宋体"/>
                <w:highlight w:val="none"/>
                <w:u w:val="single"/>
              </w:rPr>
              <w:t xml:space="preserve">   </w:t>
            </w:r>
            <w:r>
              <w:rPr>
                <w:rFonts w:hint="eastAsia" w:ascii="宋体" w:hAnsi="宋体" w:eastAsia="宋体" w:cs="宋体"/>
                <w:highlight w:val="none"/>
              </w:rPr>
              <w:t>时</w:t>
            </w:r>
            <w:r>
              <w:rPr>
                <w:rFonts w:hint="eastAsia" w:ascii="宋体" w:hAnsi="宋体" w:eastAsia="宋体" w:cs="宋体"/>
                <w:highlight w:val="none"/>
                <w:u w:val="single"/>
              </w:rPr>
              <w:t xml:space="preserve">   </w:t>
            </w:r>
            <w:r>
              <w:rPr>
                <w:rFonts w:hint="eastAsia" w:ascii="宋体" w:hAnsi="宋体" w:eastAsia="宋体" w:cs="宋体"/>
                <w:highlight w:val="none"/>
              </w:rPr>
              <w:t>分。</w:t>
            </w:r>
          </w:p>
          <w:p>
            <w:pPr>
              <w:rPr>
                <w:rFonts w:hint="eastAsia" w:ascii="宋体" w:hAnsi="宋体" w:eastAsia="宋体" w:cs="宋体"/>
                <w:highlight w:val="none"/>
              </w:rPr>
            </w:pPr>
            <w:r>
              <w:rPr>
                <w:rFonts w:hint="eastAsia" w:ascii="宋体" w:hAnsi="宋体" w:eastAsia="宋体" w:cs="宋体"/>
                <w:highlight w:val="none"/>
              </w:rPr>
              <w:t>2.地点：广州公共资源交易中心网站。</w:t>
            </w:r>
          </w:p>
          <w:p>
            <w:pPr>
              <w:rPr>
                <w:rFonts w:hint="eastAsia" w:ascii="宋体" w:hAnsi="宋体" w:eastAsia="宋体" w:cs="宋体"/>
                <w:highlight w:val="none"/>
                <w:u w:val="single"/>
              </w:rPr>
            </w:pPr>
            <w:r>
              <w:rPr>
                <w:rFonts w:hint="eastAsia" w:ascii="宋体" w:hAnsi="宋体" w:eastAsia="宋体" w:cs="宋体"/>
                <w:highlight w:val="none"/>
              </w:rPr>
              <w:t>3.上述时间及地点是否有改变，请密切留意招标答疑纪要的相关信息。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21</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开标时间和地点</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1.开标时间：</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r>
              <w:rPr>
                <w:rFonts w:hint="eastAsia" w:ascii="宋体" w:hAnsi="宋体" w:eastAsia="宋体" w:cs="宋体"/>
                <w:highlight w:val="none"/>
                <w:u w:val="single"/>
              </w:rPr>
              <w:t xml:space="preserve">   </w:t>
            </w:r>
            <w:r>
              <w:rPr>
                <w:rFonts w:hint="eastAsia" w:ascii="宋体" w:hAnsi="宋体" w:eastAsia="宋体" w:cs="宋体"/>
                <w:highlight w:val="none"/>
              </w:rPr>
              <w:t>时</w:t>
            </w:r>
            <w:r>
              <w:rPr>
                <w:rFonts w:hint="eastAsia" w:ascii="宋体" w:hAnsi="宋体" w:eastAsia="宋体" w:cs="宋体"/>
                <w:highlight w:val="none"/>
                <w:u w:val="single"/>
              </w:rPr>
              <w:t xml:space="preserve">  </w:t>
            </w:r>
            <w:r>
              <w:rPr>
                <w:rFonts w:hint="eastAsia" w:ascii="宋体" w:hAnsi="宋体" w:eastAsia="宋体" w:cs="宋体"/>
                <w:highlight w:val="none"/>
              </w:rPr>
              <w:t>分。</w:t>
            </w:r>
          </w:p>
          <w:p>
            <w:pPr>
              <w:rPr>
                <w:rFonts w:hint="eastAsia" w:ascii="宋体" w:hAnsi="宋体" w:eastAsia="宋体" w:cs="宋体"/>
                <w:highlight w:val="none"/>
              </w:rPr>
            </w:pPr>
            <w:r>
              <w:rPr>
                <w:rFonts w:hint="eastAsia" w:ascii="宋体" w:hAnsi="宋体" w:eastAsia="宋体" w:cs="宋体"/>
                <w:highlight w:val="none"/>
              </w:rPr>
              <w:t>2.地点：广州公共资源交易中心</w:t>
            </w:r>
            <w:r>
              <w:rPr>
                <w:rFonts w:hint="eastAsia" w:ascii="宋体" w:hAnsi="宋体" w:eastAsia="宋体" w:cs="宋体"/>
                <w:highlight w:val="none"/>
                <w:u w:val="single"/>
              </w:rPr>
              <w:t xml:space="preserve">    </w:t>
            </w:r>
            <w:r>
              <w:rPr>
                <w:rFonts w:hint="eastAsia" w:ascii="宋体" w:hAnsi="宋体" w:eastAsia="宋体" w:cs="宋体"/>
                <w:highlight w:val="none"/>
              </w:rPr>
              <w:t>室。</w:t>
            </w:r>
          </w:p>
          <w:p>
            <w:pPr>
              <w:rPr>
                <w:rFonts w:hint="eastAsia" w:ascii="宋体" w:hAnsi="宋体" w:eastAsia="宋体" w:cs="宋体"/>
                <w:highlight w:val="none"/>
              </w:rPr>
            </w:pPr>
            <w:r>
              <w:rPr>
                <w:rFonts w:hint="eastAsia" w:ascii="宋体" w:hAnsi="宋体" w:eastAsia="宋体" w:cs="宋体"/>
                <w:highlight w:val="none"/>
              </w:rPr>
              <w:t>3.递交投标文件截止时间与开标时间应为同一时间。</w:t>
            </w:r>
          </w:p>
          <w:p>
            <w:pPr>
              <w:rPr>
                <w:rFonts w:hint="eastAsia" w:ascii="宋体" w:hAnsi="宋体" w:eastAsia="宋体" w:cs="宋体"/>
                <w:highlight w:val="none"/>
              </w:rPr>
            </w:pPr>
            <w:r>
              <w:rPr>
                <w:rFonts w:hint="eastAsia" w:ascii="宋体" w:hAnsi="宋体" w:eastAsia="宋体" w:cs="宋体"/>
                <w:highlight w:val="none"/>
              </w:rPr>
              <w:t>4.上述时间及地点是否有改变，请密切留意招标答疑纪要的相关信息。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22</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评标办法</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pStyle w:val="9"/>
              <w:spacing w:after="0"/>
              <w:ind w:firstLine="0"/>
              <w:rPr>
                <w:rFonts w:hint="eastAsia" w:ascii="宋体" w:hAnsi="宋体" w:eastAsia="宋体" w:cs="宋体"/>
                <w:strike/>
                <w:dstrike w:val="0"/>
                <w:highlight w:val="none"/>
              </w:rPr>
            </w:pPr>
            <w:r>
              <w:rPr>
                <w:rFonts w:hint="eastAsia" w:ascii="宋体" w:hAnsi="宋体" w:eastAsia="宋体" w:cs="宋体"/>
                <w:strike/>
                <w:dstrike w:val="0"/>
                <w:highlight w:val="none"/>
              </w:rPr>
              <w:sym w:font="Wingdings 2" w:char="00A3"/>
            </w:r>
            <w:r>
              <w:rPr>
                <w:rFonts w:hint="eastAsia" w:ascii="宋体" w:hAnsi="宋体" w:eastAsia="宋体" w:cs="宋体"/>
                <w:strike/>
                <w:dstrike w:val="0"/>
                <w:highlight w:val="none"/>
              </w:rPr>
              <w:t>可选办法一 两阶段评标法</w:t>
            </w:r>
          </w:p>
          <w:p>
            <w:pPr>
              <w:pStyle w:val="9"/>
              <w:spacing w:after="0"/>
              <w:ind w:firstLine="0"/>
              <w:rPr>
                <w:rFonts w:hint="eastAsia" w:ascii="宋体" w:hAnsi="宋体" w:eastAsia="宋体" w:cs="宋体"/>
                <w:sz w:val="24"/>
                <w:szCs w:val="24"/>
                <w:highlight w:val="none"/>
                <w:u w:val="single"/>
              </w:rPr>
            </w:pPr>
            <w:r>
              <w:rPr>
                <w:rFonts w:hint="eastAsia" w:ascii="宋体" w:hAnsi="宋体" w:eastAsia="宋体" w:cs="宋体"/>
                <w:strike w:val="0"/>
                <w:dstrike w:val="0"/>
                <w:highlight w:val="none"/>
              </w:rPr>
              <w:sym w:font="Wingdings 2" w:char="00A3"/>
            </w:r>
            <w:r>
              <w:rPr>
                <w:rFonts w:hint="eastAsia" w:ascii="宋体" w:hAnsi="宋体" w:eastAsia="宋体" w:cs="宋体"/>
                <w:strike w:val="0"/>
                <w:dstrike w:val="0"/>
                <w:highlight w:val="none"/>
              </w:rPr>
              <w:t>可选办法二 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23</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2"/>
                <w:highlight w:val="none"/>
              </w:rPr>
            </w:pPr>
            <w:r>
              <w:rPr>
                <w:rFonts w:hint="eastAsia" w:ascii="宋体" w:hAnsi="宋体" w:eastAsia="宋体" w:cs="宋体"/>
                <w:szCs w:val="22"/>
                <w:highlight w:val="none"/>
              </w:rPr>
              <w:t>评标委员会推荐中标候选人的人数</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szCs w:val="22"/>
                <w:highlight w:val="none"/>
              </w:rPr>
            </w:pPr>
            <w:r>
              <w:rPr>
                <w:rFonts w:hint="eastAsia" w:ascii="宋体" w:hAnsi="宋体" w:eastAsia="宋体" w:cs="宋体"/>
                <w:szCs w:val="22"/>
                <w:highlight w:val="none"/>
                <w:lang w:eastAsia="zh-CN"/>
              </w:rPr>
              <w:t>☑</w:t>
            </w:r>
            <w:r>
              <w:rPr>
                <w:rFonts w:hint="eastAsia" w:ascii="宋体" w:hAnsi="宋体" w:eastAsia="宋体" w:cs="宋体"/>
                <w:szCs w:val="22"/>
                <w:highlight w:val="none"/>
              </w:rPr>
              <w:t>不采用评定分离，中标候选人</w:t>
            </w:r>
            <w:r>
              <w:rPr>
                <w:rFonts w:hint="eastAsia" w:ascii="宋体" w:hAnsi="宋体" w:eastAsia="宋体" w:cs="宋体"/>
                <w:szCs w:val="22"/>
                <w:highlight w:val="none"/>
                <w:u w:val="single"/>
                <w:lang w:val="en-US" w:eastAsia="zh-CN"/>
              </w:rPr>
              <w:t>3</w:t>
            </w:r>
            <w:r>
              <w:rPr>
                <w:rFonts w:hint="eastAsia" w:ascii="宋体" w:hAnsi="宋体" w:eastAsia="宋体" w:cs="宋体"/>
                <w:szCs w:val="22"/>
                <w:highlight w:val="none"/>
              </w:rPr>
              <w:t>名（不超过3名）</w:t>
            </w:r>
          </w:p>
          <w:p>
            <w:pPr>
              <w:rPr>
                <w:rFonts w:hint="eastAsia" w:ascii="宋体" w:hAnsi="宋体" w:eastAsia="宋体" w:cs="宋体"/>
                <w:szCs w:val="22"/>
                <w:highlight w:val="none"/>
              </w:rPr>
            </w:pPr>
            <w:r>
              <w:rPr>
                <w:rFonts w:hint="eastAsia" w:ascii="宋体" w:hAnsi="宋体" w:eastAsia="宋体" w:cs="宋体"/>
                <w:strike/>
                <w:dstrike w:val="0"/>
                <w:szCs w:val="22"/>
                <w:highlight w:val="none"/>
              </w:rPr>
              <w:t>□采用评定分离，中标候选人</w:t>
            </w:r>
            <w:r>
              <w:rPr>
                <w:rFonts w:hint="eastAsia" w:ascii="宋体" w:hAnsi="宋体" w:eastAsia="宋体" w:cs="宋体"/>
                <w:strike/>
                <w:dstrike w:val="0"/>
                <w:szCs w:val="22"/>
                <w:highlight w:val="none"/>
                <w:u w:val="single"/>
              </w:rPr>
              <w:t xml:space="preserve">    </w:t>
            </w:r>
            <w:r>
              <w:rPr>
                <w:rFonts w:hint="eastAsia" w:ascii="宋体" w:hAnsi="宋体" w:eastAsia="宋体" w:cs="宋体"/>
                <w:strike/>
                <w:dstrike w:val="0"/>
                <w:szCs w:val="22"/>
                <w:highlight w:val="none"/>
              </w:rPr>
              <w:t>名（建议3-5名）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24</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vertAlign w:val="superscript"/>
              </w:rPr>
            </w:pPr>
            <w:r>
              <w:rPr>
                <w:rFonts w:hint="eastAsia" w:ascii="宋体" w:hAnsi="宋体" w:eastAsia="宋体" w:cs="宋体"/>
                <w:highlight w:val="none"/>
              </w:rPr>
              <w:t>最高投标限价</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本项目最高投标限价为人民币</w:t>
            </w:r>
            <w:r>
              <w:rPr>
                <w:rFonts w:hint="eastAsia" w:ascii="宋体" w:hAnsi="宋体" w:eastAsia="宋体" w:cs="宋体"/>
                <w:szCs w:val="21"/>
                <w:highlight w:val="none"/>
                <w:u w:val="single"/>
                <w:lang w:val="en-US" w:eastAsia="zh-CN"/>
              </w:rPr>
              <w:t>11859083.69</w:t>
            </w:r>
            <w:r>
              <w:rPr>
                <w:rFonts w:hint="eastAsia" w:ascii="宋体" w:hAnsi="宋体" w:eastAsia="宋体" w:cs="宋体"/>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25</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成本警示价（如有）</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本项目成本警示价为人民币</w:t>
            </w:r>
            <w:r>
              <w:rPr>
                <w:rFonts w:hint="eastAsia" w:ascii="宋体" w:hAnsi="宋体" w:eastAsia="宋体" w:cs="宋体"/>
                <w:szCs w:val="21"/>
                <w:highlight w:val="none"/>
                <w:u w:val="single"/>
              </w:rPr>
              <w:t>10080221.13</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按控制价的85%设置</w:t>
            </w:r>
            <w:r>
              <w:rPr>
                <w:rFonts w:hint="eastAsia" w:ascii="宋体" w:hAnsi="宋体" w:eastAsia="宋体" w:cs="宋体"/>
                <w:szCs w:val="21"/>
                <w:highlight w:val="none"/>
                <w:lang w:eastAsia="zh-CN"/>
              </w:rPr>
              <w:t>）</w:t>
            </w:r>
            <w:r>
              <w:rPr>
                <w:rFonts w:hint="eastAsia" w:ascii="宋体" w:hAnsi="宋体" w:eastAsia="宋体" w:cs="宋体"/>
                <w:szCs w:val="21"/>
                <w:highlight w:val="none"/>
              </w:rPr>
              <w:t>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ascii="宋体" w:hAnsi="宋体" w:eastAsia="宋体" w:cs="宋体"/>
                <w:szCs w:val="21"/>
                <w:highlight w:val="none"/>
              </w:rPr>
            </w:pPr>
            <w:r>
              <w:rPr>
                <w:rFonts w:hint="eastAsia" w:ascii="宋体" w:hAnsi="宋体" w:eastAsia="宋体" w:cs="宋体"/>
                <w:szCs w:val="21"/>
                <w:highlight w:val="none"/>
              </w:rPr>
              <w:t>注：为充分体现招标人意愿及落实项目业主负责制，警示价由招标人决定。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26</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非竞争报价</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本项目绿色施工安全防护措施费为</w:t>
            </w:r>
            <w:r>
              <w:rPr>
                <w:rFonts w:hint="eastAsia" w:ascii="宋体" w:hAnsi="宋体" w:eastAsia="宋体" w:cs="宋体"/>
                <w:szCs w:val="21"/>
                <w:highlight w:val="none"/>
                <w:u w:val="single"/>
                <w:lang w:val="en-US" w:eastAsia="zh-CN"/>
              </w:rPr>
              <w:t>421267.08</w:t>
            </w:r>
            <w:r>
              <w:rPr>
                <w:rFonts w:hint="eastAsia" w:ascii="宋体" w:hAnsi="宋体" w:eastAsia="宋体" w:cs="宋体"/>
                <w:szCs w:val="21"/>
                <w:highlight w:val="none"/>
              </w:rPr>
              <w:t>元（未按招标文件规定的金额填写的，其投标文件将被评标委员会否决）。</w:t>
            </w:r>
          </w:p>
          <w:p>
            <w:pPr>
              <w:rPr>
                <w:rFonts w:hint="eastAsia" w:ascii="宋体" w:hAnsi="宋体" w:eastAsia="宋体" w:cs="宋体"/>
                <w:szCs w:val="21"/>
                <w:highlight w:val="none"/>
              </w:rPr>
            </w:pPr>
            <w:r>
              <w:rPr>
                <w:rFonts w:hint="eastAsia" w:ascii="宋体" w:hAnsi="宋体" w:eastAsia="宋体" w:cs="宋体"/>
                <w:szCs w:val="21"/>
                <w:highlight w:val="none"/>
              </w:rPr>
              <w:t>本项目暂列金额为</w:t>
            </w:r>
            <w:r>
              <w:rPr>
                <w:rFonts w:hint="eastAsia" w:ascii="宋体" w:hAnsi="宋体" w:eastAsia="宋体" w:cs="宋体"/>
                <w:szCs w:val="21"/>
                <w:highlight w:val="none"/>
                <w:u w:val="single"/>
                <w:lang w:val="en-US" w:eastAsia="zh-CN"/>
              </w:rPr>
              <w:t>925370.03</w:t>
            </w:r>
            <w:r>
              <w:rPr>
                <w:rFonts w:hint="eastAsia" w:ascii="宋体" w:hAnsi="宋体" w:eastAsia="宋体" w:cs="宋体"/>
                <w:szCs w:val="21"/>
                <w:highlight w:val="none"/>
              </w:rPr>
              <w:t>元，暂估价为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0</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27</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履约担保</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ind w:left="840" w:hanging="840" w:hangingChars="400"/>
              <w:jc w:val="left"/>
              <w:rPr>
                <w:rFonts w:hint="eastAsia" w:ascii="宋体" w:hAnsi="宋体" w:eastAsia="宋体" w:cs="宋体"/>
                <w:highlight w:val="none"/>
              </w:rPr>
            </w:pPr>
            <w:r>
              <w:rPr>
                <w:rFonts w:hint="eastAsia" w:ascii="宋体" w:hAnsi="宋体" w:eastAsia="宋体" w:cs="宋体"/>
                <w:highlight w:val="none"/>
              </w:rPr>
              <w:sym w:font="Wingdings 2" w:char="00A3"/>
            </w:r>
            <w:r>
              <w:rPr>
                <w:rFonts w:hint="eastAsia" w:ascii="宋体" w:hAnsi="宋体" w:eastAsia="宋体" w:cs="宋体"/>
                <w:highlight w:val="none"/>
              </w:rPr>
              <w:t>要求。履约担保金额：</w:t>
            </w:r>
            <w:r>
              <w:rPr>
                <w:rFonts w:hint="eastAsia" w:ascii="宋体" w:hAnsi="宋体" w:eastAsia="宋体" w:cs="宋体"/>
                <w:color w:val="auto"/>
                <w:highlight w:val="none"/>
                <w:u w:val="single"/>
              </w:rPr>
              <w:t>中标人提供的履约保证金为</w:t>
            </w:r>
            <w:r>
              <w:rPr>
                <w:rFonts w:hint="eastAsia" w:ascii="宋体" w:hAnsi="宋体" w:eastAsia="宋体" w:cs="宋体"/>
                <w:color w:val="auto"/>
                <w:highlight w:val="none"/>
                <w:u w:val="single"/>
                <w:lang w:val="en-US" w:eastAsia="zh-CN"/>
              </w:rPr>
              <w:t>合同金额</w:t>
            </w:r>
            <w:r>
              <w:rPr>
                <w:rFonts w:hint="eastAsia" w:ascii="宋体" w:hAnsi="宋体" w:eastAsia="宋体" w:cs="宋体"/>
                <w:color w:val="auto"/>
                <w:highlight w:val="none"/>
                <w:u w:val="single"/>
              </w:rPr>
              <w:t>的</w:t>
            </w:r>
            <w:r>
              <w:rPr>
                <w:rFonts w:hint="eastAsia" w:ascii="宋体" w:hAnsi="宋体" w:eastAsia="宋体" w:cs="宋体"/>
                <w:color w:val="auto"/>
                <w:highlight w:val="none"/>
                <w:u w:val="single"/>
                <w:lang w:val="en-US" w:eastAsia="zh-CN"/>
              </w:rPr>
              <w:t>10</w:t>
            </w:r>
            <w:r>
              <w:rPr>
                <w:rFonts w:hint="eastAsia" w:ascii="宋体" w:hAnsi="宋体" w:eastAsia="宋体" w:cs="宋体"/>
                <w:color w:val="auto"/>
                <w:highlight w:val="none"/>
                <w:u w:val="single"/>
              </w:rPr>
              <w:t>%</w:t>
            </w:r>
            <w:r>
              <w:rPr>
                <w:rFonts w:hint="eastAsia" w:ascii="宋体" w:hAnsi="宋体" w:eastAsia="宋体" w:cs="宋体"/>
                <w:highlight w:val="none"/>
              </w:rPr>
              <w:t>。履约担保形式：可采用</w:t>
            </w:r>
            <w:r>
              <w:rPr>
                <w:rFonts w:hint="eastAsia" w:ascii="宋体" w:hAnsi="宋体" w:eastAsia="宋体" w:cs="宋体"/>
                <w:highlight w:val="none"/>
                <w:u w:val="single"/>
              </w:rPr>
              <w:t>银行或担保公司保函、转账、现金、支票、汇票、履约保证保险</w:t>
            </w:r>
            <w:r>
              <w:rPr>
                <w:rFonts w:hint="eastAsia" w:ascii="宋体" w:hAnsi="宋体" w:eastAsia="宋体" w:cs="宋体"/>
                <w:highlight w:val="none"/>
              </w:rPr>
              <w:t>等形式（招标人不得限定只能以现金形式提交）。</w:t>
            </w:r>
          </w:p>
          <w:p>
            <w:pPr>
              <w:ind w:left="840" w:hanging="840" w:hangingChars="400"/>
              <w:jc w:val="left"/>
              <w:rPr>
                <w:rFonts w:hint="eastAsia" w:ascii="宋体" w:hAnsi="宋体" w:eastAsia="宋体" w:cs="宋体"/>
                <w:highlight w:val="none"/>
              </w:rPr>
            </w:pPr>
            <w:r>
              <w:rPr>
                <w:rFonts w:hint="eastAsia" w:ascii="宋体" w:hAnsi="宋体" w:eastAsia="宋体" w:cs="宋体"/>
                <w:strike/>
                <w:dstrike w:val="0"/>
                <w:highlight w:val="none"/>
              </w:rPr>
              <w:sym w:font="Wingdings 2" w:char="00A3"/>
            </w:r>
            <w:r>
              <w:rPr>
                <w:rFonts w:hint="eastAsia" w:ascii="宋体" w:hAnsi="宋体" w:eastAsia="宋体" w:cs="宋体"/>
                <w:strike/>
                <w:dstrike w:val="0"/>
                <w:highlight w:val="none"/>
              </w:rPr>
              <w:t>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28</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pStyle w:val="9"/>
              <w:spacing w:after="0"/>
              <w:ind w:firstLine="0"/>
              <w:rPr>
                <w:rFonts w:hint="eastAsia" w:ascii="宋体" w:hAnsi="宋体" w:eastAsia="宋体" w:cs="宋体"/>
                <w:highlight w:val="none"/>
              </w:rPr>
            </w:pPr>
            <w:r>
              <w:rPr>
                <w:rFonts w:hint="eastAsia" w:ascii="宋体" w:hAnsi="宋体" w:eastAsia="宋体" w:cs="宋体"/>
                <w:highlight w:val="none"/>
              </w:rPr>
              <w:t>保修期</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29</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评标参考价的下浮率</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计算评标参考价的下浮率X从0.5%、1%、1.5%、2%、2.5%、3%、3.5%中随机抽取。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30</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39.1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评标委员会的组建</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szCs w:val="22"/>
                <w:highlight w:val="none"/>
              </w:rPr>
              <w:sym w:font="Wingdings 2" w:char="00A3"/>
            </w:r>
            <w:r>
              <w:rPr>
                <w:rFonts w:hint="eastAsia" w:ascii="宋体" w:hAnsi="宋体" w:eastAsia="宋体" w:cs="宋体"/>
                <w:szCs w:val="22"/>
                <w:highlight w:val="none"/>
              </w:rPr>
              <w:t>方式一：评标委员会共</w:t>
            </w:r>
            <w:r>
              <w:rPr>
                <w:rFonts w:hint="eastAsia" w:ascii="宋体" w:hAnsi="宋体" w:eastAsia="宋体" w:cs="宋体"/>
                <w:szCs w:val="22"/>
                <w:highlight w:val="none"/>
                <w:u w:val="single"/>
                <w:lang w:val="en-US" w:eastAsia="zh-CN"/>
              </w:rPr>
              <w:t>5</w:t>
            </w:r>
            <w:r>
              <w:rPr>
                <w:rFonts w:hint="eastAsia" w:ascii="宋体" w:hAnsi="宋体" w:eastAsia="宋体" w:cs="宋体"/>
                <w:szCs w:val="22"/>
                <w:highlight w:val="none"/>
              </w:rPr>
              <w:t>人。</w:t>
            </w:r>
          </w:p>
          <w:p>
            <w:pPr>
              <w:ind w:left="1050" w:hanging="1050" w:hangingChars="500"/>
              <w:rPr>
                <w:rFonts w:hint="eastAsia" w:ascii="宋体" w:hAnsi="宋体" w:eastAsia="宋体" w:cs="宋体"/>
                <w:strike/>
                <w:dstrike w:val="0"/>
                <w:highlight w:val="none"/>
              </w:rPr>
            </w:pPr>
            <w:r>
              <w:rPr>
                <w:rFonts w:hint="eastAsia" w:ascii="宋体" w:hAnsi="宋体" w:eastAsia="宋体" w:cs="宋体"/>
                <w:strike/>
                <w:dstrike w:val="0"/>
                <w:highlight w:val="none"/>
              </w:rPr>
              <w:sym w:font="Wingdings 2" w:char="00A3"/>
            </w:r>
            <w:r>
              <w:rPr>
                <w:rFonts w:hint="eastAsia" w:ascii="宋体" w:hAnsi="宋体" w:eastAsia="宋体" w:cs="宋体"/>
                <w:strike/>
                <w:dstrike w:val="0"/>
                <w:highlight w:val="none"/>
              </w:rPr>
              <w:t>方式二：评标委员会共</w:t>
            </w:r>
            <w:r>
              <w:rPr>
                <w:rFonts w:hint="eastAsia" w:ascii="宋体" w:hAnsi="宋体" w:eastAsia="宋体" w:cs="宋体"/>
                <w:strike/>
                <w:dstrike w:val="0"/>
                <w:highlight w:val="none"/>
                <w:u w:val="single"/>
              </w:rPr>
              <w:t xml:space="preserve">  </w:t>
            </w:r>
            <w:r>
              <w:rPr>
                <w:rFonts w:hint="eastAsia" w:ascii="宋体" w:hAnsi="宋体" w:eastAsia="宋体" w:cs="宋体"/>
                <w:strike/>
                <w:dstrike w:val="0"/>
                <w:highlight w:val="none"/>
              </w:rPr>
              <w:t>人，其中招标人代表</w:t>
            </w:r>
            <w:r>
              <w:rPr>
                <w:rFonts w:hint="eastAsia" w:ascii="宋体" w:hAnsi="宋体" w:eastAsia="宋体" w:cs="宋体"/>
                <w:strike/>
                <w:dstrike w:val="0"/>
                <w:highlight w:val="none"/>
                <w:u w:val="single"/>
              </w:rPr>
              <w:t xml:space="preserve">  </w:t>
            </w:r>
            <w:r>
              <w:rPr>
                <w:rFonts w:hint="eastAsia" w:ascii="宋体" w:hAnsi="宋体" w:eastAsia="宋体" w:cs="宋体"/>
                <w:strike/>
                <w:dstrike w:val="0"/>
                <w:highlight w:val="none"/>
              </w:rPr>
              <w:t>人，技术、经济等方面专家</w:t>
            </w:r>
            <w:r>
              <w:rPr>
                <w:rFonts w:hint="eastAsia" w:ascii="宋体" w:hAnsi="宋体" w:eastAsia="宋体" w:cs="宋体"/>
                <w:strike/>
                <w:dstrike w:val="0"/>
                <w:highlight w:val="none"/>
                <w:u w:val="single"/>
              </w:rPr>
              <w:t xml:space="preserve">  </w:t>
            </w:r>
            <w:r>
              <w:rPr>
                <w:rFonts w:hint="eastAsia" w:ascii="宋体" w:hAnsi="宋体" w:eastAsia="宋体" w:cs="宋体"/>
                <w:strike/>
                <w:dstrike w:val="0"/>
                <w:highlight w:val="none"/>
              </w:rPr>
              <w:t>人。</w:t>
            </w:r>
          </w:p>
          <w:p>
            <w:pPr>
              <w:ind w:left="1050" w:hanging="1050" w:hangingChars="500"/>
              <w:rPr>
                <w:rFonts w:hint="eastAsia" w:ascii="宋体" w:hAnsi="宋体" w:eastAsia="宋体" w:cs="宋体"/>
                <w:highlight w:val="none"/>
              </w:rPr>
            </w:pPr>
            <w:r>
              <w:rPr>
                <w:rFonts w:hint="eastAsia" w:ascii="宋体" w:hAnsi="宋体" w:eastAsia="宋体" w:cs="宋体"/>
                <w:strike/>
                <w:dstrike w:val="0"/>
                <w:highlight w:val="none"/>
              </w:rPr>
              <w:t>评标专家从政府评标专家库随机抽取。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31</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分值权重</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strike/>
                <w:dstrike w:val="0"/>
                <w:color w:val="000000"/>
                <w:kern w:val="0"/>
                <w:szCs w:val="21"/>
                <w:highlight w:val="none"/>
              </w:rPr>
            </w:pPr>
            <w:r>
              <w:rPr>
                <w:rFonts w:hint="eastAsia" w:ascii="宋体" w:hAnsi="宋体" w:eastAsia="宋体" w:cs="宋体"/>
                <w:b w:val="0"/>
                <w:bCs w:val="0"/>
                <w:strike/>
                <w:dstrike w:val="0"/>
                <w:color w:val="000000"/>
                <w:kern w:val="0"/>
                <w:szCs w:val="21"/>
                <w:highlight w:val="none"/>
              </w:rPr>
              <w:sym w:font="Wingdings 2" w:char="00A3"/>
            </w:r>
            <w:r>
              <w:rPr>
                <w:rFonts w:hint="eastAsia" w:ascii="宋体" w:hAnsi="宋体" w:eastAsia="宋体" w:cs="宋体"/>
                <w:b w:val="0"/>
                <w:bCs w:val="0"/>
                <w:strike/>
                <w:dstrike w:val="0"/>
                <w:color w:val="000000"/>
                <w:kern w:val="0"/>
                <w:szCs w:val="21"/>
                <w:highlight w:val="none"/>
              </w:rPr>
              <w:t>两阶段评标法：</w:t>
            </w:r>
            <w:r>
              <w:rPr>
                <w:rFonts w:hint="eastAsia" w:ascii="宋体" w:hAnsi="宋体" w:eastAsia="宋体" w:cs="宋体"/>
                <w:strike/>
                <w:dstrike w:val="0"/>
                <w:color w:val="000000"/>
                <w:kern w:val="0"/>
                <w:szCs w:val="21"/>
                <w:highlight w:val="none"/>
              </w:rPr>
              <w:t>业绩得分</w:t>
            </w:r>
            <w:r>
              <w:rPr>
                <w:rFonts w:hint="eastAsia" w:ascii="宋体" w:hAnsi="宋体" w:eastAsia="宋体" w:cs="宋体"/>
                <w:strike/>
                <w:dstrike w:val="0"/>
                <w:color w:val="000000"/>
                <w:kern w:val="0"/>
                <w:szCs w:val="21"/>
                <w:highlight w:val="none"/>
                <w:lang w:val="en-US" w:eastAsia="zh-CN"/>
              </w:rPr>
              <w:t xml:space="preserve">  </w:t>
            </w:r>
            <w:r>
              <w:rPr>
                <w:rFonts w:hint="eastAsia" w:ascii="宋体" w:hAnsi="宋体" w:eastAsia="宋体" w:cs="宋体"/>
                <w:strike/>
                <w:dstrike w:val="0"/>
                <w:color w:val="000000"/>
                <w:kern w:val="0"/>
                <w:szCs w:val="21"/>
                <w:highlight w:val="none"/>
              </w:rPr>
              <w:t>分，报价得分权重</w:t>
            </w:r>
            <w:r>
              <w:rPr>
                <w:rFonts w:hint="eastAsia" w:ascii="宋体" w:hAnsi="宋体" w:eastAsia="宋体" w:cs="宋体"/>
                <w:strike/>
                <w:dstrike w:val="0"/>
                <w:color w:val="000000"/>
                <w:kern w:val="0"/>
                <w:szCs w:val="21"/>
                <w:highlight w:val="none"/>
                <w:u w:val="single"/>
                <w:lang w:val="en-US" w:eastAsia="zh-CN"/>
              </w:rPr>
              <w:t xml:space="preserve">  </w:t>
            </w:r>
            <w:r>
              <w:rPr>
                <w:rFonts w:hint="eastAsia" w:ascii="宋体" w:hAnsi="宋体" w:eastAsia="宋体" w:cs="宋体"/>
                <w:strike/>
                <w:dstrike w:val="0"/>
                <w:color w:val="000000"/>
                <w:kern w:val="0"/>
                <w:szCs w:val="21"/>
                <w:highlight w:val="none"/>
              </w:rPr>
              <w:t>%，诚信综合评价得分权重</w:t>
            </w:r>
            <w:r>
              <w:rPr>
                <w:rFonts w:hint="eastAsia" w:ascii="宋体" w:hAnsi="宋体" w:eastAsia="宋体" w:cs="宋体"/>
                <w:strike/>
                <w:dstrike w:val="0"/>
                <w:color w:val="000000"/>
                <w:kern w:val="0"/>
                <w:szCs w:val="21"/>
                <w:highlight w:val="none"/>
                <w:u w:val="single"/>
                <w:lang w:val="en-US" w:eastAsia="zh-CN"/>
              </w:rPr>
              <w:t xml:space="preserve">  </w:t>
            </w:r>
            <w:r>
              <w:rPr>
                <w:rFonts w:hint="eastAsia" w:ascii="宋体" w:hAnsi="宋体" w:eastAsia="宋体" w:cs="宋体"/>
                <w:strike/>
                <w:dstrike w:val="0"/>
                <w:color w:val="000000"/>
                <w:kern w:val="0"/>
                <w:szCs w:val="21"/>
                <w:highlight w:val="none"/>
              </w:rPr>
              <w:t>%</w:t>
            </w:r>
          </w:p>
          <w:p>
            <w:pPr>
              <w:rPr>
                <w:rFonts w:hint="eastAsia" w:ascii="宋体" w:hAnsi="宋体" w:eastAsia="宋体" w:cs="宋体"/>
                <w:strike/>
                <w:dstrike w:val="0"/>
                <w:color w:val="000000"/>
                <w:kern w:val="0"/>
                <w:szCs w:val="21"/>
                <w:highlight w:val="none"/>
              </w:rPr>
            </w:pPr>
            <w:r>
              <w:rPr>
                <w:rFonts w:hint="eastAsia" w:ascii="宋体" w:hAnsi="宋体" w:eastAsia="宋体" w:cs="宋体"/>
                <w:strike/>
                <w:dstrike w:val="0"/>
                <w:color w:val="000000"/>
                <w:kern w:val="0"/>
                <w:szCs w:val="21"/>
                <w:highlight w:val="none"/>
              </w:rPr>
              <w:t>注：诚信综合评价得分权重占0-10%，报价得分权重=100-业绩得分-诚信综合评价得分权重。</w:t>
            </w:r>
          </w:p>
          <w:p>
            <w:pPr>
              <w:rPr>
                <w:rFonts w:hint="eastAsia" w:ascii="宋体" w:hAnsi="宋体" w:eastAsia="宋体" w:cs="宋体"/>
                <w:b/>
                <w:bCs/>
                <w:strike/>
                <w:dstrike w:val="0"/>
                <w:color w:val="000000"/>
                <w:kern w:val="0"/>
                <w:szCs w:val="21"/>
                <w:highlight w:val="none"/>
              </w:rPr>
            </w:pPr>
          </w:p>
          <w:p>
            <w:pPr>
              <w:rPr>
                <w:rFonts w:hint="eastAsia" w:ascii="宋体" w:hAnsi="宋体" w:eastAsia="宋体" w:cs="宋体"/>
                <w:strike w:val="0"/>
                <w:dstrike w:val="0"/>
                <w:color w:val="000000"/>
                <w:kern w:val="0"/>
                <w:szCs w:val="21"/>
                <w:highlight w:val="none"/>
              </w:rPr>
            </w:pPr>
            <w:r>
              <w:rPr>
                <w:rFonts w:hint="eastAsia" w:ascii="宋体" w:hAnsi="宋体" w:eastAsia="宋体" w:cs="宋体"/>
                <w:b w:val="0"/>
                <w:bCs w:val="0"/>
                <w:strike w:val="0"/>
                <w:dstrike w:val="0"/>
                <w:color w:val="000000"/>
                <w:kern w:val="0"/>
                <w:szCs w:val="21"/>
                <w:highlight w:val="none"/>
              </w:rPr>
              <w:sym w:font="Wingdings 2" w:char="00A3"/>
            </w:r>
            <w:r>
              <w:rPr>
                <w:rFonts w:hint="eastAsia" w:ascii="宋体" w:hAnsi="宋体" w:eastAsia="宋体" w:cs="宋体"/>
                <w:b w:val="0"/>
                <w:bCs w:val="0"/>
                <w:strike w:val="0"/>
                <w:dstrike w:val="0"/>
                <w:color w:val="000000"/>
                <w:kern w:val="0"/>
                <w:szCs w:val="21"/>
                <w:highlight w:val="none"/>
              </w:rPr>
              <w:t>综合评分法：</w:t>
            </w:r>
            <w:r>
              <w:rPr>
                <w:rFonts w:hint="eastAsia" w:ascii="宋体" w:hAnsi="宋体" w:eastAsia="宋体" w:cs="宋体"/>
                <w:strike w:val="0"/>
                <w:dstrike w:val="0"/>
                <w:color w:val="000000"/>
                <w:kern w:val="0"/>
                <w:szCs w:val="21"/>
                <w:highlight w:val="none"/>
              </w:rPr>
              <w:t>技术部分</w:t>
            </w:r>
            <w:r>
              <w:rPr>
                <w:rFonts w:hint="eastAsia" w:ascii="宋体" w:hAnsi="宋体" w:eastAsia="宋体" w:cs="宋体"/>
                <w:strike w:val="0"/>
                <w:dstrike w:val="0"/>
                <w:color w:val="000000"/>
                <w:kern w:val="0"/>
                <w:szCs w:val="21"/>
                <w:highlight w:val="none"/>
                <w:lang w:eastAsia="zh-CN"/>
              </w:rPr>
              <w:t>（</w:t>
            </w:r>
            <w:r>
              <w:rPr>
                <w:rFonts w:hint="eastAsia" w:ascii="宋体" w:hAnsi="宋体" w:eastAsia="宋体" w:cs="宋体"/>
                <w:strike w:val="0"/>
                <w:dstrike w:val="0"/>
                <w:color w:val="000000"/>
                <w:kern w:val="0"/>
                <w:szCs w:val="21"/>
                <w:highlight w:val="none"/>
              </w:rPr>
              <w:t>施工组织方案</w:t>
            </w:r>
            <w:r>
              <w:rPr>
                <w:rFonts w:hint="eastAsia" w:ascii="宋体" w:hAnsi="宋体" w:eastAsia="宋体" w:cs="宋体"/>
                <w:strike w:val="0"/>
                <w:dstrike w:val="0"/>
                <w:color w:val="000000"/>
                <w:kern w:val="0"/>
                <w:szCs w:val="21"/>
                <w:highlight w:val="none"/>
                <w:lang w:eastAsia="zh-CN"/>
              </w:rPr>
              <w:t>）</w:t>
            </w:r>
            <w:r>
              <w:rPr>
                <w:rFonts w:hint="eastAsia" w:ascii="宋体" w:hAnsi="宋体" w:eastAsia="宋体" w:cs="宋体"/>
                <w:strike w:val="0"/>
                <w:dstrike w:val="0"/>
                <w:color w:val="000000"/>
                <w:kern w:val="0"/>
                <w:szCs w:val="21"/>
                <w:highlight w:val="none"/>
              </w:rPr>
              <w:t>得分权重</w:t>
            </w:r>
            <w:r>
              <w:rPr>
                <w:rFonts w:hint="eastAsia" w:ascii="宋体" w:hAnsi="宋体" w:eastAsia="宋体" w:cs="宋体"/>
                <w:strike w:val="0"/>
                <w:dstrike w:val="0"/>
                <w:color w:val="000000"/>
                <w:kern w:val="0"/>
                <w:szCs w:val="21"/>
                <w:highlight w:val="none"/>
                <w:u w:val="single"/>
                <w:lang w:val="en-US" w:eastAsia="zh-CN"/>
              </w:rPr>
              <w:t>5</w:t>
            </w:r>
            <w:r>
              <w:rPr>
                <w:rFonts w:hint="eastAsia" w:ascii="宋体" w:hAnsi="宋体" w:eastAsia="宋体" w:cs="宋体"/>
                <w:strike w:val="0"/>
                <w:dstrike w:val="0"/>
                <w:color w:val="000000"/>
                <w:kern w:val="0"/>
                <w:szCs w:val="21"/>
                <w:highlight w:val="none"/>
              </w:rPr>
              <w:t>%，技术部分</w:t>
            </w:r>
            <w:r>
              <w:rPr>
                <w:rFonts w:hint="eastAsia" w:ascii="宋体" w:hAnsi="宋体" w:eastAsia="宋体" w:cs="宋体"/>
                <w:strike w:val="0"/>
                <w:dstrike w:val="0"/>
                <w:color w:val="000000"/>
                <w:kern w:val="0"/>
                <w:szCs w:val="21"/>
                <w:highlight w:val="none"/>
                <w:lang w:eastAsia="zh-CN"/>
              </w:rPr>
              <w:t>（</w:t>
            </w:r>
            <w:r>
              <w:rPr>
                <w:rFonts w:hint="eastAsia" w:ascii="宋体" w:hAnsi="宋体" w:eastAsia="宋体" w:cs="宋体"/>
                <w:strike w:val="0"/>
                <w:dstrike w:val="0"/>
                <w:color w:val="000000"/>
                <w:kern w:val="0"/>
                <w:szCs w:val="21"/>
                <w:highlight w:val="none"/>
              </w:rPr>
              <w:t>项目实施能力</w:t>
            </w:r>
            <w:r>
              <w:rPr>
                <w:rFonts w:hint="eastAsia" w:ascii="宋体" w:hAnsi="宋体" w:eastAsia="宋体" w:cs="宋体"/>
                <w:strike w:val="0"/>
                <w:dstrike w:val="0"/>
                <w:color w:val="000000"/>
                <w:kern w:val="0"/>
                <w:szCs w:val="21"/>
                <w:highlight w:val="none"/>
                <w:lang w:eastAsia="zh-CN"/>
              </w:rPr>
              <w:t>）</w:t>
            </w:r>
            <w:r>
              <w:rPr>
                <w:rFonts w:hint="eastAsia" w:ascii="宋体" w:hAnsi="宋体" w:eastAsia="宋体" w:cs="宋体"/>
                <w:strike w:val="0"/>
                <w:dstrike w:val="0"/>
                <w:color w:val="000000"/>
                <w:kern w:val="0"/>
                <w:szCs w:val="21"/>
                <w:highlight w:val="none"/>
              </w:rPr>
              <w:t>得分权重</w:t>
            </w:r>
            <w:r>
              <w:rPr>
                <w:rFonts w:hint="eastAsia" w:ascii="宋体" w:hAnsi="宋体" w:eastAsia="宋体" w:cs="宋体"/>
                <w:strike w:val="0"/>
                <w:dstrike w:val="0"/>
                <w:color w:val="000000"/>
                <w:kern w:val="0"/>
                <w:szCs w:val="21"/>
                <w:highlight w:val="none"/>
                <w:u w:val="single"/>
                <w:lang w:val="en-US" w:eastAsia="zh-CN"/>
              </w:rPr>
              <w:t>5</w:t>
            </w:r>
            <w:r>
              <w:rPr>
                <w:rFonts w:hint="eastAsia" w:ascii="宋体" w:hAnsi="宋体" w:eastAsia="宋体" w:cs="宋体"/>
                <w:strike w:val="0"/>
                <w:dstrike w:val="0"/>
                <w:color w:val="000000"/>
                <w:kern w:val="0"/>
                <w:szCs w:val="21"/>
                <w:highlight w:val="none"/>
              </w:rPr>
              <w:t>%，报价得分权重</w:t>
            </w:r>
            <w:r>
              <w:rPr>
                <w:rFonts w:hint="eastAsia" w:ascii="宋体" w:hAnsi="宋体" w:eastAsia="宋体" w:cs="宋体"/>
                <w:strike w:val="0"/>
                <w:dstrike w:val="0"/>
                <w:color w:val="000000"/>
                <w:kern w:val="0"/>
                <w:szCs w:val="21"/>
                <w:highlight w:val="none"/>
                <w:u w:val="single"/>
                <w:lang w:val="en-US" w:eastAsia="zh-CN"/>
              </w:rPr>
              <w:t>80</w:t>
            </w:r>
            <w:r>
              <w:rPr>
                <w:rFonts w:hint="eastAsia" w:ascii="宋体" w:hAnsi="宋体" w:eastAsia="宋体" w:cs="宋体"/>
                <w:strike w:val="0"/>
                <w:dstrike w:val="0"/>
                <w:color w:val="000000"/>
                <w:kern w:val="0"/>
                <w:szCs w:val="21"/>
                <w:highlight w:val="none"/>
              </w:rPr>
              <w:t>%，诚信综合评价得分权重</w:t>
            </w:r>
            <w:r>
              <w:rPr>
                <w:rFonts w:hint="eastAsia" w:ascii="宋体" w:hAnsi="宋体" w:eastAsia="宋体" w:cs="宋体"/>
                <w:strike w:val="0"/>
                <w:dstrike w:val="0"/>
                <w:color w:val="000000"/>
                <w:kern w:val="0"/>
                <w:szCs w:val="21"/>
                <w:highlight w:val="none"/>
                <w:u w:val="single"/>
                <w:lang w:val="en-US" w:eastAsia="zh-CN"/>
              </w:rPr>
              <w:t>10</w:t>
            </w:r>
            <w:r>
              <w:rPr>
                <w:rFonts w:hint="eastAsia" w:ascii="宋体" w:hAnsi="宋体" w:eastAsia="宋体" w:cs="宋体"/>
                <w:strike w:val="0"/>
                <w:dstrike w:val="0"/>
                <w:color w:val="000000"/>
                <w:kern w:val="0"/>
                <w:szCs w:val="21"/>
                <w:highlight w:val="none"/>
              </w:rPr>
              <w:t>%。</w:t>
            </w:r>
          </w:p>
          <w:p>
            <w:pPr>
              <w:rPr>
                <w:rFonts w:hint="eastAsia" w:ascii="宋体" w:hAnsi="宋体" w:eastAsia="宋体" w:cs="宋体"/>
                <w:szCs w:val="21"/>
                <w:highlight w:val="none"/>
              </w:rPr>
            </w:pPr>
            <w:r>
              <w:rPr>
                <w:rFonts w:hint="eastAsia" w:ascii="宋体" w:hAnsi="宋体" w:eastAsia="宋体" w:cs="宋体"/>
                <w:strike w:val="0"/>
                <w:dstrike w:val="0"/>
                <w:color w:val="000000"/>
                <w:kern w:val="0"/>
                <w:szCs w:val="21"/>
                <w:highlight w:val="none"/>
              </w:rPr>
              <w:t>注：</w:t>
            </w:r>
            <w:r>
              <w:rPr>
                <w:rFonts w:hint="eastAsia" w:ascii="宋体" w:hAnsi="宋体" w:eastAsia="宋体" w:cs="宋体"/>
                <w:strike w:val="0"/>
                <w:dstrike w:val="0"/>
                <w:color w:val="000000"/>
                <w:kern w:val="0"/>
                <w:szCs w:val="21"/>
                <w:highlight w:val="none"/>
                <w:lang w:eastAsia="zh-CN"/>
              </w:rPr>
              <w:t>特殊性工程、复杂和大型工程</w:t>
            </w:r>
            <w:r>
              <w:rPr>
                <w:rFonts w:hint="eastAsia" w:ascii="宋体" w:hAnsi="宋体" w:eastAsia="宋体" w:cs="宋体"/>
                <w:strike w:val="0"/>
                <w:dstrike w:val="0"/>
                <w:color w:val="000000"/>
                <w:kern w:val="0"/>
                <w:szCs w:val="21"/>
                <w:highlight w:val="none"/>
              </w:rPr>
              <w:t>，</w:t>
            </w:r>
            <w:r>
              <w:rPr>
                <w:rFonts w:hint="eastAsia" w:ascii="宋体" w:hAnsi="宋体" w:eastAsia="宋体" w:cs="宋体"/>
                <w:strike w:val="0"/>
                <w:dstrike w:val="0"/>
                <w:color w:val="000000"/>
                <w:kern w:val="0"/>
                <w:szCs w:val="21"/>
                <w:highlight w:val="none"/>
                <w:lang w:eastAsia="zh-CN"/>
              </w:rPr>
              <w:t>技术部分（施工组织方案）</w:t>
            </w:r>
            <w:r>
              <w:rPr>
                <w:rFonts w:hint="eastAsia" w:ascii="宋体" w:hAnsi="宋体" w:eastAsia="宋体" w:cs="宋体"/>
                <w:strike w:val="0"/>
                <w:dstrike w:val="0"/>
                <w:color w:val="000000"/>
                <w:kern w:val="0"/>
                <w:szCs w:val="21"/>
                <w:highlight w:val="none"/>
                <w:lang w:val="en-US" w:eastAsia="zh-CN"/>
              </w:rPr>
              <w:t>得分权重不少于10%，报价得分权重不少于60%，诚信综合评价得分权重占0%-25%；其他工程，技术部分（施工组织方案）得分权重不少于5%，报价得分权重不少于80%，诚信综合评价得分权重占0-10%。</w:t>
            </w:r>
            <w:r>
              <w:rPr>
                <w:rFonts w:hint="eastAsia" w:ascii="宋体" w:hAnsi="宋体" w:eastAsia="宋体" w:cs="宋体"/>
                <w:strike w:val="0"/>
                <w:dstrike w:val="0"/>
                <w:color w:val="000000"/>
                <w:kern w:val="0"/>
                <w:szCs w:val="21"/>
                <w:highlight w:val="none"/>
                <w:lang w:eastAsia="zh-CN"/>
              </w:rPr>
              <w:t>技术部分（项目实施能力）</w:t>
            </w:r>
            <w:r>
              <w:rPr>
                <w:rFonts w:hint="eastAsia" w:ascii="宋体" w:hAnsi="宋体" w:eastAsia="宋体" w:cs="宋体"/>
                <w:strike w:val="0"/>
                <w:dstrike w:val="0"/>
                <w:color w:val="000000"/>
                <w:kern w:val="0"/>
                <w:szCs w:val="21"/>
                <w:highlight w:val="none"/>
              </w:rPr>
              <w:t>权重=100</w:t>
            </w:r>
            <w:r>
              <w:rPr>
                <w:rFonts w:hint="eastAsia" w:ascii="宋体" w:hAnsi="宋体" w:eastAsia="宋体" w:cs="宋体"/>
                <w:strike w:val="0"/>
                <w:dstrike w:val="0"/>
                <w:color w:val="000000"/>
                <w:kern w:val="0"/>
                <w:szCs w:val="21"/>
                <w:highlight w:val="none"/>
                <w:lang w:val="en-US" w:eastAsia="zh-CN"/>
              </w:rPr>
              <w:t>-</w:t>
            </w:r>
            <w:r>
              <w:rPr>
                <w:rFonts w:hint="eastAsia" w:ascii="宋体" w:hAnsi="宋体" w:eastAsia="宋体" w:cs="宋体"/>
                <w:strike w:val="0"/>
                <w:dstrike w:val="0"/>
                <w:color w:val="000000"/>
                <w:kern w:val="0"/>
                <w:szCs w:val="21"/>
                <w:highlight w:val="none"/>
              </w:rPr>
              <w:t>技术部分</w:t>
            </w:r>
            <w:r>
              <w:rPr>
                <w:rFonts w:hint="eastAsia" w:ascii="宋体" w:hAnsi="宋体" w:eastAsia="宋体" w:cs="宋体"/>
                <w:strike w:val="0"/>
                <w:dstrike w:val="0"/>
                <w:color w:val="000000"/>
                <w:kern w:val="0"/>
                <w:szCs w:val="21"/>
                <w:highlight w:val="none"/>
                <w:lang w:eastAsia="zh-CN"/>
              </w:rPr>
              <w:t>（</w:t>
            </w:r>
            <w:r>
              <w:rPr>
                <w:rFonts w:hint="eastAsia" w:ascii="宋体" w:hAnsi="宋体" w:eastAsia="宋体" w:cs="宋体"/>
                <w:strike w:val="0"/>
                <w:dstrike w:val="0"/>
                <w:color w:val="000000"/>
                <w:kern w:val="0"/>
                <w:szCs w:val="21"/>
                <w:highlight w:val="none"/>
              </w:rPr>
              <w:t>施工组织方案</w:t>
            </w:r>
            <w:r>
              <w:rPr>
                <w:rFonts w:hint="eastAsia" w:ascii="宋体" w:hAnsi="宋体" w:eastAsia="宋体" w:cs="宋体"/>
                <w:strike w:val="0"/>
                <w:dstrike w:val="0"/>
                <w:color w:val="000000"/>
                <w:kern w:val="0"/>
                <w:szCs w:val="21"/>
                <w:highlight w:val="none"/>
                <w:lang w:eastAsia="zh-CN"/>
              </w:rPr>
              <w:t>）</w:t>
            </w:r>
            <w:r>
              <w:rPr>
                <w:rFonts w:hint="eastAsia" w:ascii="宋体" w:hAnsi="宋体" w:eastAsia="宋体" w:cs="宋体"/>
                <w:strike w:val="0"/>
                <w:dstrike w:val="0"/>
                <w:color w:val="000000"/>
                <w:kern w:val="0"/>
                <w:szCs w:val="21"/>
                <w:highlight w:val="none"/>
              </w:rPr>
              <w:t>得分权重-报价得分权重-诚信综合评价得分权重。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32</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Cs w:val="22"/>
                <w:highlight w:val="none"/>
              </w:rPr>
            </w:pPr>
            <w:r>
              <w:rPr>
                <w:rFonts w:hint="eastAsia" w:ascii="宋体" w:hAnsi="宋体" w:eastAsia="宋体" w:cs="宋体"/>
                <w:szCs w:val="22"/>
                <w:highlight w:val="none"/>
              </w:rPr>
              <w:t>技术部分</w:t>
            </w:r>
            <w:r>
              <w:rPr>
                <w:rFonts w:hint="eastAsia" w:ascii="宋体" w:hAnsi="宋体" w:eastAsia="宋体" w:cs="宋体"/>
                <w:szCs w:val="22"/>
                <w:highlight w:val="none"/>
                <w:lang w:eastAsia="zh-CN"/>
              </w:rPr>
              <w:t>（</w:t>
            </w:r>
            <w:r>
              <w:rPr>
                <w:rFonts w:hint="eastAsia" w:ascii="宋体" w:hAnsi="宋体" w:eastAsia="宋体" w:cs="宋体"/>
                <w:szCs w:val="22"/>
                <w:highlight w:val="none"/>
              </w:rPr>
              <w:t>施工组织方案</w:t>
            </w:r>
            <w:r>
              <w:rPr>
                <w:rFonts w:hint="eastAsia" w:ascii="宋体" w:hAnsi="宋体" w:eastAsia="宋体" w:cs="宋体"/>
                <w:szCs w:val="22"/>
                <w:highlight w:val="none"/>
                <w:lang w:eastAsia="zh-CN"/>
              </w:rPr>
              <w:t>）</w:t>
            </w:r>
            <w:r>
              <w:rPr>
                <w:rFonts w:hint="eastAsia" w:ascii="宋体" w:hAnsi="宋体" w:eastAsia="宋体" w:cs="宋体"/>
                <w:szCs w:val="22"/>
                <w:highlight w:val="none"/>
              </w:rPr>
              <w:t>、技术部分</w:t>
            </w:r>
            <w:r>
              <w:rPr>
                <w:rFonts w:hint="eastAsia" w:ascii="宋体" w:hAnsi="宋体" w:eastAsia="宋体" w:cs="宋体"/>
                <w:szCs w:val="22"/>
                <w:highlight w:val="none"/>
                <w:lang w:eastAsia="zh-CN"/>
              </w:rPr>
              <w:t>（</w:t>
            </w:r>
            <w:r>
              <w:rPr>
                <w:rFonts w:hint="eastAsia" w:ascii="宋体" w:hAnsi="宋体" w:eastAsia="宋体" w:cs="宋体"/>
                <w:szCs w:val="22"/>
                <w:highlight w:val="none"/>
              </w:rPr>
              <w:t>项目实施能力</w:t>
            </w:r>
            <w:r>
              <w:rPr>
                <w:rFonts w:hint="eastAsia" w:ascii="宋体" w:hAnsi="宋体" w:eastAsia="宋体" w:cs="宋体"/>
                <w:szCs w:val="22"/>
                <w:highlight w:val="none"/>
                <w:lang w:eastAsia="zh-CN"/>
              </w:rPr>
              <w:t>）</w:t>
            </w:r>
            <w:r>
              <w:rPr>
                <w:rFonts w:hint="eastAsia" w:ascii="宋体" w:hAnsi="宋体" w:eastAsia="宋体" w:cs="宋体"/>
                <w:szCs w:val="22"/>
                <w:highlight w:val="none"/>
              </w:rPr>
              <w:t>评分汇总方式</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ind w:left="840" w:hanging="840" w:hangingChars="4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方式一：所有评委的分数汇总后去掉一个最高分和一个最低分，剩余分数的算术平均值为投标人的技术部分</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施工组织方案</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、技术部分</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项目实施能力</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最终得分。</w:t>
            </w:r>
          </w:p>
          <w:p>
            <w:pPr>
              <w:ind w:left="840" w:hanging="840" w:hangingChars="400"/>
              <w:rPr>
                <w:rFonts w:hint="eastAsia" w:ascii="宋体" w:hAnsi="宋体" w:eastAsia="宋体" w:cs="宋体"/>
                <w:highlight w:val="none"/>
              </w:rPr>
            </w:pPr>
            <w:r>
              <w:rPr>
                <w:rFonts w:hint="eastAsia" w:ascii="宋体" w:hAnsi="宋体" w:eastAsia="宋体" w:cs="宋体"/>
                <w:strike/>
                <w:dstrike w:val="0"/>
                <w:color w:val="000000"/>
                <w:kern w:val="0"/>
                <w:szCs w:val="21"/>
                <w:highlight w:val="none"/>
              </w:rPr>
              <w:sym w:font="Wingdings 2" w:char="00A3"/>
            </w:r>
            <w:r>
              <w:rPr>
                <w:rFonts w:hint="eastAsia" w:ascii="宋体" w:hAnsi="宋体" w:eastAsia="宋体" w:cs="宋体"/>
                <w:strike/>
                <w:dstrike w:val="0"/>
                <w:color w:val="000000"/>
                <w:kern w:val="0"/>
                <w:szCs w:val="21"/>
                <w:highlight w:val="none"/>
              </w:rPr>
              <w:t>方式二：所有评委的分数汇总后的算术平均值为投标人的技术部分</w:t>
            </w:r>
            <w:r>
              <w:rPr>
                <w:rFonts w:hint="eastAsia" w:ascii="宋体" w:hAnsi="宋体" w:eastAsia="宋体" w:cs="宋体"/>
                <w:strike/>
                <w:dstrike w:val="0"/>
                <w:color w:val="000000"/>
                <w:kern w:val="0"/>
                <w:szCs w:val="21"/>
                <w:highlight w:val="none"/>
                <w:lang w:eastAsia="zh-CN"/>
              </w:rPr>
              <w:t>（</w:t>
            </w:r>
            <w:r>
              <w:rPr>
                <w:rFonts w:hint="eastAsia" w:ascii="宋体" w:hAnsi="宋体" w:eastAsia="宋体" w:cs="宋体"/>
                <w:strike/>
                <w:dstrike w:val="0"/>
                <w:color w:val="000000"/>
                <w:kern w:val="0"/>
                <w:szCs w:val="21"/>
                <w:highlight w:val="none"/>
              </w:rPr>
              <w:t>施工组织方案</w:t>
            </w:r>
            <w:r>
              <w:rPr>
                <w:rFonts w:hint="eastAsia" w:ascii="宋体" w:hAnsi="宋体" w:eastAsia="宋体" w:cs="宋体"/>
                <w:strike/>
                <w:dstrike w:val="0"/>
                <w:color w:val="000000"/>
                <w:kern w:val="0"/>
                <w:szCs w:val="21"/>
                <w:highlight w:val="none"/>
                <w:lang w:eastAsia="zh-CN"/>
              </w:rPr>
              <w:t>）</w:t>
            </w:r>
            <w:r>
              <w:rPr>
                <w:rFonts w:hint="eastAsia" w:ascii="宋体" w:hAnsi="宋体" w:eastAsia="宋体" w:cs="宋体"/>
                <w:strike/>
                <w:dstrike w:val="0"/>
                <w:color w:val="000000"/>
                <w:kern w:val="0"/>
                <w:szCs w:val="21"/>
                <w:highlight w:val="none"/>
              </w:rPr>
              <w:t>、技术部分</w:t>
            </w:r>
            <w:r>
              <w:rPr>
                <w:rFonts w:hint="eastAsia" w:ascii="宋体" w:hAnsi="宋体" w:eastAsia="宋体" w:cs="宋体"/>
                <w:strike/>
                <w:dstrike w:val="0"/>
                <w:color w:val="000000"/>
                <w:kern w:val="0"/>
                <w:szCs w:val="21"/>
                <w:highlight w:val="none"/>
                <w:lang w:eastAsia="zh-CN"/>
              </w:rPr>
              <w:t>（</w:t>
            </w:r>
            <w:r>
              <w:rPr>
                <w:rFonts w:hint="eastAsia" w:ascii="宋体" w:hAnsi="宋体" w:eastAsia="宋体" w:cs="宋体"/>
                <w:strike/>
                <w:dstrike w:val="0"/>
                <w:color w:val="000000"/>
                <w:kern w:val="0"/>
                <w:szCs w:val="21"/>
                <w:highlight w:val="none"/>
              </w:rPr>
              <w:t>项目实施能力</w:t>
            </w:r>
            <w:r>
              <w:rPr>
                <w:rFonts w:hint="eastAsia" w:ascii="宋体" w:hAnsi="宋体" w:eastAsia="宋体" w:cs="宋体"/>
                <w:strike/>
                <w:dstrike w:val="0"/>
                <w:color w:val="000000"/>
                <w:kern w:val="0"/>
                <w:szCs w:val="21"/>
                <w:highlight w:val="none"/>
                <w:lang w:eastAsia="zh-CN"/>
              </w:rPr>
              <w:t>）</w:t>
            </w:r>
            <w:r>
              <w:rPr>
                <w:rFonts w:hint="eastAsia" w:ascii="宋体" w:hAnsi="宋体" w:eastAsia="宋体" w:cs="宋体"/>
                <w:strike/>
                <w:dstrike w:val="0"/>
                <w:color w:val="000000"/>
                <w:kern w:val="0"/>
                <w:szCs w:val="21"/>
                <w:highlight w:val="none"/>
              </w:rPr>
              <w:t>最终得分。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33</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企业诚信综合评价计分</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本项目的企业诚信综合评价得分，以</w:t>
            </w:r>
            <w:r>
              <w:rPr>
                <w:rFonts w:hint="eastAsia" w:ascii="宋体" w:hAnsi="宋体" w:eastAsia="宋体" w:cs="宋体"/>
                <w:highlight w:val="none"/>
                <w:u w:val="single"/>
              </w:rPr>
              <w:t>开标当天广州公共资源交易中心公布的广州市园林绿化企业诚信综合评价体系</w:t>
            </w:r>
            <w:r>
              <w:rPr>
                <w:rFonts w:hint="eastAsia" w:ascii="宋体" w:hAnsi="宋体" w:eastAsia="宋体" w:cs="宋体"/>
                <w:highlight w:val="none"/>
              </w:rPr>
              <w:t>排名得分为准。</w:t>
            </w:r>
          </w:p>
          <w:p>
            <w:pPr>
              <w:rPr>
                <w:rFonts w:hint="eastAsia" w:ascii="宋体" w:hAnsi="宋体" w:eastAsia="宋体" w:cs="宋体"/>
                <w:strike/>
                <w:dstrike w:val="0"/>
                <w:highlight w:val="none"/>
              </w:rPr>
            </w:pPr>
            <w:r>
              <w:rPr>
                <w:rFonts w:hint="eastAsia" w:ascii="宋体" w:hAnsi="宋体" w:eastAsia="宋体" w:cs="宋体"/>
                <w:strike/>
                <w:dstrike w:val="0"/>
                <w:highlight w:val="none"/>
              </w:rPr>
              <w:t>[①同一专业组成联合体的投标人，其企业诚信综合评价排名得分以组成联合体各成员的企业诚信综合评价得分的算术平均值计算。</w:t>
            </w:r>
          </w:p>
          <w:p>
            <w:pPr>
              <w:rPr>
                <w:rFonts w:hint="eastAsia" w:ascii="宋体" w:hAnsi="宋体" w:eastAsia="宋体" w:cs="宋体"/>
                <w:strike/>
                <w:dstrike w:val="0"/>
                <w:highlight w:val="none"/>
              </w:rPr>
            </w:pPr>
            <w:r>
              <w:rPr>
                <w:rFonts w:hint="eastAsia" w:ascii="宋体" w:hAnsi="宋体" w:eastAsia="宋体" w:cs="宋体"/>
                <w:strike/>
                <w:dstrike w:val="0"/>
                <w:highlight w:val="none"/>
              </w:rPr>
              <w:t>②不同专业组成联合体的投标人，</w:t>
            </w:r>
            <w:r>
              <w:rPr>
                <w:rFonts w:hint="eastAsia" w:ascii="宋体" w:hAnsi="宋体" w:eastAsia="宋体" w:cs="宋体"/>
                <w:strike/>
                <w:dstrike w:val="0"/>
                <w:kern w:val="0"/>
                <w:szCs w:val="21"/>
                <w:highlight w:val="none"/>
              </w:rPr>
              <w:t>各投标人诚信综合评价分以最高投标限价中各专业工程的占比作为权重，将其各专业诚信综合评价分加权平均计算。</w:t>
            </w:r>
          </w:p>
          <w:p>
            <w:pPr>
              <w:rPr>
                <w:rFonts w:hint="eastAsia" w:ascii="宋体" w:hAnsi="宋体" w:eastAsia="宋体" w:cs="宋体"/>
                <w:highlight w:val="none"/>
              </w:rPr>
            </w:pPr>
            <w:r>
              <w:rPr>
                <w:rFonts w:hint="eastAsia" w:ascii="宋体" w:hAnsi="宋体" w:eastAsia="宋体" w:cs="宋体"/>
                <w:highlight w:val="none"/>
              </w:rPr>
              <w:t>③已在广州公共资源交易中心办理企业信息登记的投标人，如未获广州市园林绿化企业诚信综合评价分的，则该投标人诚信</w:t>
            </w:r>
            <w:r>
              <w:rPr>
                <w:rFonts w:hint="eastAsia" w:ascii="宋体" w:hAnsi="宋体" w:eastAsia="宋体" w:cs="宋体"/>
                <w:kern w:val="0"/>
                <w:szCs w:val="21"/>
                <w:highlight w:val="none"/>
              </w:rPr>
              <w:t>综合评价</w:t>
            </w:r>
            <w:r>
              <w:rPr>
                <w:rFonts w:hint="eastAsia" w:ascii="宋体" w:hAnsi="宋体" w:eastAsia="宋体" w:cs="宋体"/>
                <w:highlight w:val="none"/>
              </w:rPr>
              <w:t>分为基准分</w:t>
            </w:r>
            <w:r>
              <w:rPr>
                <w:rFonts w:hint="eastAsia" w:ascii="宋体" w:hAnsi="宋体" w:eastAsia="宋体" w:cs="宋体"/>
                <w:highlight w:val="none"/>
                <w:u w:val="single"/>
              </w:rPr>
              <w:t>62</w:t>
            </w:r>
            <w:r>
              <w:rPr>
                <w:rFonts w:hint="eastAsia" w:ascii="宋体" w:hAnsi="宋体" w:eastAsia="宋体" w:cs="宋体"/>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34</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13.4、13.5.2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合同价款的调整办法</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u w:val="single"/>
              </w:rPr>
            </w:pPr>
            <w:r>
              <w:rPr>
                <w:rFonts w:hint="eastAsia" w:ascii="宋体" w:hAnsi="宋体" w:eastAsia="宋体" w:cs="宋体"/>
                <w:color w:val="auto"/>
                <w:highlight w:val="none"/>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35</w:t>
            </w:r>
          </w:p>
        </w:tc>
        <w:tc>
          <w:tcPr>
            <w:tcW w:w="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建设工程质量检测管理办法</w:t>
            </w:r>
          </w:p>
        </w:tc>
        <w:tc>
          <w:tcPr>
            <w:tcW w:w="6466"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cs="宋体"/>
                <w:highlight w:val="none"/>
                <w:u w:val="single"/>
              </w:rPr>
            </w:pPr>
            <w:r>
              <w:rPr>
                <w:rFonts w:hint="eastAsia" w:ascii="宋体" w:hAnsi="宋体" w:eastAsia="宋体" w:cs="宋体"/>
                <w:highlight w:val="none"/>
              </w:rPr>
              <w:t>根据《建设工程质量检测管理办法》（建设部令第141号）第十二条规定，建设工程质量、安全检测业务应由建设单位依法委托，不列入本次招标范围。招标文件中与此条不一致的，以此条为准。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doub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36</w:t>
            </w:r>
          </w:p>
        </w:tc>
        <w:tc>
          <w:tcPr>
            <w:tcW w:w="941" w:type="dxa"/>
            <w:tcBorders>
              <w:top w:val="single" w:color="auto" w:sz="4" w:space="0"/>
              <w:left w:val="single" w:color="auto" w:sz="4" w:space="0"/>
              <w:bottom w:val="doub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highlight w:val="none"/>
              </w:rPr>
              <w:t>36</w:t>
            </w:r>
          </w:p>
        </w:tc>
        <w:tc>
          <w:tcPr>
            <w:tcW w:w="1904" w:type="dxa"/>
            <w:tcBorders>
              <w:top w:val="single" w:color="auto" w:sz="4" w:space="0"/>
              <w:left w:val="single" w:color="auto" w:sz="4" w:space="0"/>
              <w:bottom w:val="double" w:color="auto" w:sz="4" w:space="0"/>
              <w:right w:val="single" w:color="auto" w:sz="4" w:space="0"/>
            </w:tcBorders>
            <w:noWrap w:val="0"/>
            <w:vAlign w:val="center"/>
          </w:tcPr>
          <w:p>
            <w:pPr>
              <w:rPr>
                <w:rFonts w:hint="eastAsia" w:ascii="宋体" w:hAnsi="宋体" w:eastAsia="宋体" w:cs="宋体"/>
                <w:highlight w:val="none"/>
              </w:rPr>
            </w:pPr>
            <w:r>
              <w:rPr>
                <w:rFonts w:hint="eastAsia" w:ascii="宋体" w:hAnsi="宋体" w:eastAsia="宋体" w:cs="宋体"/>
                <w:color w:val="auto"/>
                <w:highlight w:val="none"/>
                <w:u w:val="single"/>
              </w:rPr>
              <w:t>电子招标投标解密失败及突发情况的补救</w:t>
            </w:r>
          </w:p>
        </w:tc>
        <w:tc>
          <w:tcPr>
            <w:tcW w:w="6466" w:type="dxa"/>
            <w:tcBorders>
              <w:top w:val="single" w:color="auto" w:sz="4" w:space="0"/>
              <w:left w:val="single" w:color="auto" w:sz="4" w:space="0"/>
              <w:bottom w:val="double" w:color="auto" w:sz="4" w:space="0"/>
              <w:right w:val="double" w:color="auto" w:sz="4" w:space="0"/>
            </w:tcBorders>
            <w:noWrap w:val="0"/>
            <w:vAlign w:val="center"/>
          </w:tcPr>
          <w:p>
            <w:pPr>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1、按照交易平台关于全流程电子化项目的相关指南进行操作。详见： 《房屋建筑和市政基础设施工程全流程电子化项目专章》 。  </w:t>
            </w:r>
          </w:p>
          <w:p>
            <w:pPr>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2、提交投标文件光盘备用</w:t>
            </w:r>
          </w:p>
          <w:p>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投标人可制作非加密的电子投标文件（PDF格式）刻入光盘（1份），在投标须知前附表第21项规定的时间、地点在递交投标文件截止时间前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w:t>
            </w:r>
            <w:r>
              <w:rPr>
                <w:rFonts w:hint="eastAsia" w:ascii="宋体" w:hAnsi="宋体" w:eastAsia="宋体" w:cs="宋体"/>
                <w:b/>
                <w:bCs/>
                <w:color w:val="auto"/>
                <w:highlight w:val="none"/>
                <w:u w:val="single"/>
              </w:rPr>
              <w:t>投标人也可不提交备用光盘。</w:t>
            </w:r>
          </w:p>
          <w:p>
            <w:pPr>
              <w:rPr>
                <w:rFonts w:hint="eastAsia" w:ascii="宋体" w:hAnsi="宋体" w:eastAsia="宋体" w:cs="宋体"/>
                <w:color w:val="auto"/>
                <w:highlight w:val="none"/>
                <w:u w:val="singl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single"/>
              </w:rPr>
              <w:t>3、补救方案</w:t>
            </w:r>
          </w:p>
          <w:p>
            <w:pPr>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（1）投标文件解密失败的补救方案：</w:t>
            </w:r>
          </w:p>
          <w:p>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（2）评标时突发情况的补救方案</w:t>
            </w:r>
          </w:p>
          <w:p>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若遇不可抗力发生（指网络瘫痪、服务器损坏、交易系统故障短期无法恢复等因素），由评标委员会开启投标人递交的全部投标文件光盘，并按光盘内容进行评审。</w:t>
            </w:r>
          </w:p>
          <w:p>
            <w:pPr>
              <w:ind w:firstLine="420" w:firstLineChars="200"/>
              <w:rPr>
                <w:rFonts w:hint="eastAsia" w:ascii="宋体" w:hAnsi="宋体" w:eastAsia="宋体" w:cs="宋体"/>
                <w:highlight w:val="none"/>
                <w:u w:val="single"/>
              </w:rPr>
            </w:pPr>
            <w:r>
              <w:rPr>
                <w:rFonts w:hint="eastAsia" w:ascii="宋体" w:hAnsi="宋体" w:eastAsia="宋体" w:cs="宋体"/>
                <w:color w:val="auto"/>
                <w:highlight w:val="none"/>
                <w:u w:val="single"/>
              </w:rPr>
              <w:t>（3）除发生上述情况外，开标评标均以投标人通过交易平台网上递交的电子投标文件为准。</w:t>
            </w:r>
          </w:p>
        </w:tc>
      </w:tr>
    </w:tbl>
    <w:p>
      <w:pPr>
        <w:spacing w:line="480" w:lineRule="auto"/>
        <w:ind w:firstLine="537" w:firstLineChars="224"/>
        <w:rPr>
          <w:rFonts w:hint="eastAsia" w:ascii="宋体" w:hAnsi="宋体" w:eastAsia="宋体" w:cs="宋体"/>
          <w:sz w:val="24"/>
          <w:highlight w:val="none"/>
        </w:rPr>
      </w:pPr>
    </w:p>
    <w:p>
      <w:pPr>
        <w:pStyle w:val="4"/>
        <w:spacing w:before="120" w:line="360" w:lineRule="auto"/>
        <w:rPr>
          <w:rFonts w:hint="eastAsia" w:ascii="宋体" w:hAnsi="宋体" w:eastAsia="宋体" w:cs="宋体"/>
          <w:highlight w:val="none"/>
        </w:rPr>
      </w:pPr>
      <w:bookmarkStart w:id="22" w:name="_二、投标须知修改表"/>
      <w:bookmarkEnd w:id="22"/>
      <w:r>
        <w:rPr>
          <w:rFonts w:hint="eastAsia" w:ascii="宋体" w:hAnsi="宋体" w:eastAsia="宋体" w:cs="宋体"/>
          <w:highlight w:val="none"/>
        </w:rPr>
        <w:br w:type="page"/>
      </w:r>
      <w:bookmarkStart w:id="23" w:name="_Toc28948"/>
      <w:bookmarkStart w:id="24" w:name="_Toc262229161"/>
      <w:bookmarkStart w:id="25" w:name="_Toc29501"/>
      <w:bookmarkStart w:id="26" w:name="_Toc4195"/>
      <w:bookmarkStart w:id="27" w:name="_Toc8938"/>
      <w:bookmarkStart w:id="28" w:name="_Toc20294"/>
      <w:bookmarkStart w:id="29" w:name="_Toc18865"/>
      <w:bookmarkStart w:id="30" w:name="_Toc26978"/>
      <w:bookmarkStart w:id="31" w:name="_Toc24309"/>
      <w:r>
        <w:rPr>
          <w:rFonts w:hint="eastAsia" w:ascii="宋体" w:hAnsi="宋体" w:eastAsia="宋体" w:cs="宋体"/>
          <w:highlight w:val="none"/>
        </w:rPr>
        <w:t>二、投标须知修改表</w:t>
      </w:r>
      <w:bookmarkEnd w:id="23"/>
      <w:bookmarkEnd w:id="24"/>
      <w:bookmarkEnd w:id="25"/>
      <w:bookmarkEnd w:id="26"/>
      <w:bookmarkEnd w:id="27"/>
      <w:bookmarkEnd w:id="28"/>
      <w:bookmarkEnd w:id="29"/>
      <w:bookmarkEnd w:id="30"/>
      <w:bookmarkEnd w:id="31"/>
    </w:p>
    <w:p>
      <w:pPr>
        <w:pStyle w:val="9"/>
        <w:spacing w:line="360" w:lineRule="auto"/>
        <w:ind w:firstLine="0"/>
        <w:rPr>
          <w:rFonts w:hint="eastAsia" w:ascii="宋体" w:hAnsi="宋体" w:eastAsia="宋体" w:cs="宋体"/>
          <w:b/>
          <w:szCs w:val="21"/>
          <w:highlight w:val="none"/>
        </w:rPr>
      </w:pPr>
      <w:r>
        <w:rPr>
          <w:rFonts w:hint="eastAsia" w:ascii="宋体" w:hAnsi="宋体" w:eastAsia="宋体" w:cs="宋体"/>
          <w:b/>
          <w:szCs w:val="21"/>
          <w:highlight w:val="none"/>
        </w:rPr>
        <w:t>声明：本投标须知使用GZYLZB2020-1招标文件范本的投标须知通用条款，与该通用条款不同之处，均在本表中列明，修改之处均以下划线标明，并以现文为准，原文不再有效。没有在本表中列明的条款，以原文为准。本招标文件中不再转录投标须知通用条款，请投标人自行到广州市林业和园林局网站（网址：http://lyylj.gz.gov.cn/）下载查阅。</w:t>
      </w:r>
    </w:p>
    <w:p>
      <w:pPr>
        <w:spacing w:line="360" w:lineRule="auto"/>
        <w:ind w:firstLine="472" w:firstLineChars="224"/>
        <w:rPr>
          <w:rFonts w:hint="eastAsia" w:ascii="宋体" w:hAnsi="宋体" w:eastAsia="宋体"/>
          <w:b/>
          <w:szCs w:val="21"/>
          <w:highlight w:val="none"/>
        </w:rPr>
      </w:pPr>
    </w:p>
    <w:p>
      <w:pPr>
        <w:spacing w:line="360" w:lineRule="auto"/>
        <w:ind w:firstLine="472" w:firstLineChars="224"/>
        <w:rPr>
          <w:rFonts w:ascii="宋体" w:hAnsi="宋体" w:eastAsia="宋体"/>
          <w:b/>
          <w:szCs w:val="21"/>
          <w:highlight w:val="none"/>
        </w:rPr>
      </w:pPr>
      <w:r>
        <w:rPr>
          <w:rFonts w:hint="eastAsia" w:ascii="宋体" w:hAnsi="宋体" w:eastAsia="宋体"/>
          <w:b/>
          <w:szCs w:val="21"/>
          <w:highlight w:val="none"/>
        </w:rPr>
        <w:t>条款号：2.5          修改类型：增加</w:t>
      </w:r>
    </w:p>
    <w:p>
      <w:pPr>
        <w:pBdr>
          <w:bottom w:val="single" w:color="auto" w:sz="6" w:space="1"/>
        </w:pBdr>
        <w:spacing w:line="360" w:lineRule="auto"/>
        <w:ind w:firstLine="472" w:firstLineChars="224"/>
        <w:rPr>
          <w:rFonts w:ascii="宋体" w:hAnsi="宋体" w:eastAsia="宋体"/>
          <w:b/>
          <w:szCs w:val="21"/>
          <w:highlight w:val="none"/>
        </w:rPr>
      </w:pPr>
      <w:r>
        <w:rPr>
          <w:rFonts w:hint="eastAsia" w:ascii="宋体" w:hAnsi="宋体" w:eastAsia="宋体"/>
          <w:b/>
          <w:szCs w:val="21"/>
          <w:highlight w:val="none"/>
        </w:rPr>
        <w:t>现文：</w:t>
      </w:r>
      <w:r>
        <w:rPr>
          <w:rFonts w:hint="eastAsia" w:ascii="宋体" w:hAnsi="宋体" w:eastAsia="宋体"/>
          <w:highlight w:val="none"/>
          <w:u w:val="single"/>
        </w:rPr>
        <w:t>2.5根据《建设工程质量检测管理办法》（建设部令141号）第二十条规定，建设工程质量、安全检测业务应由建设单位依法委托，不列入本次招标范围。招标文件中与此条不一致的，以此条为准。</w:t>
      </w:r>
    </w:p>
    <w:p>
      <w:pPr>
        <w:spacing w:line="360" w:lineRule="auto"/>
        <w:ind w:firstLine="422" w:firstLineChars="20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rPr>
        <w:t>条款号：</w:t>
      </w:r>
      <w:r>
        <w:rPr>
          <w:rFonts w:hint="eastAsia" w:ascii="宋体" w:hAnsi="宋体" w:eastAsia="宋体" w:cs="Times New Roman"/>
          <w:b/>
          <w:color w:val="auto"/>
          <w:szCs w:val="21"/>
          <w:highlight w:val="none"/>
          <w:lang w:val="en-US" w:eastAsia="zh-CN"/>
        </w:rPr>
        <w:t>5.1</w:t>
      </w:r>
      <w:r>
        <w:rPr>
          <w:rFonts w:hint="eastAsia" w:ascii="宋体" w:hAnsi="宋体" w:eastAsia="宋体" w:cs="Times New Roman"/>
          <w:b/>
          <w:color w:val="auto"/>
          <w:szCs w:val="21"/>
          <w:highlight w:val="none"/>
        </w:rPr>
        <w:t xml:space="preserve">             修改类型：</w:t>
      </w:r>
      <w:r>
        <w:rPr>
          <w:rFonts w:hint="eastAsia" w:ascii="宋体" w:hAnsi="宋体" w:eastAsia="宋体" w:cs="Times New Roman"/>
          <w:b/>
          <w:color w:val="auto"/>
          <w:szCs w:val="21"/>
          <w:highlight w:val="none"/>
          <w:lang w:val="en-US" w:eastAsia="zh-CN"/>
        </w:rPr>
        <w:t>修改</w:t>
      </w:r>
    </w:p>
    <w:p>
      <w:pPr>
        <w:spacing w:line="360" w:lineRule="auto"/>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原文：</w:t>
      </w:r>
      <w:r>
        <w:rPr>
          <w:rFonts w:hint="eastAsia" w:ascii="宋体" w:hAnsi="宋体" w:eastAsia="宋体" w:cs="Times New Roman"/>
          <w:b/>
          <w:color w:val="auto"/>
          <w:szCs w:val="21"/>
          <w:highlight w:val="none"/>
          <w:lang w:val="en-US" w:eastAsia="zh-CN"/>
        </w:rPr>
        <w:t>：</w:t>
      </w:r>
      <w:r>
        <w:rPr>
          <w:rFonts w:hint="eastAsia" w:ascii="宋体" w:hAnsi="宋体" w:eastAsia="宋体" w:cs="宋体"/>
          <w:bCs/>
          <w:sz w:val="21"/>
          <w:szCs w:val="21"/>
          <w:highlight w:val="none"/>
        </w:rPr>
        <w:t>5.1 投标人应按本投标须知前附表第16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4" w:space="0"/>
        </w:pBdr>
        <w:spacing w:line="360" w:lineRule="auto"/>
        <w:ind w:firstLine="422" w:firstLineChars="200"/>
        <w:rPr>
          <w:rFonts w:hint="eastAsia" w:ascii="宋体" w:hAnsi="宋体" w:eastAsia="宋体" w:cs="宋体"/>
          <w:bCs/>
          <w:sz w:val="21"/>
          <w:szCs w:val="21"/>
          <w:highlight w:val="none"/>
        </w:rPr>
      </w:pPr>
      <w:r>
        <w:rPr>
          <w:rFonts w:hint="eastAsia" w:ascii="宋体" w:hAnsi="宋体" w:eastAsia="宋体" w:cs="Times New Roman"/>
          <w:b/>
          <w:color w:val="auto"/>
          <w:szCs w:val="21"/>
          <w:highlight w:val="none"/>
          <w:lang w:val="en-US" w:eastAsia="zh-CN"/>
        </w:rPr>
        <w:t>现文</w:t>
      </w:r>
      <w:r>
        <w:rPr>
          <w:rFonts w:hint="eastAsia" w:ascii="宋体" w:hAnsi="宋体" w:eastAsia="宋体" w:cs="宋体"/>
          <w:bCs/>
          <w:sz w:val="21"/>
          <w:szCs w:val="21"/>
          <w:highlight w:val="none"/>
        </w:rPr>
        <w:t>5.1 投标人应按本投标须知前附表第16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Cs/>
          <w:sz w:val="21"/>
          <w:szCs w:val="21"/>
          <w:highlight w:val="none"/>
          <w:u w:val="single"/>
        </w:rPr>
        <w:t>投标人不进行踏勘的，视为已熟知现场条件，自行承担相关风险</w:t>
      </w:r>
      <w:r>
        <w:rPr>
          <w:rFonts w:hint="eastAsia" w:ascii="宋体" w:hAnsi="宋体" w:eastAsia="宋体" w:cs="宋体"/>
          <w:bCs/>
          <w:sz w:val="21"/>
          <w:szCs w:val="21"/>
          <w:highlight w:val="none"/>
          <w:u w:val="single"/>
          <w:lang w:eastAsia="zh-CN"/>
        </w:rPr>
        <w:t>。</w:t>
      </w:r>
      <w:r>
        <w:rPr>
          <w:rFonts w:hint="eastAsia" w:ascii="宋体" w:hAnsi="宋体" w:eastAsia="宋体" w:cs="宋体"/>
          <w:bCs/>
          <w:sz w:val="21"/>
          <w:szCs w:val="21"/>
          <w:highlight w:val="none"/>
        </w:rPr>
        <w:t>一旦中标，这种考察即被认为其结果已在中标文件中得到充分反映。考察现场的费用由投标人自己承担。</w:t>
      </w:r>
    </w:p>
    <w:p>
      <w:pPr>
        <w:spacing w:line="360" w:lineRule="auto"/>
        <w:ind w:firstLine="472" w:firstLineChars="224"/>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b/>
          <w:color w:val="auto"/>
          <w:sz w:val="21"/>
          <w:szCs w:val="21"/>
          <w:highlight w:val="none"/>
          <w:lang w:val="en-US" w:eastAsia="zh-CN"/>
        </w:rPr>
        <w:t>8.1</w:t>
      </w:r>
      <w:r>
        <w:rPr>
          <w:rFonts w:hint="eastAsia" w:ascii="宋体" w:hAnsi="宋体" w:eastAsia="宋体"/>
          <w:b/>
          <w:color w:val="auto"/>
          <w:sz w:val="21"/>
          <w:szCs w:val="21"/>
          <w:highlight w:val="none"/>
        </w:rPr>
        <w:t xml:space="preserve">             修改类型：修改</w:t>
      </w:r>
    </w:p>
    <w:p>
      <w:pPr>
        <w:pStyle w:val="9"/>
        <w:spacing w:after="0" w:line="360" w:lineRule="auto"/>
        <w:ind w:firstLine="422" w:firstLineChars="200"/>
        <w:rPr>
          <w:rFonts w:ascii="宋体" w:hAnsi="宋体" w:eastAsia="宋体"/>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olor w:val="auto"/>
          <w:sz w:val="21"/>
          <w:szCs w:val="21"/>
          <w:highlight w:val="none"/>
        </w:rPr>
        <w:t>8.1 招标答疑采用网上答疑方式。投标人若对招标文件（包括招标图纸、清单、最高投标限价）有疑问的，可在规定的时间内通过广州公共资源交易中心网站凭密码进入提问区域将问题提交给招标人或招标代理机构，提交问题时一律不得署名。</w:t>
      </w:r>
    </w:p>
    <w:p>
      <w:pPr>
        <w:spacing w:line="360" w:lineRule="auto"/>
        <w:ind w:firstLine="420" w:firstLineChars="200"/>
        <w:rPr>
          <w:rFonts w:ascii="宋体" w:hAnsi="宋体" w:eastAsia="宋体"/>
          <w:b/>
          <w:color w:val="auto"/>
          <w:sz w:val="21"/>
          <w:szCs w:val="21"/>
          <w:highlight w:val="none"/>
        </w:rPr>
      </w:pPr>
      <w:r>
        <w:rPr>
          <w:rFonts w:hint="eastAsia" w:ascii="宋体" w:hAnsi="宋体" w:eastAsia="宋体"/>
          <w:color w:val="auto"/>
          <w:sz w:val="21"/>
          <w:szCs w:val="21"/>
          <w:highlight w:val="none"/>
        </w:rPr>
        <w:t>网上答疑的操作指南为：登陆广州公共资源交易中心网站→进入“建设工程”交易业务→进入“网上答疑”专区→通过项目编号或名称找到所需的项目→在上述的答疑时间内点击“提问” →进入到提问区域→无记名或匿名提出问题以及查看所有的问题。</w:t>
      </w:r>
    </w:p>
    <w:p>
      <w:pPr>
        <w:pBdr>
          <w:bottom w:val="single" w:color="auto" w:sz="6" w:space="1"/>
        </w:pBdr>
        <w:spacing w:line="360" w:lineRule="auto"/>
        <w:ind w:firstLine="422" w:firstLineChars="200"/>
        <w:rPr>
          <w:rFonts w:hint="eastAsia" w:ascii="宋体" w:hAnsi="宋体" w:eastAsia="宋体"/>
          <w:b w:val="0"/>
          <w:bCs/>
          <w:color w:val="auto"/>
          <w:sz w:val="21"/>
          <w:szCs w:val="21"/>
          <w:highlight w:val="none"/>
          <w:u w:val="single"/>
        </w:rPr>
      </w:pPr>
      <w:r>
        <w:rPr>
          <w:rFonts w:hint="eastAsia" w:ascii="宋体" w:hAnsi="宋体" w:eastAsia="宋体"/>
          <w:b/>
          <w:color w:val="auto"/>
          <w:sz w:val="21"/>
          <w:szCs w:val="21"/>
          <w:highlight w:val="none"/>
        </w:rPr>
        <w:t>现文：</w:t>
      </w:r>
      <w:r>
        <w:rPr>
          <w:rFonts w:hint="eastAsia" w:ascii="宋体" w:hAnsi="宋体" w:eastAsia="宋体"/>
          <w:b w:val="0"/>
          <w:bCs/>
          <w:color w:val="auto"/>
          <w:sz w:val="21"/>
          <w:szCs w:val="21"/>
          <w:highlight w:val="none"/>
          <w:u w:val="single"/>
        </w:rPr>
        <w:t>8.1 招标答疑采用网上答疑方式。投标人若对招标文件（包括招标图纸、清单、最高投标限价）有疑问的，可在规定的时间内通过广州公共资源交易中心网站进入提问区域将问题提交给招标人或招标代理机构，提交问题时一律不得署名。</w:t>
      </w:r>
    </w:p>
    <w:p>
      <w:pPr>
        <w:pBdr>
          <w:bottom w:val="single" w:color="auto" w:sz="6" w:space="1"/>
        </w:pBdr>
        <w:spacing w:line="360" w:lineRule="auto"/>
        <w:ind w:firstLine="420" w:firstLineChars="200"/>
        <w:rPr>
          <w:rFonts w:hint="eastAsia" w:ascii="宋体" w:hAnsi="宋体" w:eastAsia="宋体"/>
          <w:b w:val="0"/>
          <w:bCs/>
          <w:color w:val="auto"/>
          <w:sz w:val="21"/>
          <w:szCs w:val="21"/>
          <w:highlight w:val="none"/>
          <w:u w:val="single"/>
          <w:lang w:eastAsia="zh-CN"/>
        </w:rPr>
      </w:pPr>
      <w:r>
        <w:rPr>
          <w:rFonts w:hint="eastAsia" w:ascii="宋体" w:hAnsi="宋体" w:eastAsia="宋体"/>
          <w:b w:val="0"/>
          <w:bCs/>
          <w:color w:val="auto"/>
          <w:sz w:val="21"/>
          <w:szCs w:val="21"/>
          <w:highlight w:val="none"/>
          <w:u w:val="single"/>
        </w:rPr>
        <w:t>网上答疑的操作指南为：投标人登录交易中心数字交易平台，进入“我是投标人（供应商）”-&gt;“我的投标”-&gt;“招标答疑提问”查询项目并提问，具体操作方法详见《房建市政全流程电子化项目操作专章》。投标人网上提问截止时间：在提交投标文件截止时间18天前提出。招标人应在投标截止时间15日前解答投标人对招标文件提出的疑问，形成答疑纪要，在广州公共资源交易中心网站发布。投标人可直接从交易中心网站“项目查询（日程安排、答疑纪要）”专区进入，下载项目的答疑纪要；也可以登录交易中心数字交易平台“我是投标人（供应商）”-&gt;“我的投标项目”-&gt;“答疑纪要”。</w:t>
      </w:r>
    </w:p>
    <w:p>
      <w:pPr>
        <w:spacing w:line="360" w:lineRule="auto"/>
        <w:ind w:firstLine="472" w:firstLineChars="224"/>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条款号：11.1             修改类型：修改</w:t>
      </w:r>
    </w:p>
    <w:p>
      <w:pPr>
        <w:pBdr>
          <w:bottom w:val="single" w:color="auto" w:sz="6" w:space="1"/>
        </w:pBdr>
        <w:spacing w:line="360" w:lineRule="auto"/>
        <w:ind w:firstLine="472" w:firstLineChars="224"/>
        <w:rPr>
          <w:rFonts w:ascii="宋体" w:hAnsi="宋体" w:eastAsia="宋体"/>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olor w:val="auto"/>
          <w:sz w:val="21"/>
          <w:szCs w:val="21"/>
          <w:highlight w:val="none"/>
        </w:rPr>
        <w:t>11.1投标文件由资格审查部分和技术经济部分两部分组成。</w:t>
      </w:r>
    </w:p>
    <w:p>
      <w:pPr>
        <w:pBdr>
          <w:bottom w:val="single" w:color="auto" w:sz="6" w:space="1"/>
        </w:pBdr>
        <w:spacing w:line="360" w:lineRule="auto"/>
        <w:ind w:firstLine="472" w:firstLineChars="224"/>
        <w:rPr>
          <w:rFonts w:ascii="宋体" w:hAnsi="宋体" w:eastAsia="宋体"/>
          <w:color w:val="auto"/>
          <w:sz w:val="21"/>
          <w:szCs w:val="21"/>
          <w:highlight w:val="none"/>
          <w:u w:val="single"/>
        </w:rPr>
      </w:pPr>
      <w:r>
        <w:rPr>
          <w:rFonts w:hint="eastAsia" w:ascii="宋体" w:hAnsi="宋体" w:eastAsia="宋体"/>
          <w:b/>
          <w:color w:val="auto"/>
          <w:sz w:val="21"/>
          <w:szCs w:val="21"/>
          <w:highlight w:val="none"/>
        </w:rPr>
        <w:t>现文：</w:t>
      </w:r>
      <w:r>
        <w:rPr>
          <w:rFonts w:hint="eastAsia" w:ascii="宋体" w:hAnsi="宋体" w:eastAsia="宋体"/>
          <w:color w:val="auto"/>
          <w:sz w:val="21"/>
          <w:szCs w:val="21"/>
          <w:highlight w:val="none"/>
        </w:rPr>
        <w:t>11.1投标文件由资格审查部分和技术经济部分两部分组成。</w:t>
      </w:r>
      <w:r>
        <w:rPr>
          <w:rFonts w:hint="eastAsia" w:ascii="宋体" w:hAnsi="宋体" w:eastAsia="宋体"/>
          <w:color w:val="auto"/>
          <w:sz w:val="21"/>
          <w:szCs w:val="21"/>
          <w:highlight w:val="none"/>
          <w:u w:val="single"/>
        </w:rPr>
        <w:t>中标人在中标公示后，须提供与递交投标电子标书内容一致且每页加盖单位公章的纸质文件一式四份及电子文件光盘一份（不用生成投标书；包括经济标报价套价软件版、XML版和Microsoft Excel软件版及用Microsoft Word 软件或广州市建设工程交易中心提供的投标书制作软件制作的经济投标文件其他部分。电子文件介质使用CD-R光盘，所有电子文件不能采用压缩处理）。</w:t>
      </w:r>
    </w:p>
    <w:p>
      <w:pPr>
        <w:spacing w:line="360" w:lineRule="auto"/>
        <w:ind w:firstLine="472" w:firstLineChars="224"/>
        <w:rPr>
          <w:rFonts w:hint="eastAsia" w:ascii="宋体" w:hAnsi="宋体" w:eastAsia="宋体" w:cs="宋体"/>
          <w:b/>
          <w:szCs w:val="21"/>
          <w:highlight w:val="none"/>
          <w:lang w:eastAsia="zh-CN"/>
        </w:rPr>
      </w:pPr>
      <w:r>
        <w:rPr>
          <w:rFonts w:hint="eastAsia" w:ascii="宋体" w:hAnsi="宋体" w:eastAsia="宋体" w:cs="宋体"/>
          <w:b/>
          <w:szCs w:val="21"/>
          <w:highlight w:val="none"/>
        </w:rPr>
        <w:t>条款号：</w:t>
      </w:r>
      <w:r>
        <w:rPr>
          <w:rFonts w:hint="eastAsia" w:ascii="宋体" w:hAnsi="宋体" w:eastAsia="宋体" w:cs="宋体"/>
          <w:b/>
          <w:szCs w:val="21"/>
          <w:highlight w:val="none"/>
          <w:lang w:val="en-US" w:eastAsia="zh-CN"/>
        </w:rPr>
        <w:t>11.2</w:t>
      </w:r>
      <w:r>
        <w:rPr>
          <w:rFonts w:hint="eastAsia" w:ascii="宋体" w:hAnsi="宋体" w:eastAsia="宋体" w:cs="宋体"/>
          <w:b/>
          <w:szCs w:val="21"/>
          <w:highlight w:val="none"/>
        </w:rPr>
        <w:t xml:space="preserve">             修改类型：</w:t>
      </w:r>
      <w:r>
        <w:rPr>
          <w:rFonts w:hint="eastAsia" w:ascii="宋体" w:hAnsi="宋体" w:eastAsia="宋体" w:cs="宋体"/>
          <w:b/>
          <w:szCs w:val="21"/>
          <w:highlight w:val="none"/>
          <w:lang w:val="en-US" w:eastAsia="zh-CN"/>
        </w:rPr>
        <w:t>修改</w:t>
      </w:r>
    </w:p>
    <w:p>
      <w:pPr>
        <w:spacing w:line="360" w:lineRule="auto"/>
        <w:ind w:firstLine="422" w:firstLineChars="200"/>
        <w:rPr>
          <w:rFonts w:hint="eastAsia" w:ascii="宋体" w:hAnsi="宋体" w:eastAsia="宋体" w:cs="宋体"/>
          <w:bCs/>
          <w:sz w:val="21"/>
          <w:szCs w:val="21"/>
          <w:highlight w:val="none"/>
        </w:rPr>
      </w:pPr>
      <w:r>
        <w:rPr>
          <w:rFonts w:hint="eastAsia" w:ascii="宋体" w:hAnsi="宋体" w:eastAsia="宋体"/>
          <w:b/>
          <w:color w:val="auto"/>
          <w:szCs w:val="21"/>
          <w:highlight w:val="none"/>
        </w:rPr>
        <w:t>原文：</w:t>
      </w:r>
      <w:r>
        <w:rPr>
          <w:rFonts w:hint="eastAsia" w:ascii="宋体" w:hAnsi="宋体" w:eastAsia="宋体" w:cs="宋体"/>
          <w:bCs/>
          <w:sz w:val="21"/>
          <w:szCs w:val="21"/>
          <w:highlight w:val="none"/>
        </w:rPr>
        <w:t>11.2资格审查文件主要包括的内容：</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11.2.1法定代表人证明书，如投标文件为委托代理人签署应同时附上法定代表人证明书和法定代表人授权书；</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11.2.2</w:t>
      </w:r>
      <w:r>
        <w:rPr>
          <w:rFonts w:hint="eastAsia" w:ascii="宋体" w:hAnsi="宋体" w:eastAsia="宋体" w:cs="宋体"/>
          <w:sz w:val="21"/>
          <w:szCs w:val="21"/>
          <w:highlight w:val="none"/>
        </w:rPr>
        <w:t>工商行政管理部门核发的营业执照；</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11.2.3项目负责人（按招标公告要求和网上投标登记时选择拟投标的项目负责人）；</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11.2.4用于资格审查的业绩（设置业绩要求时选择此项，投标人选择用于资格审查的业绩须用本企业的CA数字证书对生成的内容进行签章）；</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11.2.5</w:t>
      </w:r>
      <w:r>
        <w:rPr>
          <w:rFonts w:hint="eastAsia" w:ascii="宋体" w:hAnsi="宋体" w:eastAsia="宋体" w:cs="宋体"/>
          <w:sz w:val="21"/>
          <w:szCs w:val="21"/>
          <w:highlight w:val="none"/>
        </w:rPr>
        <w:t>专职安全人员须具有在有效期内的安全生产考核合格证书（C类），或能够提供广东省建筑施工企业管理人员安全生产考核信息系统安全生产管理人员证书信息的打印页</w:t>
      </w:r>
      <w:r>
        <w:rPr>
          <w:rFonts w:hint="eastAsia" w:ascii="宋体" w:hAnsi="宋体" w:eastAsia="宋体" w:cs="宋体"/>
          <w:bCs/>
          <w:sz w:val="21"/>
          <w:szCs w:val="21"/>
          <w:highlight w:val="none"/>
        </w:rPr>
        <w:t>（按网上投标登记时选择拟派专职安全员）；</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11.2.6</w:t>
      </w:r>
      <w:r>
        <w:rPr>
          <w:rFonts w:hint="eastAsia" w:ascii="宋体" w:hAnsi="宋体" w:eastAsia="宋体" w:cs="宋体"/>
          <w:sz w:val="21"/>
          <w:szCs w:val="21"/>
          <w:highlight w:val="none"/>
        </w:rPr>
        <w:t>投标人按照规定的格式及内容要求签署的《投标人声明》（格式见第四章）；</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11.2.7列明主办单位的联合体工作协议（采用联合体投标时需递交，投标人拟任本工程项目负责人应为联合体主办方企业信息登记中的在册人员，联合体工作协议应明确约定各方拟承担的工作和责任）；</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注：资格审查内容的11.2.2至11.2.5项</w:t>
      </w:r>
      <w:r>
        <w:rPr>
          <w:rFonts w:hint="eastAsia" w:ascii="宋体" w:hAnsi="宋体" w:eastAsia="宋体" w:cs="宋体"/>
          <w:sz w:val="21"/>
          <w:szCs w:val="21"/>
          <w:highlight w:val="none"/>
        </w:rPr>
        <w:t>（除广东省建筑施工企业管理人员安全生产考核信息系统安全生产管理人员证书信息的打印页、《信息公开证明》打印页外）的资料取自投标申请人在广州公共资源交易中心企业库、广州公共资源交易中心城市园林绿化企业工程业绩库中的资料，广州公共资源交易中心企业库、广州公共资源交易中心城市园林绿化企业工程业绩库中该部分信息将被视为投标申请人递交的资格审查资料的一部分，</w:t>
      </w:r>
      <w:r>
        <w:rPr>
          <w:rFonts w:hint="eastAsia" w:ascii="宋体" w:hAnsi="宋体" w:eastAsia="宋体" w:cs="宋体"/>
          <w:bCs/>
          <w:sz w:val="21"/>
          <w:szCs w:val="21"/>
          <w:highlight w:val="none"/>
        </w:rPr>
        <w:t>资格审查文件不需另行提交。</w:t>
      </w:r>
    </w:p>
    <w:p>
      <w:pPr>
        <w:spacing w:line="360" w:lineRule="auto"/>
        <w:ind w:firstLine="422" w:firstLineChars="200"/>
        <w:rPr>
          <w:rFonts w:hint="eastAsia" w:ascii="宋体" w:hAnsi="宋体" w:eastAsia="宋体" w:cs="宋体"/>
          <w:bCs/>
          <w:sz w:val="21"/>
          <w:szCs w:val="21"/>
          <w:highlight w:val="none"/>
        </w:rPr>
      </w:pPr>
      <w:r>
        <w:rPr>
          <w:rFonts w:hint="eastAsia" w:ascii="宋体" w:hAnsi="宋体" w:eastAsia="宋体" w:cs="宋体"/>
          <w:b/>
          <w:szCs w:val="21"/>
          <w:highlight w:val="none"/>
        </w:rPr>
        <w:t>现文：</w:t>
      </w:r>
      <w:r>
        <w:rPr>
          <w:rFonts w:hint="eastAsia" w:ascii="宋体" w:hAnsi="宋体" w:eastAsia="宋体" w:cs="宋体"/>
          <w:bCs/>
          <w:sz w:val="21"/>
          <w:szCs w:val="21"/>
          <w:highlight w:val="none"/>
        </w:rPr>
        <w:t>11.2资格审查文件主要包括的内容：</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11.2.1法定代表人证明书，如投标文件为委托代理人签署应同时附上法定代表人证明书和法定代表人授权书；</w:t>
      </w:r>
    </w:p>
    <w:p>
      <w:pPr>
        <w:spacing w:line="360" w:lineRule="auto"/>
        <w:ind w:firstLine="420" w:firstLineChars="200"/>
        <w:rPr>
          <w:rFonts w:hint="eastAsia" w:ascii="宋体" w:hAnsi="宋体" w:eastAsia="宋体" w:cs="宋体"/>
          <w:bCs/>
          <w:sz w:val="21"/>
          <w:szCs w:val="21"/>
          <w:highlight w:val="none"/>
          <w:u w:val="single"/>
          <w:lang w:val="en-US" w:eastAsia="zh-CN"/>
        </w:rPr>
      </w:pPr>
      <w:r>
        <w:rPr>
          <w:rFonts w:hint="eastAsia" w:ascii="宋体" w:hAnsi="宋体" w:eastAsia="宋体" w:cs="宋体"/>
          <w:bCs/>
          <w:sz w:val="21"/>
          <w:szCs w:val="21"/>
          <w:highlight w:val="none"/>
          <w:u w:val="single"/>
          <w:lang w:val="en-US" w:eastAsia="zh-CN"/>
        </w:rPr>
        <w:t>11.2.2投标人均具有独立法人资格，按国家法律经营；</w:t>
      </w:r>
    </w:p>
    <w:p>
      <w:pPr>
        <w:spacing w:line="360" w:lineRule="auto"/>
        <w:ind w:firstLine="420" w:firstLineChars="200"/>
        <w:rPr>
          <w:rFonts w:hint="eastAsia" w:ascii="宋体" w:hAnsi="宋体" w:eastAsia="宋体" w:cs="宋体"/>
          <w:bCs/>
          <w:sz w:val="21"/>
          <w:szCs w:val="21"/>
          <w:highlight w:val="none"/>
          <w:u w:val="single"/>
          <w:lang w:val="en-US" w:eastAsia="zh-CN"/>
        </w:rPr>
      </w:pPr>
      <w:r>
        <w:rPr>
          <w:rFonts w:hint="eastAsia" w:ascii="宋体" w:hAnsi="宋体" w:eastAsia="宋体" w:cs="宋体"/>
          <w:bCs/>
          <w:sz w:val="21"/>
          <w:szCs w:val="21"/>
          <w:highlight w:val="none"/>
          <w:u w:val="single"/>
          <w:lang w:val="en-US" w:eastAsia="zh-CN"/>
        </w:rPr>
        <w:t>11.2.3企业资质证书及安全生产许可证（按招标公告要求）；</w:t>
      </w:r>
    </w:p>
    <w:p>
      <w:pPr>
        <w:spacing w:line="360" w:lineRule="auto"/>
        <w:ind w:firstLine="420" w:firstLineChars="200"/>
        <w:rPr>
          <w:rFonts w:hint="eastAsia" w:ascii="宋体" w:hAnsi="宋体" w:eastAsia="宋体" w:cs="宋体"/>
          <w:bCs/>
          <w:sz w:val="21"/>
          <w:szCs w:val="21"/>
          <w:highlight w:val="none"/>
          <w:u w:val="single"/>
          <w:lang w:val="en-US" w:eastAsia="zh-CN"/>
        </w:rPr>
      </w:pPr>
      <w:r>
        <w:rPr>
          <w:rFonts w:hint="eastAsia" w:ascii="宋体" w:hAnsi="宋体" w:eastAsia="宋体" w:cs="宋体"/>
          <w:bCs/>
          <w:sz w:val="21"/>
          <w:szCs w:val="21"/>
          <w:highlight w:val="none"/>
          <w:u w:val="single"/>
          <w:lang w:val="en-US" w:eastAsia="zh-CN"/>
        </w:rPr>
        <w:t>11.2.4项目负责人（按招标公告要求和网上投标登记时选择拟投标的项目负责人）；</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11.2.5</w:t>
      </w:r>
      <w:r>
        <w:rPr>
          <w:rFonts w:hint="eastAsia" w:ascii="宋体" w:hAnsi="宋体" w:eastAsia="宋体" w:cs="宋体"/>
          <w:sz w:val="21"/>
          <w:szCs w:val="21"/>
          <w:highlight w:val="none"/>
        </w:rPr>
        <w:t>专职安全人员须具有在有效期内的安全生产考核合格证书（C类），或能够提供广东省建筑施工企业管理人员安全生产考核信息系统安全生产管理人员证书信息的打印页</w:t>
      </w:r>
      <w:r>
        <w:rPr>
          <w:rFonts w:hint="eastAsia" w:ascii="宋体" w:hAnsi="宋体" w:eastAsia="宋体" w:cs="宋体"/>
          <w:bCs/>
          <w:sz w:val="21"/>
          <w:szCs w:val="21"/>
          <w:highlight w:val="none"/>
        </w:rPr>
        <w:t>（按网上投标登记时选择拟派专职安全员）；</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11.2.6</w:t>
      </w:r>
      <w:r>
        <w:rPr>
          <w:rFonts w:hint="eastAsia" w:ascii="宋体" w:hAnsi="宋体" w:eastAsia="宋体" w:cs="宋体"/>
          <w:sz w:val="21"/>
          <w:szCs w:val="21"/>
          <w:highlight w:val="none"/>
        </w:rPr>
        <w:t>投标人按照规定的格式及内容要求签署的《投标人声明》（格式见第四章）；</w:t>
      </w:r>
    </w:p>
    <w:p>
      <w:pPr>
        <w:spacing w:line="360" w:lineRule="auto"/>
        <w:ind w:firstLine="420" w:firstLineChars="20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11.2.7</w:t>
      </w:r>
      <w:r>
        <w:rPr>
          <w:rFonts w:hint="eastAsia" w:ascii="宋体" w:hAnsi="宋体" w:eastAsia="宋体" w:cs="宋体"/>
          <w:bCs/>
          <w:sz w:val="21"/>
          <w:szCs w:val="21"/>
          <w:highlight w:val="none"/>
          <w:u w:val="single"/>
          <w:lang w:val="en-US" w:eastAsia="zh-CN"/>
        </w:rPr>
        <w:t>本项目不接受联合体投标</w:t>
      </w:r>
      <w:r>
        <w:rPr>
          <w:rFonts w:hint="eastAsia" w:ascii="宋体" w:hAnsi="宋体" w:eastAsia="宋体" w:cs="宋体"/>
          <w:bCs/>
          <w:sz w:val="21"/>
          <w:szCs w:val="21"/>
          <w:highlight w:val="none"/>
          <w:u w:val="single"/>
        </w:rPr>
        <w:t>；</w:t>
      </w:r>
    </w:p>
    <w:p>
      <w:pPr>
        <w:spacing w:line="360" w:lineRule="auto"/>
        <w:ind w:firstLine="420" w:firstLineChars="20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11.2.</w:t>
      </w:r>
      <w:r>
        <w:rPr>
          <w:rFonts w:hint="eastAsia" w:ascii="宋体" w:hAnsi="宋体" w:eastAsia="宋体" w:cs="宋体"/>
          <w:bCs/>
          <w:sz w:val="21"/>
          <w:szCs w:val="21"/>
          <w:highlight w:val="none"/>
          <w:u w:val="single"/>
          <w:lang w:val="en-US" w:eastAsia="zh-CN"/>
        </w:rPr>
        <w:t>8</w:t>
      </w:r>
      <w:r>
        <w:rPr>
          <w:rFonts w:hint="eastAsia" w:ascii="宋体" w:hAnsi="宋体" w:eastAsia="宋体" w:cs="宋体"/>
          <w:bCs/>
          <w:sz w:val="21"/>
          <w:szCs w:val="21"/>
          <w:highlight w:val="none"/>
          <w:u w:val="single"/>
        </w:rPr>
        <w:t>未被列入国家、省、市失信联合惩戒名单（具体名单以递交投标文件截止时间“信用广州”网站公布的“失信联合惩戒黑名单——国家下发”为准），或未因失信行为被本项目所在地行政主管部门作出限制参与工程建设项目投标的决定。</w:t>
      </w:r>
    </w:p>
    <w:p>
      <w:pPr>
        <w:spacing w:line="360" w:lineRule="auto"/>
        <w:ind w:firstLine="420" w:firstLineChars="20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11.2.</w:t>
      </w:r>
      <w:r>
        <w:rPr>
          <w:rFonts w:hint="eastAsia" w:ascii="宋体" w:hAnsi="宋体" w:eastAsia="宋体" w:cs="宋体"/>
          <w:bCs/>
          <w:sz w:val="21"/>
          <w:szCs w:val="21"/>
          <w:highlight w:val="none"/>
          <w:u w:val="single"/>
          <w:lang w:val="en-US" w:eastAsia="zh-CN"/>
        </w:rPr>
        <w:t>9</w:t>
      </w:r>
      <w:r>
        <w:rPr>
          <w:rFonts w:hint="eastAsia" w:ascii="宋体" w:hAnsi="宋体" w:eastAsia="宋体" w:cs="宋体"/>
          <w:bCs/>
          <w:sz w:val="21"/>
          <w:szCs w:val="21"/>
          <w:highlight w:val="none"/>
          <w:u w:val="single"/>
        </w:rPr>
        <w:t>单位负责人为同一人或者存在控股、管理关系的不同单位，不得同时参加本招标项目投标。</w:t>
      </w:r>
    </w:p>
    <w:p>
      <w:pPr>
        <w:pBdr>
          <w:bottom w:val="single" w:color="auto" w:sz="4" w:space="0"/>
        </w:pBd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注：资格审查内容的11.2.2至11.2.5项</w:t>
      </w:r>
      <w:r>
        <w:rPr>
          <w:rFonts w:hint="eastAsia" w:ascii="宋体" w:hAnsi="宋体" w:eastAsia="宋体" w:cs="宋体"/>
          <w:sz w:val="21"/>
          <w:szCs w:val="21"/>
          <w:highlight w:val="none"/>
        </w:rPr>
        <w:t>（除广东省建筑施工企业管理人员安全生产考核信息系统安全生产管理人员证书信息的打印页、《信息公开证明》打印页外）的资料取自投标申请人在广州公共资源交易中心企业库、广州公共资源交易中心城市园林绿化企业工程业绩库中的资料，广州公共资源交易中心企业库、广州公共资源交易中心城市园林绿化企业工程业绩库中该部分信息将被视为投标申请人递交的资格审查资料的一部分，</w:t>
      </w:r>
      <w:r>
        <w:rPr>
          <w:rFonts w:hint="eastAsia" w:ascii="宋体" w:hAnsi="宋体" w:eastAsia="宋体" w:cs="宋体"/>
          <w:bCs/>
          <w:sz w:val="21"/>
          <w:szCs w:val="21"/>
          <w:highlight w:val="none"/>
        </w:rPr>
        <w:t>资格审查文件不需另行提交。</w:t>
      </w:r>
    </w:p>
    <w:p>
      <w:pPr>
        <w:spacing w:line="360" w:lineRule="auto"/>
        <w:ind w:firstLine="472" w:firstLineChars="224"/>
        <w:rPr>
          <w:rFonts w:ascii="宋体" w:hAnsi="宋体" w:eastAsia="宋体"/>
          <w:b/>
          <w:color w:val="auto"/>
          <w:sz w:val="21"/>
          <w:szCs w:val="21"/>
          <w:highlight w:val="none"/>
        </w:rPr>
      </w:pPr>
      <w:bookmarkStart w:id="32" w:name="_三、投标须知通用条款"/>
      <w:bookmarkEnd w:id="32"/>
      <w:r>
        <w:rPr>
          <w:rFonts w:hint="eastAsia" w:ascii="宋体" w:hAnsi="宋体" w:eastAsia="宋体"/>
          <w:b/>
          <w:color w:val="auto"/>
          <w:sz w:val="21"/>
          <w:szCs w:val="21"/>
          <w:highlight w:val="none"/>
        </w:rPr>
        <w:t>条款号：</w:t>
      </w:r>
      <w:r>
        <w:rPr>
          <w:rFonts w:hint="eastAsia" w:ascii="宋体" w:hAnsi="宋体" w:eastAsia="宋体"/>
          <w:b/>
          <w:color w:val="auto"/>
          <w:sz w:val="21"/>
          <w:szCs w:val="21"/>
          <w:highlight w:val="none"/>
          <w:lang w:val="en-US" w:eastAsia="zh-CN"/>
        </w:rPr>
        <w:t>11.3（2）</w:t>
      </w:r>
      <w:r>
        <w:rPr>
          <w:rFonts w:hint="eastAsia" w:ascii="宋体" w:hAnsi="宋体" w:eastAsia="宋体"/>
          <w:b/>
          <w:color w:val="auto"/>
          <w:sz w:val="21"/>
          <w:szCs w:val="21"/>
          <w:highlight w:val="none"/>
        </w:rPr>
        <w:t xml:space="preserve">             修改类型：修改</w:t>
      </w:r>
    </w:p>
    <w:p>
      <w:pPr>
        <w:numPr>
          <w:ilvl w:val="0"/>
          <w:numId w:val="0"/>
        </w:numPr>
        <w:spacing w:line="360" w:lineRule="auto"/>
        <w:ind w:firstLine="422" w:firstLineChars="200"/>
        <w:rPr>
          <w:rFonts w:ascii="宋体" w:hAnsi="宋体" w:eastAsia="宋体"/>
          <w:bCs/>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s="Times New Roman"/>
          <w:color w:val="auto"/>
          <w:sz w:val="21"/>
          <w:szCs w:val="21"/>
          <w:highlight w:val="none"/>
          <w:u w:val="single"/>
          <w:lang w:eastAsia="zh-CN"/>
        </w:rPr>
        <w:t>（</w:t>
      </w:r>
      <w:r>
        <w:rPr>
          <w:rFonts w:hint="eastAsia" w:ascii="宋体" w:hAnsi="宋体" w:eastAsia="宋体" w:cs="Times New Roman"/>
          <w:color w:val="auto"/>
          <w:sz w:val="21"/>
          <w:szCs w:val="21"/>
          <w:highlight w:val="none"/>
          <w:u w:val="single"/>
          <w:lang w:val="en-US" w:eastAsia="zh-CN"/>
        </w:rPr>
        <w:t>2）</w:t>
      </w:r>
      <w:r>
        <w:rPr>
          <w:rFonts w:hint="eastAsia" w:ascii="宋体" w:hAnsi="宋体" w:eastAsia="宋体" w:cs="Times New Roman"/>
          <w:color w:val="auto"/>
          <w:sz w:val="21"/>
          <w:szCs w:val="21"/>
          <w:highlight w:val="none"/>
          <w:u w:val="single"/>
          <w:lang w:eastAsia="zh-CN"/>
        </w:rPr>
        <w:t>技术部分（施工组织方案）</w:t>
      </w:r>
      <w:r>
        <w:rPr>
          <w:rFonts w:hint="eastAsia" w:ascii="宋体" w:hAnsi="宋体" w:eastAsia="宋体" w:cs="Times New Roman"/>
          <w:color w:val="auto"/>
          <w:sz w:val="21"/>
          <w:szCs w:val="21"/>
          <w:highlight w:val="none"/>
          <w:u w:val="single"/>
        </w:rPr>
        <w:t xml:space="preserve">文件页数最多不超过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页（50页，不包括封面及目录页）；</w:t>
      </w:r>
    </w:p>
    <w:p>
      <w:pPr>
        <w:pBdr>
          <w:bottom w:val="single" w:color="auto" w:sz="6" w:space="1"/>
        </w:pBdr>
        <w:spacing w:line="360" w:lineRule="auto"/>
        <w:ind w:firstLine="422" w:firstLineChars="200"/>
        <w:rPr>
          <w:rFonts w:ascii="宋体" w:hAnsi="宋体" w:eastAsia="宋体"/>
          <w:color w:val="auto"/>
          <w:sz w:val="21"/>
          <w:szCs w:val="21"/>
          <w:highlight w:val="none"/>
        </w:rPr>
      </w:pPr>
      <w:r>
        <w:rPr>
          <w:rFonts w:hint="eastAsia" w:ascii="宋体" w:hAnsi="宋体" w:eastAsia="宋体"/>
          <w:b/>
          <w:color w:val="auto"/>
          <w:sz w:val="21"/>
          <w:szCs w:val="21"/>
          <w:highlight w:val="none"/>
        </w:rPr>
        <w:t>现文：</w:t>
      </w:r>
      <w:r>
        <w:rPr>
          <w:rFonts w:hint="eastAsia" w:ascii="宋体" w:hAnsi="宋体" w:eastAsia="宋体" w:cs="Times New Roman"/>
          <w:color w:val="auto"/>
          <w:sz w:val="21"/>
          <w:szCs w:val="21"/>
          <w:highlight w:val="none"/>
          <w:u w:val="single"/>
          <w:lang w:eastAsia="zh-CN"/>
        </w:rPr>
        <w:t>（</w:t>
      </w:r>
      <w:r>
        <w:rPr>
          <w:rFonts w:hint="eastAsia" w:ascii="宋体" w:hAnsi="宋体" w:eastAsia="宋体" w:cs="Times New Roman"/>
          <w:color w:val="auto"/>
          <w:sz w:val="21"/>
          <w:szCs w:val="21"/>
          <w:highlight w:val="none"/>
          <w:u w:val="single"/>
          <w:lang w:val="en-US" w:eastAsia="zh-CN"/>
        </w:rPr>
        <w:t>2）</w:t>
      </w:r>
      <w:r>
        <w:rPr>
          <w:rFonts w:hint="eastAsia" w:ascii="宋体" w:hAnsi="宋体" w:eastAsia="宋体" w:cs="Times New Roman"/>
          <w:color w:val="auto"/>
          <w:sz w:val="21"/>
          <w:szCs w:val="21"/>
          <w:highlight w:val="none"/>
          <w:u w:val="single"/>
          <w:lang w:eastAsia="zh-CN"/>
        </w:rPr>
        <w:t>技术部分（施工组织方案）</w:t>
      </w:r>
      <w:r>
        <w:rPr>
          <w:rFonts w:hint="eastAsia" w:ascii="宋体" w:hAnsi="宋体" w:eastAsia="宋体" w:cs="Times New Roman"/>
          <w:color w:val="auto"/>
          <w:sz w:val="21"/>
          <w:szCs w:val="21"/>
          <w:highlight w:val="none"/>
          <w:u w:val="single"/>
        </w:rPr>
        <w:t>文件页数最多不超过</w:t>
      </w:r>
      <w:r>
        <w:rPr>
          <w:rFonts w:hint="eastAsia" w:ascii="宋体" w:hAnsi="宋体" w:eastAsia="宋体" w:cs="Times New Roman"/>
          <w:color w:val="auto"/>
          <w:sz w:val="21"/>
          <w:szCs w:val="21"/>
          <w:highlight w:val="none"/>
          <w:u w:val="single"/>
          <w:lang w:val="en-US" w:eastAsia="zh-CN"/>
        </w:rPr>
        <w:t>50</w:t>
      </w:r>
      <w:r>
        <w:rPr>
          <w:rFonts w:hint="eastAsia" w:ascii="宋体" w:hAnsi="宋体" w:eastAsia="宋体" w:cs="Times New Roman"/>
          <w:color w:val="auto"/>
          <w:sz w:val="21"/>
          <w:szCs w:val="21"/>
          <w:highlight w:val="none"/>
          <w:u w:val="single"/>
        </w:rPr>
        <w:t>页（50页，不包括封面及目录页）；</w:t>
      </w:r>
    </w:p>
    <w:p>
      <w:pPr>
        <w:numPr>
          <w:ilvl w:val="0"/>
          <w:numId w:val="0"/>
        </w:num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条款号：11.4.7            修改类型：</w:t>
      </w:r>
      <w:r>
        <w:rPr>
          <w:rFonts w:hint="eastAsia" w:ascii="宋体" w:hAnsi="宋体" w:eastAsia="宋体" w:cs="宋体"/>
          <w:b/>
          <w:color w:val="auto"/>
          <w:sz w:val="21"/>
          <w:szCs w:val="21"/>
          <w:highlight w:val="none"/>
          <w:lang w:val="en-US" w:eastAsia="zh-CN"/>
        </w:rPr>
        <w:t>删除</w:t>
      </w:r>
    </w:p>
    <w:p>
      <w:pPr>
        <w:numPr>
          <w:ilvl w:val="0"/>
          <w:numId w:val="0"/>
        </w:numPr>
        <w:pBdr>
          <w:bottom w:val="single" w:color="auto" w:sz="4" w:space="0"/>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11.4.7企业施工经验（投标人选择用于评标的业绩须用本企业的CA数字证书对生成的内容进行签章。业绩资料取自投标人在广州公共资源交易中心城市园林绿化企业工程业绩库中的资料，在广州公共资源交易中心城市园林绿化企业工程业绩库记录的该部分资料将被视为投标人递交的投标资料的一部分，投标资料不需另行提交。）</w:t>
      </w:r>
    </w:p>
    <w:p>
      <w:pPr>
        <w:spacing w:line="360" w:lineRule="auto"/>
        <w:ind w:firstLine="472" w:firstLineChars="224"/>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b/>
          <w:color w:val="auto"/>
          <w:sz w:val="21"/>
          <w:szCs w:val="21"/>
          <w:highlight w:val="none"/>
          <w:lang w:val="en-US" w:eastAsia="zh-CN"/>
        </w:rPr>
        <w:t>11.5</w:t>
      </w:r>
      <w:r>
        <w:rPr>
          <w:rFonts w:hint="eastAsia" w:ascii="宋体" w:hAnsi="宋体" w:eastAsia="宋体"/>
          <w:b/>
          <w:color w:val="auto"/>
          <w:sz w:val="21"/>
          <w:szCs w:val="21"/>
          <w:highlight w:val="none"/>
        </w:rPr>
        <w:t xml:space="preserve">           修改类型：修改</w:t>
      </w:r>
    </w:p>
    <w:p>
      <w:pPr>
        <w:tabs>
          <w:tab w:val="left" w:pos="1125"/>
        </w:tabs>
        <w:spacing w:line="360" w:lineRule="auto"/>
        <w:ind w:firstLine="422" w:firstLineChars="200"/>
        <w:rPr>
          <w:rFonts w:ascii="宋体" w:hAnsi="宋体" w:eastAsia="宋体"/>
          <w:sz w:val="24"/>
          <w:szCs w:val="24"/>
          <w:highlight w:val="none"/>
        </w:rPr>
      </w:pPr>
      <w:r>
        <w:rPr>
          <w:rFonts w:hint="eastAsia" w:ascii="宋体" w:hAnsi="宋体" w:eastAsia="宋体" w:cs="Times New Roman"/>
          <w:b/>
          <w:bCs/>
          <w:color w:val="auto"/>
          <w:kern w:val="0"/>
          <w:sz w:val="21"/>
          <w:szCs w:val="21"/>
          <w:highlight w:val="none"/>
          <w:lang w:val="en-US" w:eastAsia="zh-CN"/>
        </w:rPr>
        <w:t>原文：</w:t>
      </w:r>
      <w:r>
        <w:rPr>
          <w:rFonts w:hint="eastAsia" w:ascii="宋体" w:hAnsi="宋体" w:eastAsia="宋体" w:cs="Times New Roman"/>
          <w:color w:val="auto"/>
          <w:kern w:val="0"/>
          <w:sz w:val="21"/>
          <w:szCs w:val="21"/>
          <w:highlight w:val="none"/>
          <w:lang w:val="en-US" w:eastAsia="zh-CN" w:bidi="ar-SA"/>
        </w:rPr>
        <w:t>11.5工程量清单的组成、编制、计价、格式、项目编码、项目名称、工程内容、计量单位和工程量计算规则按照招标人给出的工程量清单及国家、省有关计价规范执行。</w:t>
      </w:r>
    </w:p>
    <w:p>
      <w:pPr>
        <w:pStyle w:val="9"/>
        <w:pBdr>
          <w:bottom w:val="single" w:color="auto" w:sz="4" w:space="0"/>
        </w:pBdr>
        <w:spacing w:line="360" w:lineRule="auto"/>
        <w:ind w:firstLine="422" w:firstLineChars="200"/>
        <w:rPr>
          <w:rFonts w:hint="eastAsia" w:ascii="宋体" w:hAnsi="宋体" w:eastAsia="宋体" w:cs="Times New Roman"/>
          <w:color w:val="auto"/>
          <w:kern w:val="0"/>
          <w:sz w:val="21"/>
          <w:szCs w:val="21"/>
          <w:highlight w:val="none"/>
          <w:u w:val="single"/>
        </w:rPr>
      </w:pPr>
      <w:r>
        <w:rPr>
          <w:rFonts w:hint="eastAsia" w:ascii="宋体" w:hAnsi="宋体" w:eastAsia="宋体" w:cs="Times New Roman"/>
          <w:b/>
          <w:bCs/>
          <w:color w:val="auto"/>
          <w:kern w:val="0"/>
          <w:sz w:val="21"/>
          <w:szCs w:val="21"/>
          <w:highlight w:val="none"/>
          <w:lang w:val="en-US" w:eastAsia="zh-CN"/>
        </w:rPr>
        <w:t>现文：</w:t>
      </w:r>
      <w:r>
        <w:rPr>
          <w:rFonts w:hint="eastAsia" w:ascii="宋体" w:hAnsi="宋体" w:eastAsia="宋体" w:cs="Times New Roman"/>
          <w:color w:val="auto"/>
          <w:kern w:val="0"/>
          <w:sz w:val="21"/>
          <w:szCs w:val="21"/>
          <w:highlight w:val="none"/>
        </w:rPr>
        <w:t>11.5工程量清单的组成、编制、计价、格式、项目编码、项目名称、工程内容、计量单位和工程量计算规则按照招标人给出的工程量清单</w:t>
      </w:r>
      <w:r>
        <w:rPr>
          <w:rFonts w:hint="eastAsia" w:ascii="宋体" w:hAnsi="宋体" w:eastAsia="宋体" w:cs="Times New Roman"/>
          <w:color w:val="auto"/>
          <w:kern w:val="0"/>
          <w:sz w:val="21"/>
          <w:szCs w:val="21"/>
          <w:highlight w:val="none"/>
          <w:u w:val="single"/>
        </w:rPr>
        <w:t>及现行的中华人民共和国国家标准《建设工程工程量清单计价规范》及广东省相关定额及清单规范执行。</w:t>
      </w:r>
    </w:p>
    <w:p>
      <w:pPr>
        <w:spacing w:line="360" w:lineRule="auto"/>
        <w:ind w:firstLine="472" w:firstLineChars="224"/>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b/>
          <w:color w:val="auto"/>
          <w:sz w:val="21"/>
          <w:szCs w:val="21"/>
          <w:highlight w:val="none"/>
          <w:lang w:val="en-US" w:eastAsia="zh-CN"/>
        </w:rPr>
        <w:t>13.3</w:t>
      </w:r>
      <w:r>
        <w:rPr>
          <w:rFonts w:hint="eastAsia" w:ascii="宋体" w:hAnsi="宋体" w:eastAsia="宋体"/>
          <w:b/>
          <w:color w:val="auto"/>
          <w:sz w:val="21"/>
          <w:szCs w:val="21"/>
          <w:highlight w:val="none"/>
        </w:rPr>
        <w:t xml:space="preserve">           修改类型：修改</w:t>
      </w:r>
    </w:p>
    <w:p>
      <w:pPr>
        <w:pStyle w:val="9"/>
        <w:spacing w:line="360" w:lineRule="auto"/>
        <w:ind w:firstLine="422" w:firstLineChars="200"/>
        <w:rPr>
          <w:rFonts w:hint="eastAsia" w:ascii="宋体" w:hAnsi="宋体" w:eastAsia="宋体" w:cs="Times New Roman"/>
          <w:color w:val="auto"/>
          <w:kern w:val="0"/>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s="Times New Roman"/>
          <w:color w:val="auto"/>
          <w:kern w:val="0"/>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等非竞争性项目明列了单价或合价金额的，投标人应按照明列的单价或合价金额报价，未按照规定金额报价的，由评标委员会按照招标文件规定的金额进行修正。</w:t>
      </w:r>
    </w:p>
    <w:p>
      <w:pPr>
        <w:pStyle w:val="9"/>
        <w:pBdr>
          <w:bottom w:val="single" w:color="auto" w:sz="4" w:space="0"/>
        </w:pBdr>
        <w:spacing w:line="360" w:lineRule="auto"/>
        <w:ind w:firstLine="422" w:firstLineChars="200"/>
        <w:rPr>
          <w:rFonts w:hint="eastAsia" w:ascii="宋体" w:hAnsi="宋体" w:eastAsia="宋体" w:cs="Times New Roman"/>
          <w:color w:val="auto"/>
          <w:kern w:val="0"/>
          <w:sz w:val="21"/>
          <w:szCs w:val="21"/>
          <w:highlight w:val="none"/>
        </w:rPr>
      </w:pPr>
      <w:r>
        <w:rPr>
          <w:rFonts w:hint="eastAsia" w:ascii="宋体" w:hAnsi="宋体" w:eastAsia="宋体"/>
          <w:b/>
          <w:color w:val="auto"/>
          <w:sz w:val="21"/>
          <w:szCs w:val="21"/>
          <w:highlight w:val="none"/>
        </w:rPr>
        <w:t>现文：</w:t>
      </w:r>
      <w:r>
        <w:rPr>
          <w:rFonts w:hint="eastAsia" w:ascii="宋体" w:hAnsi="宋体" w:eastAsia="宋体" w:cs="Times New Roman"/>
          <w:color w:val="auto"/>
          <w:kern w:val="0"/>
          <w:sz w:val="21"/>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eastAsia="宋体"/>
          <w:szCs w:val="21"/>
          <w:highlight w:val="none"/>
          <w:u w:val="single"/>
        </w:rPr>
        <w:t>提供的招标图纸（包括有关于本项目招标的相关资料）及</w:t>
      </w:r>
      <w:r>
        <w:rPr>
          <w:rFonts w:hint="eastAsia" w:ascii="宋体" w:hAnsi="宋体" w:eastAsia="宋体" w:cs="Times New Roman"/>
          <w:color w:val="auto"/>
          <w:kern w:val="0"/>
          <w:sz w:val="21"/>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等非竞争性项目明列了单价或合价金额的，投标人应按照明列的单价或合价金额报价，未按照规定金额报价的，由评标委员会按照招标文件规定的金额进行修正。</w:t>
      </w:r>
    </w:p>
    <w:p>
      <w:pPr>
        <w:spacing w:line="360" w:lineRule="auto"/>
        <w:ind w:firstLine="472" w:firstLineChars="224"/>
        <w:rPr>
          <w:rFonts w:ascii="宋体" w:hAnsi="宋体" w:eastAsia="宋体"/>
          <w:b/>
          <w:bCs w:val="0"/>
          <w:color w:val="auto"/>
          <w:sz w:val="21"/>
          <w:szCs w:val="21"/>
          <w:highlight w:val="none"/>
        </w:rPr>
      </w:pPr>
      <w:r>
        <w:rPr>
          <w:rFonts w:hint="eastAsia" w:ascii="宋体" w:hAnsi="宋体" w:eastAsia="宋体"/>
          <w:b/>
          <w:bCs w:val="0"/>
          <w:color w:val="auto"/>
          <w:sz w:val="21"/>
          <w:szCs w:val="21"/>
          <w:highlight w:val="none"/>
        </w:rPr>
        <w:t>条款号： 13.6.</w:t>
      </w:r>
      <w:r>
        <w:rPr>
          <w:rFonts w:hint="eastAsia" w:ascii="宋体" w:hAnsi="宋体" w:eastAsia="宋体"/>
          <w:b/>
          <w:bCs w:val="0"/>
          <w:color w:val="auto"/>
          <w:sz w:val="21"/>
          <w:szCs w:val="21"/>
          <w:highlight w:val="none"/>
          <w:lang w:val="en-US" w:eastAsia="zh-CN"/>
        </w:rPr>
        <w:t>2</w:t>
      </w:r>
      <w:r>
        <w:rPr>
          <w:rFonts w:hint="eastAsia" w:ascii="宋体" w:hAnsi="宋体" w:eastAsia="宋体"/>
          <w:b/>
          <w:bCs w:val="0"/>
          <w:color w:val="auto"/>
          <w:sz w:val="21"/>
          <w:szCs w:val="21"/>
          <w:highlight w:val="none"/>
        </w:rPr>
        <w:t xml:space="preserve">           修改类型：修改</w:t>
      </w:r>
    </w:p>
    <w:p>
      <w:pPr>
        <w:pStyle w:val="9"/>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olor w:val="auto"/>
          <w:kern w:val="0"/>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Bdr>
          <w:bottom w:val="single" w:color="auto" w:sz="6" w:space="1"/>
        </w:pBdr>
        <w:spacing w:line="360" w:lineRule="auto"/>
        <w:ind w:firstLine="422" w:firstLineChars="200"/>
        <w:rPr>
          <w:rFonts w:hint="eastAsia" w:ascii="宋体" w:hAnsi="宋体" w:eastAsia="宋体"/>
          <w:color w:val="auto"/>
          <w:sz w:val="21"/>
          <w:szCs w:val="21"/>
          <w:highlight w:val="none"/>
          <w:lang w:eastAsia="zh-CN"/>
        </w:rPr>
      </w:pPr>
      <w:r>
        <w:rPr>
          <w:rFonts w:hint="eastAsia" w:ascii="宋体" w:hAnsi="宋体" w:eastAsia="宋体"/>
          <w:b/>
          <w:color w:val="auto"/>
          <w:sz w:val="21"/>
          <w:szCs w:val="21"/>
          <w:highlight w:val="none"/>
        </w:rPr>
        <w:t>现文：</w:t>
      </w:r>
      <w:r>
        <w:rPr>
          <w:rFonts w:hint="eastAsia" w:ascii="宋体" w:hAnsi="宋体" w:eastAsia="宋体"/>
          <w:color w:val="auto"/>
          <w:kern w:val="0"/>
          <w:sz w:val="21"/>
          <w:szCs w:val="21"/>
          <w:highlight w:val="none"/>
        </w:rPr>
        <w:t>13.6.2在工程实施中，暂定金额所包含的工作范围和图纸、标准深化固定后，按照工程专业、设备、材料类别等分类汇总的金额，达到法定招标范围标准的应由</w:t>
      </w:r>
      <w:r>
        <w:rPr>
          <w:rFonts w:hint="eastAsia" w:ascii="宋体" w:hAnsi="宋体" w:eastAsia="宋体"/>
          <w:color w:val="auto"/>
          <w:kern w:val="0"/>
          <w:sz w:val="21"/>
          <w:szCs w:val="21"/>
          <w:highlight w:val="none"/>
          <w:u w:val="single"/>
        </w:rPr>
        <w:t>招标人招标确定承包人和承包价格</w:t>
      </w:r>
      <w:r>
        <w:rPr>
          <w:rFonts w:hint="eastAsia" w:ascii="宋体" w:hAnsi="宋体" w:eastAsia="宋体"/>
          <w:color w:val="auto"/>
          <w:kern w:val="0"/>
          <w:sz w:val="21"/>
          <w:szCs w:val="21"/>
          <w:highlight w:val="none"/>
          <w:u w:val="single"/>
          <w:lang w:eastAsia="zh-CN"/>
        </w:rPr>
        <w:t>。</w:t>
      </w:r>
    </w:p>
    <w:p>
      <w:pPr>
        <w:spacing w:line="360" w:lineRule="auto"/>
        <w:ind w:firstLine="472" w:firstLineChars="224"/>
        <w:rPr>
          <w:rFonts w:ascii="宋体" w:hAnsi="宋体" w:eastAsia="宋体"/>
          <w:b/>
          <w:bCs w:val="0"/>
          <w:color w:val="auto"/>
          <w:sz w:val="21"/>
          <w:szCs w:val="21"/>
          <w:highlight w:val="none"/>
        </w:rPr>
      </w:pPr>
      <w:r>
        <w:rPr>
          <w:rFonts w:hint="eastAsia" w:ascii="宋体" w:hAnsi="宋体" w:eastAsia="宋体"/>
          <w:b/>
          <w:bCs w:val="0"/>
          <w:color w:val="auto"/>
          <w:sz w:val="21"/>
          <w:szCs w:val="21"/>
          <w:highlight w:val="none"/>
        </w:rPr>
        <w:t>条款号： 13.6.4            修改类型：修改</w:t>
      </w:r>
    </w:p>
    <w:p>
      <w:pPr>
        <w:pStyle w:val="9"/>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Bdr>
          <w:bottom w:val="single" w:color="auto" w:sz="6" w:space="1"/>
        </w:pBdr>
        <w:spacing w:line="360" w:lineRule="auto"/>
        <w:ind w:firstLine="422" w:firstLineChars="200"/>
        <w:rPr>
          <w:rFonts w:hint="eastAsia" w:ascii="宋体" w:hAnsi="宋体" w:eastAsia="宋体"/>
          <w:color w:val="auto"/>
          <w:sz w:val="21"/>
          <w:szCs w:val="21"/>
          <w:highlight w:val="none"/>
          <w:lang w:eastAsia="zh-CN"/>
        </w:rPr>
      </w:pPr>
      <w:r>
        <w:rPr>
          <w:rFonts w:hint="eastAsia" w:ascii="宋体" w:hAnsi="宋体" w:eastAsia="宋体"/>
          <w:b/>
          <w:color w:val="auto"/>
          <w:sz w:val="21"/>
          <w:szCs w:val="21"/>
          <w:highlight w:val="none"/>
        </w:rPr>
        <w:t>现文：</w:t>
      </w:r>
      <w:r>
        <w:rPr>
          <w:rFonts w:hint="eastAsia" w:ascii="宋体" w:hAnsi="宋体" w:eastAsia="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eastAsia="宋体"/>
          <w:color w:val="auto"/>
          <w:sz w:val="21"/>
          <w:szCs w:val="21"/>
          <w:highlight w:val="none"/>
          <w:u w:val="single"/>
          <w:lang w:eastAsia="zh-CN"/>
        </w:rPr>
        <w:t>经发包人同意，</w:t>
      </w:r>
      <w:r>
        <w:rPr>
          <w:rFonts w:hint="eastAsia" w:ascii="宋体" w:hAnsi="宋体" w:eastAsia="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r>
        <w:rPr>
          <w:rFonts w:hint="eastAsia" w:ascii="宋体" w:hAnsi="宋体" w:eastAsia="宋体"/>
          <w:color w:val="auto"/>
          <w:sz w:val="21"/>
          <w:szCs w:val="21"/>
          <w:highlight w:val="none"/>
          <w:lang w:eastAsia="zh-CN"/>
        </w:rPr>
        <w:t>。</w:t>
      </w:r>
    </w:p>
    <w:p>
      <w:pPr>
        <w:spacing w:line="360" w:lineRule="auto"/>
        <w:ind w:firstLine="472" w:firstLineChars="224"/>
        <w:rPr>
          <w:rFonts w:ascii="宋体" w:hAnsi="宋体" w:eastAsia="宋体"/>
          <w:b/>
          <w:szCs w:val="21"/>
          <w:highlight w:val="none"/>
        </w:rPr>
      </w:pPr>
      <w:r>
        <w:rPr>
          <w:rFonts w:hint="eastAsia" w:ascii="宋体" w:hAnsi="宋体" w:eastAsia="宋体"/>
          <w:b/>
          <w:szCs w:val="21"/>
          <w:highlight w:val="none"/>
        </w:rPr>
        <w:t>条款号：13.9         修改类型：增加</w:t>
      </w:r>
    </w:p>
    <w:p>
      <w:pPr>
        <w:pBdr>
          <w:bottom w:val="single" w:color="auto" w:sz="6" w:space="1"/>
        </w:pBdr>
        <w:spacing w:line="360" w:lineRule="auto"/>
        <w:ind w:firstLine="472" w:firstLineChars="224"/>
        <w:rPr>
          <w:rFonts w:ascii="宋体" w:hAnsi="宋体" w:eastAsia="宋体"/>
          <w:szCs w:val="21"/>
          <w:highlight w:val="none"/>
        </w:rPr>
      </w:pPr>
      <w:r>
        <w:rPr>
          <w:rFonts w:hint="eastAsia" w:ascii="宋体" w:hAnsi="宋体" w:eastAsia="宋体"/>
          <w:b/>
          <w:szCs w:val="21"/>
          <w:highlight w:val="none"/>
        </w:rPr>
        <w:t>现文：</w:t>
      </w:r>
      <w:r>
        <w:rPr>
          <w:rFonts w:hint="eastAsia" w:ascii="宋体" w:hAnsi="宋体" w:eastAsia="宋体"/>
          <w:szCs w:val="21"/>
          <w:highlight w:val="none"/>
          <w:u w:val="single"/>
        </w:rPr>
        <w:t>13.9工程量清单报价中有关问题的说明：①工程量清单中的标志杆基础中的土方开挖、运输、外运等费用包含在相应项目中，不包含在土石方工程的相关项目中；②投标时，土方的弃运距离暂按15km内考虑，超过15km按15km计算，并包含开挖、临时堆放、回填、平整压实及场地清理、弃运等费用，结算时按招标人确认的实际运距计算,实际运距超过15公里时，按15公里包干,弃运的土方单价按定额计算。③</w:t>
      </w:r>
      <w:r>
        <w:rPr>
          <w:rFonts w:hint="eastAsia" w:ascii="宋体" w:hAnsi="宋体" w:eastAsia="宋体" w:cs="宋体"/>
          <w:szCs w:val="21"/>
          <w:highlight w:val="none"/>
          <w:u w:val="single"/>
        </w:rPr>
        <w:t>工程量清单中措施项目清单费计价表中的绿色施工安全防护措施费执行《广东省住房和城乡建设厅关于印发&lt;广东省建设工程计价依据（2018)&gt;的通知》（穗建市〔2019〕6号）文</w:t>
      </w:r>
      <w:r>
        <w:rPr>
          <w:rFonts w:ascii="宋体" w:hAnsi="宋体" w:eastAsia="宋体" w:cs="宋体"/>
          <w:szCs w:val="21"/>
          <w:highlight w:val="none"/>
          <w:u w:val="single"/>
        </w:rPr>
        <w:t>，</w:t>
      </w:r>
      <w:r>
        <w:rPr>
          <w:rFonts w:hint="eastAsia" w:ascii="宋体" w:hAnsi="宋体" w:eastAsia="宋体" w:cs="宋体"/>
          <w:szCs w:val="21"/>
          <w:highlight w:val="none"/>
          <w:u w:val="single"/>
        </w:rPr>
        <w:t>绿色施工安全防护措施费</w:t>
      </w:r>
      <w:r>
        <w:rPr>
          <w:rFonts w:ascii="宋体" w:hAnsi="宋体" w:eastAsia="宋体" w:cs="宋体"/>
          <w:szCs w:val="21"/>
          <w:highlight w:val="none"/>
          <w:u w:val="single"/>
        </w:rPr>
        <w:t>按</w:t>
      </w:r>
      <w:r>
        <w:rPr>
          <w:rFonts w:hint="eastAsia" w:ascii="宋体" w:hAnsi="宋体" w:eastAsia="宋体" w:cs="宋体"/>
          <w:szCs w:val="21"/>
          <w:highlight w:val="none"/>
          <w:u w:val="single"/>
        </w:rPr>
        <w:t>发包人公布的本工程最高投标限价中的绿色施工安全防护措施费计取，作为非竞争费用，在投标报价中单列，不参与投标竞价，该费用从工程施工中标价中提取，专款专用</w:t>
      </w:r>
      <w:r>
        <w:rPr>
          <w:rFonts w:hint="eastAsia" w:ascii="宋体" w:hAnsi="宋体" w:eastAsia="宋体"/>
          <w:szCs w:val="21"/>
          <w:highlight w:val="none"/>
          <w:u w:val="single"/>
        </w:rPr>
        <w:t>。</w:t>
      </w:r>
    </w:p>
    <w:p>
      <w:pPr>
        <w:spacing w:line="360" w:lineRule="auto"/>
        <w:ind w:firstLine="472" w:firstLineChars="224"/>
        <w:rPr>
          <w:rFonts w:ascii="宋体" w:hAnsi="宋体" w:eastAsia="宋体"/>
          <w:b/>
          <w:szCs w:val="21"/>
          <w:highlight w:val="none"/>
        </w:rPr>
      </w:pPr>
      <w:r>
        <w:rPr>
          <w:rFonts w:hint="eastAsia" w:ascii="宋体" w:hAnsi="宋体" w:eastAsia="宋体"/>
          <w:b/>
          <w:szCs w:val="21"/>
          <w:highlight w:val="none"/>
        </w:rPr>
        <w:t>条款号：13.10         修改类型：增加</w:t>
      </w:r>
    </w:p>
    <w:p>
      <w:pPr>
        <w:pBdr>
          <w:bottom w:val="single" w:color="auto" w:sz="6" w:space="1"/>
        </w:pBdr>
        <w:spacing w:line="360" w:lineRule="auto"/>
        <w:ind w:firstLine="472" w:firstLineChars="224"/>
        <w:rPr>
          <w:rFonts w:ascii="宋体" w:hAnsi="宋体" w:eastAsia="宋体"/>
          <w:szCs w:val="21"/>
          <w:highlight w:val="none"/>
        </w:rPr>
      </w:pPr>
      <w:r>
        <w:rPr>
          <w:rFonts w:hint="eastAsia" w:ascii="宋体" w:hAnsi="宋体" w:eastAsia="宋体"/>
          <w:b/>
          <w:szCs w:val="21"/>
          <w:highlight w:val="none"/>
        </w:rPr>
        <w:t>现文：</w:t>
      </w:r>
      <w:r>
        <w:rPr>
          <w:rFonts w:hint="eastAsia" w:ascii="宋体" w:hAnsi="宋体" w:eastAsia="宋体"/>
          <w:szCs w:val="21"/>
          <w:highlight w:val="none"/>
          <w:u w:val="single"/>
        </w:rPr>
        <w:t>13.10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项目措施费中，</w:t>
      </w:r>
      <w:r>
        <w:rPr>
          <w:rFonts w:hint="eastAsia" w:ascii="宋体" w:hAnsi="宋体" w:eastAsia="宋体" w:cs="宋体"/>
          <w:szCs w:val="21"/>
          <w:highlight w:val="none"/>
          <w:u w:val="single"/>
        </w:rPr>
        <w:t>结算时按发包人批准的实施方案，再按合同约定结算。如</w:t>
      </w:r>
      <w:r>
        <w:rPr>
          <w:rFonts w:hint="eastAsia" w:ascii="宋体" w:hAnsi="宋体" w:eastAsia="宋体"/>
          <w:szCs w:val="21"/>
          <w:highlight w:val="none"/>
          <w:u w:val="single"/>
        </w:rPr>
        <w:t>果中标人不及时按要求设置，业主可以另行委托实施，业主按实际发生的费用在工程款中扣除，中标人不得有任何异议。</w:t>
      </w:r>
    </w:p>
    <w:p>
      <w:pPr>
        <w:spacing w:line="360" w:lineRule="auto"/>
        <w:ind w:firstLine="472" w:firstLineChars="224"/>
        <w:rPr>
          <w:rFonts w:ascii="宋体" w:hAnsi="宋体" w:eastAsia="宋体"/>
          <w:b/>
          <w:szCs w:val="21"/>
          <w:highlight w:val="none"/>
        </w:rPr>
      </w:pPr>
      <w:r>
        <w:rPr>
          <w:rFonts w:hint="eastAsia" w:ascii="宋体" w:hAnsi="宋体" w:eastAsia="宋体"/>
          <w:b/>
          <w:szCs w:val="21"/>
          <w:highlight w:val="none"/>
        </w:rPr>
        <w:t>条款号：13.11         修改类型：增加</w:t>
      </w:r>
    </w:p>
    <w:p>
      <w:pPr>
        <w:pBdr>
          <w:bottom w:val="single" w:color="auto" w:sz="6" w:space="1"/>
        </w:pBdr>
        <w:spacing w:line="360" w:lineRule="auto"/>
        <w:ind w:firstLine="472" w:firstLineChars="224"/>
        <w:rPr>
          <w:rFonts w:ascii="宋体" w:hAnsi="宋体" w:eastAsia="宋体"/>
          <w:szCs w:val="21"/>
          <w:highlight w:val="none"/>
        </w:rPr>
      </w:pPr>
      <w:r>
        <w:rPr>
          <w:rFonts w:hint="eastAsia" w:ascii="宋体" w:hAnsi="宋体" w:eastAsia="宋体"/>
          <w:b/>
          <w:szCs w:val="21"/>
          <w:highlight w:val="none"/>
        </w:rPr>
        <w:t>现文：</w:t>
      </w:r>
      <w:r>
        <w:rPr>
          <w:rFonts w:hint="eastAsia" w:ascii="宋体" w:hAnsi="宋体" w:eastAsia="宋体"/>
          <w:szCs w:val="21"/>
          <w:highlight w:val="none"/>
          <w:u w:val="single"/>
        </w:rPr>
        <w:t>13.11</w:t>
      </w:r>
      <w:r>
        <w:rPr>
          <w:rFonts w:hint="eastAsia" w:ascii="宋体" w:hAnsi="宋体" w:eastAsia="宋体" w:cs="宋体"/>
          <w:szCs w:val="21"/>
          <w:highlight w:val="none"/>
          <w:u w:val="single"/>
        </w:rPr>
        <w:t>承包人应加强周边学校、居民住宅的环境保护，制定绿色施工安全防护措施（包括防尘、防噪音、施工围蔽等），施工现场严格按照《广州市建设工程文明施工管理规定》（广州市人民政府令第62号）、《广州市建设工程现场文明施工管理办法》（穗建质〔2008〕937号）、《广州市住房和城乡建设委员会关于印发建设工程扬尘防治“6个100%”管理标准细化措施的通知》（穗建质〔2018〕1394号）及其他相关规定实施，施工围蔽严格按照《关于进一步加强规范建设施工现场围蔽的通知》（穗建质〔2018〕1008号）、《广州市住房和城乡建设委员会关于广州市建设工程绿色施工围蔽指导图集(Vl.0试行版 )》(穂建质〔2018〕1953号)、《广州市住房和城乡建设委员会关于广州市建设工程绿色施工围蔽指导图集(Vl.0试行版 )的补充通知》(穂建质〔2018〕2281号) 实施。如承包人未及时按要求做好围蔽等绿色施工安全防护措施，业主可另行委托单位实施，业主在工程款中扣减围蔽费用。</w:t>
      </w:r>
    </w:p>
    <w:p>
      <w:pPr>
        <w:spacing w:line="360" w:lineRule="auto"/>
        <w:ind w:firstLine="472" w:firstLineChars="224"/>
        <w:rPr>
          <w:rFonts w:ascii="宋体" w:hAnsi="宋体" w:eastAsia="宋体"/>
          <w:b/>
          <w:szCs w:val="21"/>
          <w:highlight w:val="none"/>
        </w:rPr>
      </w:pPr>
      <w:r>
        <w:rPr>
          <w:rFonts w:hint="eastAsia" w:ascii="宋体" w:hAnsi="宋体" w:eastAsia="宋体"/>
          <w:b/>
          <w:szCs w:val="21"/>
          <w:highlight w:val="none"/>
        </w:rPr>
        <w:t>条款号：13.12         修改类型：增加</w:t>
      </w:r>
    </w:p>
    <w:p>
      <w:pPr>
        <w:pBdr>
          <w:bottom w:val="single" w:color="auto" w:sz="6" w:space="1"/>
        </w:pBdr>
        <w:spacing w:line="360" w:lineRule="auto"/>
        <w:ind w:firstLine="472" w:firstLineChars="224"/>
        <w:rPr>
          <w:rFonts w:ascii="宋体" w:hAnsi="宋体" w:eastAsia="宋体"/>
          <w:szCs w:val="21"/>
          <w:highlight w:val="none"/>
        </w:rPr>
      </w:pPr>
      <w:r>
        <w:rPr>
          <w:rFonts w:hint="eastAsia" w:ascii="宋体" w:hAnsi="宋体" w:eastAsia="宋体"/>
          <w:b/>
          <w:szCs w:val="21"/>
          <w:highlight w:val="none"/>
        </w:rPr>
        <w:t>现文：</w:t>
      </w:r>
      <w:r>
        <w:rPr>
          <w:rFonts w:hint="eastAsia" w:ascii="宋体" w:hAnsi="宋体" w:eastAsia="宋体"/>
          <w:szCs w:val="21"/>
          <w:highlight w:val="none"/>
          <w:u w:val="single"/>
        </w:rPr>
        <w:t>13.12</w:t>
      </w:r>
      <w:r>
        <w:rPr>
          <w:rFonts w:hint="eastAsia" w:ascii="宋体" w:hAnsi="宋体" w:eastAsia="宋体" w:cs="宋体"/>
          <w:szCs w:val="21"/>
          <w:highlight w:val="none"/>
          <w:u w:val="single"/>
        </w:rPr>
        <w:t>本工程中标人通过现场考察，提出具体施工方案，无论在工程施工期间或是在质量保修期内，若因施工而引起的一切索赔、赔偿、诉讼费用和其他开支，由中标人承担全部责任。中标人评估并承担上述风险，相应费用已包含在合同总价中项目措施费内（除围蔽费用除外）包干使用，且中标人不得以任何理由要求业主另行增加该部分费用（中标人要充分考虑最不利因素影响而采用的施工方案所需的费用）。</w:t>
      </w:r>
    </w:p>
    <w:p>
      <w:pPr>
        <w:spacing w:line="360" w:lineRule="auto"/>
        <w:ind w:firstLine="472" w:firstLineChars="224"/>
        <w:rPr>
          <w:rFonts w:ascii="宋体" w:hAnsi="宋体" w:eastAsia="宋体"/>
          <w:b/>
          <w:szCs w:val="21"/>
          <w:highlight w:val="none"/>
        </w:rPr>
      </w:pPr>
      <w:r>
        <w:rPr>
          <w:rFonts w:hint="eastAsia" w:ascii="宋体" w:hAnsi="宋体" w:eastAsia="宋体"/>
          <w:b/>
          <w:szCs w:val="21"/>
          <w:highlight w:val="none"/>
        </w:rPr>
        <w:t>条款号：13.13         修改类型：增加</w:t>
      </w:r>
    </w:p>
    <w:p>
      <w:pPr>
        <w:pBdr>
          <w:bottom w:val="single" w:color="auto" w:sz="6" w:space="1"/>
        </w:pBdr>
        <w:spacing w:line="360" w:lineRule="auto"/>
        <w:ind w:firstLine="472" w:firstLineChars="224"/>
        <w:rPr>
          <w:rFonts w:ascii="宋体" w:hAnsi="宋体" w:eastAsia="宋体"/>
          <w:szCs w:val="21"/>
          <w:highlight w:val="none"/>
        </w:rPr>
      </w:pPr>
      <w:r>
        <w:rPr>
          <w:rFonts w:hint="eastAsia" w:ascii="宋体" w:hAnsi="宋体" w:eastAsia="宋体"/>
          <w:b/>
          <w:szCs w:val="21"/>
          <w:highlight w:val="none"/>
        </w:rPr>
        <w:t>现文：</w:t>
      </w:r>
      <w:r>
        <w:rPr>
          <w:rFonts w:hint="eastAsia" w:ascii="宋体" w:hAnsi="宋体" w:eastAsia="宋体"/>
          <w:szCs w:val="21"/>
          <w:highlight w:val="none"/>
          <w:u w:val="single"/>
        </w:rPr>
        <w:t>13.13</w:t>
      </w:r>
      <w:r>
        <w:rPr>
          <w:rFonts w:hint="eastAsia" w:ascii="宋体" w:hAnsi="宋体" w:eastAsia="宋体" w:cs="宋体"/>
          <w:szCs w:val="21"/>
          <w:highlight w:val="none"/>
          <w:u w:val="single"/>
        </w:rPr>
        <w:t>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pPr>
        <w:spacing w:line="360" w:lineRule="auto"/>
        <w:ind w:firstLine="413" w:firstLineChars="196"/>
        <w:rPr>
          <w:rFonts w:hint="eastAsia" w:ascii="宋体" w:hAnsi="宋体" w:eastAsia="宋体" w:cs="宋体"/>
          <w:b/>
          <w:szCs w:val="21"/>
          <w:highlight w:val="none"/>
        </w:rPr>
      </w:pPr>
      <w:r>
        <w:rPr>
          <w:rFonts w:hint="eastAsia" w:ascii="宋体" w:hAnsi="宋体" w:eastAsia="宋体" w:cs="宋体"/>
          <w:b/>
          <w:szCs w:val="21"/>
          <w:highlight w:val="none"/>
        </w:rPr>
        <w:t>条款号：13.14          修改类型：增加</w:t>
      </w:r>
    </w:p>
    <w:p>
      <w:pPr>
        <w:pBdr>
          <w:bottom w:val="single" w:color="auto" w:sz="6" w:space="1"/>
        </w:pBdr>
        <w:spacing w:line="360" w:lineRule="auto"/>
        <w:ind w:firstLine="422" w:firstLineChars="200"/>
        <w:rPr>
          <w:rFonts w:hint="eastAsia" w:ascii="宋体" w:hAnsi="宋体" w:eastAsia="宋体" w:cs="宋体"/>
          <w:szCs w:val="21"/>
          <w:highlight w:val="none"/>
          <w:u w:val="single"/>
        </w:rPr>
      </w:pPr>
      <w:r>
        <w:rPr>
          <w:rFonts w:hint="eastAsia" w:ascii="宋体" w:hAnsi="宋体" w:eastAsia="宋体" w:cs="宋体"/>
          <w:b/>
          <w:szCs w:val="21"/>
          <w:highlight w:val="none"/>
        </w:rPr>
        <w:t>现文：</w:t>
      </w:r>
      <w:r>
        <w:rPr>
          <w:rFonts w:hint="eastAsia" w:ascii="宋体" w:hAnsi="宋体" w:eastAsia="宋体" w:cs="宋体"/>
          <w:szCs w:val="21"/>
          <w:highlight w:val="none"/>
          <w:u w:val="single"/>
        </w:rPr>
        <w:t>13.14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pPr>
        <w:spacing w:line="360" w:lineRule="auto"/>
        <w:ind w:firstLine="413" w:firstLineChars="196"/>
        <w:rPr>
          <w:rFonts w:hint="eastAsia" w:ascii="宋体" w:hAnsi="宋体" w:eastAsia="宋体" w:cs="宋体"/>
          <w:b/>
          <w:szCs w:val="21"/>
          <w:highlight w:val="none"/>
        </w:rPr>
      </w:pPr>
      <w:r>
        <w:rPr>
          <w:rFonts w:hint="eastAsia" w:ascii="宋体" w:hAnsi="宋体" w:eastAsia="宋体" w:cs="宋体"/>
          <w:b/>
          <w:szCs w:val="21"/>
          <w:highlight w:val="none"/>
        </w:rPr>
        <w:t>条款号：13.15          修改类型：增加</w:t>
      </w:r>
    </w:p>
    <w:p>
      <w:pPr>
        <w:pBdr>
          <w:bottom w:val="single" w:color="auto" w:sz="6" w:space="1"/>
        </w:pBdr>
        <w:spacing w:line="360" w:lineRule="auto"/>
        <w:ind w:firstLine="422" w:firstLineChars="200"/>
        <w:rPr>
          <w:rFonts w:hint="eastAsia" w:ascii="宋体" w:hAnsi="宋体" w:eastAsia="宋体" w:cs="宋体"/>
          <w:szCs w:val="21"/>
          <w:highlight w:val="none"/>
          <w:u w:val="single"/>
        </w:rPr>
      </w:pPr>
      <w:r>
        <w:rPr>
          <w:rFonts w:hint="eastAsia" w:ascii="宋体" w:hAnsi="宋体" w:eastAsia="宋体" w:cs="宋体"/>
          <w:b/>
          <w:szCs w:val="21"/>
          <w:highlight w:val="none"/>
        </w:rPr>
        <w:t>现文：</w:t>
      </w:r>
      <w:r>
        <w:rPr>
          <w:rFonts w:hint="eastAsia" w:ascii="宋体" w:hAnsi="宋体" w:eastAsia="宋体" w:cs="宋体"/>
          <w:szCs w:val="21"/>
          <w:highlight w:val="none"/>
          <w:u w:val="single"/>
        </w:rPr>
        <w:t>13.15中标人应使用绿色生产达标企业生产的混凝土，若不遵守承诺，自愿按不履行合同约定处理。</w:t>
      </w:r>
    </w:p>
    <w:p>
      <w:pPr>
        <w:spacing w:line="360" w:lineRule="auto"/>
        <w:ind w:firstLine="472" w:firstLineChars="224"/>
        <w:rPr>
          <w:rFonts w:ascii="宋体" w:hAnsi="宋体" w:eastAsia="宋体"/>
          <w:b/>
          <w:color w:val="auto"/>
          <w:sz w:val="21"/>
          <w:szCs w:val="21"/>
          <w:highlight w:val="none"/>
        </w:rPr>
      </w:pPr>
      <w:r>
        <w:rPr>
          <w:rFonts w:hint="eastAsia" w:ascii="宋体" w:hAnsi="宋体" w:eastAsia="宋体"/>
          <w:b/>
          <w:color w:val="auto"/>
          <w:sz w:val="21"/>
          <w:szCs w:val="21"/>
          <w:highlight w:val="none"/>
        </w:rPr>
        <w:t xml:space="preserve">条款号： </w:t>
      </w:r>
      <w:r>
        <w:rPr>
          <w:rFonts w:hint="eastAsia" w:ascii="宋体" w:hAnsi="宋体" w:eastAsia="宋体"/>
          <w:color w:val="auto"/>
          <w:sz w:val="21"/>
          <w:szCs w:val="21"/>
          <w:highlight w:val="none"/>
        </w:rPr>
        <w:t>16.5</w:t>
      </w:r>
      <w:r>
        <w:rPr>
          <w:rFonts w:hint="eastAsia" w:ascii="宋体" w:hAnsi="宋体" w:eastAsia="宋体"/>
          <w:b/>
          <w:color w:val="auto"/>
          <w:sz w:val="21"/>
          <w:szCs w:val="21"/>
          <w:highlight w:val="none"/>
        </w:rPr>
        <w:t xml:space="preserve">            修改类型：修改</w:t>
      </w:r>
    </w:p>
    <w:p>
      <w:pPr>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olor w:val="auto"/>
          <w:sz w:val="21"/>
          <w:szCs w:val="21"/>
          <w:highlight w:val="none"/>
        </w:rPr>
        <w:t>16.5投标人未按要求递交投标保证金的，其投标文件将被否决，且不能参与电脑随机排序、资格审查和评标。</w:t>
      </w:r>
      <w:r>
        <w:rPr>
          <w:rFonts w:hint="eastAsia" w:ascii="宋体" w:hAnsi="宋体" w:eastAsia="宋体" w:cs="宋体"/>
          <w:color w:val="auto"/>
          <w:sz w:val="21"/>
          <w:szCs w:val="21"/>
          <w:highlight w:val="none"/>
        </w:rPr>
        <w:t>如采用保函或保险等形式提交的，银行保函需开具给招标人，银行保函有效期不少于投标有效期。保证保险需开具给招标人（受益人必须是招标人），保证保险有效期不少于投标有效期。须在投标截止时间前15分钟将凭证原件单独密封递交至开标室。</w:t>
      </w:r>
    </w:p>
    <w:p>
      <w:pPr>
        <w:pBdr>
          <w:bottom w:val="single" w:color="auto" w:sz="6" w:space="1"/>
        </w:pBdr>
        <w:spacing w:line="360" w:lineRule="auto"/>
        <w:ind w:firstLine="422" w:firstLineChars="200"/>
        <w:rPr>
          <w:rFonts w:ascii="宋体" w:hAnsi="宋体" w:eastAsia="宋体"/>
          <w:color w:val="auto"/>
          <w:sz w:val="21"/>
          <w:szCs w:val="21"/>
          <w:highlight w:val="none"/>
        </w:rPr>
      </w:pPr>
      <w:r>
        <w:rPr>
          <w:rFonts w:hint="eastAsia" w:ascii="宋体" w:hAnsi="宋体" w:eastAsia="宋体"/>
          <w:b/>
          <w:color w:val="auto"/>
          <w:sz w:val="21"/>
          <w:szCs w:val="21"/>
          <w:highlight w:val="none"/>
        </w:rPr>
        <w:t>现文：</w:t>
      </w:r>
      <w:r>
        <w:rPr>
          <w:rFonts w:hint="eastAsia" w:ascii="宋体" w:hAnsi="宋体" w:eastAsia="宋体"/>
          <w:color w:val="auto"/>
          <w:sz w:val="21"/>
          <w:szCs w:val="21"/>
          <w:highlight w:val="none"/>
        </w:rPr>
        <w:t>16.5投标人未按要求递交投标保证金的，其投标文件将被否决，且不能参与电脑随机排序、资格审查和评标。</w:t>
      </w:r>
      <w:r>
        <w:rPr>
          <w:rFonts w:hint="eastAsia" w:ascii="宋体" w:hAnsi="宋体" w:eastAsia="宋体" w:cs="宋体"/>
          <w:color w:val="auto"/>
          <w:sz w:val="21"/>
          <w:szCs w:val="21"/>
          <w:highlight w:val="none"/>
        </w:rPr>
        <w:t>如采用保函或保险等形式提交的，银行保函需开具给招标人，银行保函有效期不少于投标有效期。保证保险需开具给招标人（受益人必须是招标人），保证保险有效期不少于投标有效期。须在投标截止时间前15分钟将凭证原件单独密封递交至开标室。</w:t>
      </w:r>
      <w:r>
        <w:rPr>
          <w:rFonts w:hint="eastAsia" w:ascii="宋体" w:hAnsi="宋体" w:eastAsia="宋体" w:cs="宋体"/>
          <w:color w:val="auto"/>
          <w:sz w:val="21"/>
          <w:szCs w:val="21"/>
          <w:highlight w:val="none"/>
          <w:u w:val="single"/>
        </w:rPr>
        <w:t>如采用投标保函或投标保证保险的形式提交的，在开标前不强制要求投标人提交纸质原件，由中标候选人在中标候选人公示前提交并在网上公示，投标人应在投标文件中提交投标保函或投标保证保险扫描件并加盖投标人电子印章。如投标人选择在开标前提交纸质原件的，可在投标截止时间前单独密封递交至开标室（时间及地点同递交投标文件的时间及地点）</w:t>
      </w:r>
      <w:r>
        <w:rPr>
          <w:rFonts w:hint="eastAsia" w:ascii="宋体" w:hAnsi="宋体" w:eastAsia="宋体" w:cs="宋体"/>
          <w:color w:val="auto"/>
          <w:sz w:val="21"/>
          <w:szCs w:val="21"/>
          <w:highlight w:val="none"/>
          <w:u w:val="single"/>
          <w:lang w:eastAsia="zh-CN"/>
        </w:rPr>
        <w:t>。</w:t>
      </w:r>
    </w:p>
    <w:p>
      <w:pPr>
        <w:spacing w:line="360" w:lineRule="auto"/>
        <w:ind w:firstLine="472" w:firstLineChars="224"/>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color w:val="auto"/>
          <w:sz w:val="21"/>
          <w:szCs w:val="21"/>
          <w:highlight w:val="none"/>
        </w:rPr>
        <w:t>32.1</w:t>
      </w:r>
      <w:r>
        <w:rPr>
          <w:rFonts w:hint="eastAsia" w:ascii="宋体" w:hAnsi="宋体" w:eastAsia="宋体"/>
          <w:b/>
          <w:color w:val="auto"/>
          <w:sz w:val="21"/>
          <w:szCs w:val="21"/>
          <w:highlight w:val="none"/>
        </w:rPr>
        <w:t xml:space="preserve">             修改类型：修改</w:t>
      </w:r>
    </w:p>
    <w:p>
      <w:pPr>
        <w:snapToGrid w:val="0"/>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olor w:val="auto"/>
          <w:sz w:val="21"/>
          <w:szCs w:val="21"/>
          <w:highlight w:val="none"/>
        </w:rPr>
        <w:t>32.1 在收到中标通知书后的15日内，中标人应按本须知前附表第27项的规定向招标人递交履约担保；如果中标人的履约担保是以金融机构保函或保证保险的形式提供，则该金融机构或保险公司的注册地址须是在中国大陆境内。金融机构保函或保证保险均需开具给招标人（受益人必须是招标人）。</w:t>
      </w:r>
    </w:p>
    <w:p>
      <w:pPr>
        <w:pBdr>
          <w:bottom w:val="single" w:color="auto" w:sz="6" w:space="1"/>
        </w:pBdr>
        <w:spacing w:line="360" w:lineRule="auto"/>
        <w:ind w:firstLine="422" w:firstLineChars="200"/>
        <w:rPr>
          <w:rFonts w:ascii="宋体" w:hAnsi="宋体" w:eastAsia="宋体"/>
          <w:color w:val="auto"/>
          <w:sz w:val="21"/>
          <w:szCs w:val="21"/>
          <w:highlight w:val="none"/>
        </w:rPr>
      </w:pPr>
      <w:r>
        <w:rPr>
          <w:rFonts w:hint="eastAsia" w:ascii="宋体" w:hAnsi="宋体" w:eastAsia="宋体"/>
          <w:b/>
          <w:color w:val="auto"/>
          <w:sz w:val="21"/>
          <w:szCs w:val="21"/>
          <w:highlight w:val="none"/>
        </w:rPr>
        <w:t>现文：</w:t>
      </w:r>
      <w:r>
        <w:rPr>
          <w:rFonts w:hint="eastAsia" w:ascii="宋体" w:hAnsi="宋体" w:eastAsia="宋体"/>
          <w:color w:val="auto"/>
          <w:sz w:val="21"/>
          <w:szCs w:val="21"/>
          <w:highlight w:val="none"/>
        </w:rPr>
        <w:t>32.1</w:t>
      </w:r>
      <w:r>
        <w:rPr>
          <w:rFonts w:hint="eastAsia" w:ascii="宋体" w:hAnsi="宋体" w:eastAsia="宋体"/>
          <w:color w:val="auto"/>
          <w:sz w:val="21"/>
          <w:szCs w:val="21"/>
          <w:highlight w:val="none"/>
          <w:u w:val="none"/>
        </w:rPr>
        <w:t xml:space="preserve"> </w:t>
      </w:r>
      <w:r>
        <w:rPr>
          <w:rFonts w:hint="eastAsia" w:ascii="宋体" w:hAnsi="宋体" w:eastAsia="宋体"/>
          <w:color w:val="auto"/>
          <w:sz w:val="21"/>
          <w:szCs w:val="21"/>
          <w:highlight w:val="none"/>
          <w:u w:val="single"/>
        </w:rPr>
        <w:t>合同正式签订之日后的15日内，中标人应按本须知前附表第27项的规定向招标人递交履约担保；中标人的履约担保以银行保函的形式提供，该银行保函应由在中国注册且营业地点在广州行政辖区内的银行开具</w:t>
      </w:r>
      <w:r>
        <w:rPr>
          <w:rFonts w:hint="eastAsia" w:ascii="宋体" w:hAnsi="宋体" w:eastAsia="宋体"/>
          <w:color w:val="auto"/>
          <w:sz w:val="21"/>
          <w:szCs w:val="21"/>
          <w:highlight w:val="none"/>
          <w:u w:val="single"/>
          <w:lang w:eastAsia="zh-CN"/>
        </w:rPr>
        <w:t>（</w:t>
      </w:r>
      <w:r>
        <w:rPr>
          <w:rFonts w:hint="eastAsia" w:ascii="宋体" w:hAnsi="宋体" w:eastAsia="宋体"/>
          <w:color w:val="auto"/>
          <w:sz w:val="21"/>
          <w:szCs w:val="21"/>
          <w:highlight w:val="none"/>
          <w:u w:val="single"/>
          <w:lang w:val="en-US" w:eastAsia="zh-CN"/>
        </w:rPr>
        <w:t xml:space="preserve">格式详见 附件23 履约保函 </w:t>
      </w:r>
      <w:r>
        <w:rPr>
          <w:rFonts w:hint="eastAsia" w:ascii="宋体" w:hAnsi="宋体" w:eastAsia="宋体"/>
          <w:color w:val="auto"/>
          <w:sz w:val="21"/>
          <w:szCs w:val="21"/>
          <w:highlight w:val="none"/>
          <w:u w:val="single"/>
          <w:lang w:eastAsia="zh-CN"/>
        </w:rPr>
        <w:t>）</w:t>
      </w:r>
      <w:r>
        <w:rPr>
          <w:rFonts w:hint="eastAsia" w:ascii="宋体" w:hAnsi="宋体" w:eastAsia="宋体"/>
          <w:color w:val="auto"/>
          <w:sz w:val="21"/>
          <w:szCs w:val="21"/>
          <w:highlight w:val="none"/>
        </w:rPr>
        <w:t>。</w:t>
      </w:r>
    </w:p>
    <w:p>
      <w:pPr>
        <w:spacing w:line="360" w:lineRule="auto"/>
        <w:ind w:firstLine="472" w:firstLineChars="224"/>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color w:val="auto"/>
          <w:sz w:val="21"/>
          <w:szCs w:val="21"/>
          <w:highlight w:val="none"/>
        </w:rPr>
        <w:t>32.2</w:t>
      </w:r>
      <w:r>
        <w:rPr>
          <w:rFonts w:hint="eastAsia" w:ascii="宋体" w:hAnsi="宋体" w:eastAsia="宋体"/>
          <w:b/>
          <w:color w:val="auto"/>
          <w:sz w:val="21"/>
          <w:szCs w:val="21"/>
          <w:highlight w:val="none"/>
        </w:rPr>
        <w:t xml:space="preserve">             修改类型：修改</w:t>
      </w:r>
    </w:p>
    <w:p>
      <w:pPr>
        <w:snapToGrid w:val="0"/>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olor w:val="auto"/>
          <w:sz w:val="21"/>
          <w:szCs w:val="21"/>
          <w:highlight w:val="none"/>
        </w:rPr>
        <w:t>32.2中标通知书发出之日起15日后，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22" w:firstLineChars="200"/>
        <w:rPr>
          <w:rFonts w:ascii="宋体" w:hAnsi="宋体" w:eastAsia="宋体"/>
          <w:color w:val="auto"/>
          <w:sz w:val="21"/>
          <w:szCs w:val="21"/>
          <w:highlight w:val="none"/>
        </w:rPr>
      </w:pPr>
      <w:r>
        <w:rPr>
          <w:rFonts w:hint="eastAsia" w:ascii="宋体" w:hAnsi="宋体" w:eastAsia="宋体"/>
          <w:b/>
          <w:color w:val="auto"/>
          <w:sz w:val="21"/>
          <w:szCs w:val="21"/>
          <w:highlight w:val="none"/>
        </w:rPr>
        <w:t>现文：</w:t>
      </w:r>
      <w:r>
        <w:rPr>
          <w:rFonts w:hint="eastAsia" w:ascii="宋体" w:hAnsi="宋体" w:eastAsia="宋体"/>
          <w:color w:val="auto"/>
          <w:sz w:val="21"/>
          <w:szCs w:val="21"/>
          <w:highlight w:val="none"/>
        </w:rPr>
        <w:t>32.2</w:t>
      </w:r>
      <w:r>
        <w:rPr>
          <w:rFonts w:hint="eastAsia" w:ascii="宋体" w:hAnsi="宋体" w:eastAsia="宋体"/>
          <w:color w:val="auto"/>
          <w:sz w:val="21"/>
          <w:szCs w:val="21"/>
          <w:highlight w:val="none"/>
          <w:u w:val="single"/>
        </w:rPr>
        <w:t>合同正式签订之日后的15日内，</w:t>
      </w:r>
      <w:r>
        <w:rPr>
          <w:rFonts w:hint="eastAsia" w:ascii="宋体" w:hAnsi="宋体" w:eastAsia="宋体"/>
          <w:color w:val="auto"/>
          <w:sz w:val="21"/>
          <w:szCs w:val="21"/>
          <w:highlight w:val="none"/>
        </w:rPr>
        <w:t>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72" w:firstLineChars="224"/>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b/>
          <w:bCs/>
          <w:color w:val="auto"/>
          <w:sz w:val="21"/>
          <w:szCs w:val="21"/>
          <w:highlight w:val="none"/>
        </w:rPr>
        <w:t>33</w:t>
      </w:r>
      <w:r>
        <w:rPr>
          <w:rFonts w:hint="eastAsia" w:ascii="宋体" w:hAnsi="宋体" w:eastAsia="宋体"/>
          <w:b/>
          <w:color w:val="auto"/>
          <w:sz w:val="21"/>
          <w:szCs w:val="21"/>
          <w:highlight w:val="none"/>
        </w:rPr>
        <w:t xml:space="preserve">             修改类型：修改</w:t>
      </w:r>
    </w:p>
    <w:p>
      <w:pPr>
        <w:spacing w:line="360" w:lineRule="auto"/>
        <w:ind w:firstLine="422" w:firstLineChars="200"/>
        <w:rPr>
          <w:rFonts w:ascii="宋体" w:hAnsi="宋体" w:eastAsia="宋体"/>
          <w:b/>
          <w:bCs/>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b/>
          <w:bCs/>
          <w:color w:val="auto"/>
          <w:sz w:val="21"/>
          <w:szCs w:val="21"/>
          <w:highlight w:val="none"/>
        </w:rPr>
        <w:t>33．合同生效</w:t>
      </w:r>
    </w:p>
    <w:p>
      <w:pPr>
        <w:spacing w:line="360" w:lineRule="auto"/>
        <w:ind w:firstLine="420" w:firstLineChars="200"/>
        <w:rPr>
          <w:rFonts w:ascii="宋体" w:hAnsi="宋体" w:eastAsia="宋体"/>
          <w:b/>
          <w:color w:val="auto"/>
          <w:sz w:val="21"/>
          <w:szCs w:val="21"/>
          <w:highlight w:val="none"/>
        </w:rPr>
      </w:pPr>
      <w:r>
        <w:rPr>
          <w:rFonts w:hint="eastAsia" w:ascii="宋体" w:hAnsi="宋体" w:eastAsia="宋体"/>
          <w:color w:val="auto"/>
          <w:sz w:val="21"/>
          <w:szCs w:val="21"/>
          <w:highlight w:val="none"/>
        </w:rPr>
        <w:t>在合同双方全权代表在合同协议书上签字，并分别加盖双方单位的公章后，合同正式生效。</w:t>
      </w:r>
    </w:p>
    <w:p>
      <w:pPr>
        <w:spacing w:line="360" w:lineRule="auto"/>
        <w:ind w:firstLine="422" w:firstLineChars="200"/>
        <w:rPr>
          <w:rFonts w:ascii="宋体" w:hAnsi="宋体" w:eastAsia="宋体"/>
          <w:b/>
          <w:bCs/>
          <w:color w:val="auto"/>
          <w:sz w:val="21"/>
          <w:szCs w:val="21"/>
          <w:highlight w:val="none"/>
        </w:rPr>
      </w:pPr>
      <w:r>
        <w:rPr>
          <w:rFonts w:hint="eastAsia" w:ascii="宋体" w:hAnsi="宋体" w:eastAsia="宋体"/>
          <w:b/>
          <w:color w:val="auto"/>
          <w:sz w:val="21"/>
          <w:szCs w:val="21"/>
          <w:highlight w:val="none"/>
        </w:rPr>
        <w:t>现文：</w:t>
      </w:r>
      <w:r>
        <w:rPr>
          <w:rFonts w:hint="eastAsia" w:ascii="宋体" w:hAnsi="宋体" w:eastAsia="宋体"/>
          <w:b/>
          <w:bCs/>
          <w:color w:val="auto"/>
          <w:sz w:val="21"/>
          <w:szCs w:val="21"/>
          <w:highlight w:val="none"/>
        </w:rPr>
        <w:t>33．合同生效</w:t>
      </w:r>
    </w:p>
    <w:p>
      <w:pPr>
        <w:pBdr>
          <w:bottom w:val="single" w:color="auto" w:sz="6" w:space="1"/>
        </w:pBdr>
        <w:spacing w:line="360" w:lineRule="auto"/>
        <w:ind w:firstLine="420" w:firstLineChars="200"/>
        <w:rPr>
          <w:rFonts w:hint="eastAsia" w:ascii="宋体" w:hAnsi="宋体" w:eastAsia="宋体"/>
          <w:b/>
          <w:color w:val="auto"/>
          <w:sz w:val="21"/>
          <w:szCs w:val="21"/>
          <w:highlight w:val="none"/>
        </w:rPr>
      </w:pPr>
      <w:r>
        <w:rPr>
          <w:rFonts w:hint="eastAsia" w:ascii="宋体" w:hAnsi="宋体" w:eastAsia="宋体"/>
          <w:color w:val="auto"/>
          <w:sz w:val="21"/>
          <w:szCs w:val="21"/>
          <w:highlight w:val="none"/>
        </w:rPr>
        <w:t>在合同双方全权代表在合同协议书上签字，并分别加盖双方单位的公</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且</w:t>
      </w:r>
      <w:r>
        <w:rPr>
          <w:rFonts w:hint="eastAsia" w:ascii="宋体" w:hAnsi="宋体" w:eastAsia="宋体" w:cs="宋体"/>
          <w:color w:val="auto"/>
          <w:kern w:val="0"/>
          <w:sz w:val="21"/>
          <w:szCs w:val="21"/>
          <w:highlight w:val="none"/>
        </w:rPr>
        <w:t>自本合同约定的项目起始之日起</w:t>
      </w:r>
      <w:r>
        <w:rPr>
          <w:rFonts w:hint="eastAsia" w:ascii="宋体" w:hAnsi="宋体" w:eastAsia="宋体"/>
          <w:color w:val="auto"/>
          <w:sz w:val="21"/>
          <w:szCs w:val="21"/>
          <w:highlight w:val="none"/>
        </w:rPr>
        <w:t>，合同正式生效。</w:t>
      </w:r>
    </w:p>
    <w:p>
      <w:pPr>
        <w:spacing w:line="360" w:lineRule="auto"/>
        <w:ind w:firstLine="472" w:firstLineChars="224"/>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b/>
          <w:bCs/>
          <w:color w:val="auto"/>
          <w:sz w:val="21"/>
          <w:szCs w:val="21"/>
          <w:highlight w:val="none"/>
        </w:rPr>
        <w:t>34</w:t>
      </w:r>
      <w:r>
        <w:rPr>
          <w:rFonts w:hint="eastAsia" w:ascii="宋体" w:hAnsi="宋体" w:eastAsia="宋体"/>
          <w:b/>
          <w:color w:val="auto"/>
          <w:sz w:val="21"/>
          <w:szCs w:val="21"/>
          <w:highlight w:val="none"/>
        </w:rPr>
        <w:t xml:space="preserve">             修改类型：修改</w:t>
      </w:r>
    </w:p>
    <w:p>
      <w:pPr>
        <w:spacing w:line="360" w:lineRule="auto"/>
        <w:ind w:firstLine="422" w:firstLineChars="200"/>
        <w:rPr>
          <w:rFonts w:ascii="宋体" w:hAnsi="宋体" w:eastAsia="宋体"/>
          <w:b/>
          <w:bCs/>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b/>
          <w:bCs/>
          <w:color w:val="auto"/>
          <w:sz w:val="21"/>
          <w:szCs w:val="21"/>
          <w:highlight w:val="none"/>
        </w:rPr>
        <w:t>34．其它费用</w:t>
      </w:r>
    </w:p>
    <w:p>
      <w:pPr>
        <w:spacing w:line="360" w:lineRule="auto"/>
        <w:ind w:firstLine="470" w:firstLineChars="224"/>
        <w:rPr>
          <w:rFonts w:ascii="宋体" w:hAnsi="宋体" w:eastAsia="宋体"/>
          <w:b/>
          <w:color w:val="auto"/>
          <w:sz w:val="21"/>
          <w:szCs w:val="21"/>
          <w:highlight w:val="none"/>
        </w:rPr>
      </w:pPr>
      <w:r>
        <w:rPr>
          <w:rFonts w:hint="eastAsia" w:ascii="宋体" w:hAnsi="宋体" w:eastAsia="宋体"/>
          <w:color w:val="auto"/>
          <w:sz w:val="21"/>
          <w:szCs w:val="21"/>
          <w:highlight w:val="none"/>
        </w:rPr>
        <w:t>公共资源交易服务费应根据政府有关规定支付。</w:t>
      </w:r>
    </w:p>
    <w:p>
      <w:pPr>
        <w:spacing w:line="360" w:lineRule="auto"/>
        <w:ind w:firstLine="422" w:firstLineChars="200"/>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现文：</w:t>
      </w:r>
      <w:r>
        <w:rPr>
          <w:rFonts w:hint="eastAsia" w:ascii="宋体" w:hAnsi="宋体" w:eastAsia="宋体"/>
          <w:b/>
          <w:bCs/>
          <w:color w:val="auto"/>
          <w:sz w:val="21"/>
          <w:szCs w:val="21"/>
          <w:highlight w:val="none"/>
        </w:rPr>
        <w:t>34．其它费用</w:t>
      </w:r>
    </w:p>
    <w:p>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34.1中标人应</w:t>
      </w:r>
      <w:r>
        <w:rPr>
          <w:rFonts w:hint="eastAsia" w:ascii="宋体" w:hAnsi="宋体" w:eastAsia="宋体" w:cs="宋体"/>
          <w:color w:val="auto"/>
          <w:sz w:val="21"/>
          <w:szCs w:val="21"/>
          <w:highlight w:val="none"/>
          <w:u w:val="single"/>
          <w:lang w:eastAsia="zh-CN"/>
        </w:rPr>
        <w:t>向</w:t>
      </w:r>
      <w:r>
        <w:rPr>
          <w:rFonts w:hint="eastAsia" w:ascii="宋体" w:hAnsi="宋体" w:eastAsia="宋体" w:cs="宋体"/>
          <w:color w:val="auto"/>
          <w:sz w:val="21"/>
          <w:szCs w:val="21"/>
          <w:highlight w:val="none"/>
          <w:u w:val="single"/>
        </w:rPr>
        <w:t>广州公共资源交易中心交纳公共资源交易服务费，该费用包含在投标价中。</w:t>
      </w:r>
    </w:p>
    <w:p>
      <w:pPr>
        <w:pBdr>
          <w:bottom w:val="single" w:color="auto" w:sz="6" w:space="1"/>
        </w:pBdr>
        <w:spacing w:line="360" w:lineRule="auto"/>
        <w:ind w:firstLine="420" w:firstLineChars="200"/>
        <w:rPr>
          <w:rFonts w:hint="eastAsia" w:ascii="宋体" w:hAnsi="宋体" w:eastAsia="宋体"/>
          <w:b/>
          <w:color w:val="auto"/>
          <w:sz w:val="21"/>
          <w:szCs w:val="21"/>
          <w:highlight w:val="none"/>
        </w:rPr>
      </w:pPr>
      <w:r>
        <w:rPr>
          <w:rFonts w:hint="eastAsia" w:ascii="宋体" w:hAnsi="宋体" w:eastAsia="宋体" w:cs="宋体"/>
          <w:color w:val="auto"/>
          <w:sz w:val="21"/>
          <w:szCs w:val="21"/>
          <w:highlight w:val="none"/>
          <w:u w:val="single"/>
        </w:rPr>
        <w:t>34.2中标人</w:t>
      </w:r>
      <w:r>
        <w:rPr>
          <w:rFonts w:hint="eastAsia" w:ascii="宋体" w:hAnsi="宋体" w:eastAsia="宋体" w:cs="宋体"/>
          <w:color w:val="auto"/>
          <w:sz w:val="21"/>
          <w:szCs w:val="21"/>
          <w:highlight w:val="none"/>
          <w:u w:val="single"/>
          <w:lang w:eastAsia="zh-CN"/>
        </w:rPr>
        <w:t>在领取中标通知书前</w:t>
      </w:r>
      <w:r>
        <w:rPr>
          <w:rFonts w:hint="eastAsia" w:ascii="宋体" w:hAnsi="宋体" w:eastAsia="宋体" w:cs="宋体"/>
          <w:color w:val="auto"/>
          <w:sz w:val="21"/>
          <w:szCs w:val="21"/>
          <w:highlight w:val="none"/>
          <w:u w:val="single"/>
        </w:rPr>
        <w:t>向招标代理单位支付招标代理费及评标专家费，招标代理费以中标价为基数按《国家计委关于印发&lt;招标代理服务收费管理暂行办法&gt;的通知(计价格[2002]1980号)》计算，评标专家费按实计算</w:t>
      </w:r>
      <w:r>
        <w:rPr>
          <w:rFonts w:hint="eastAsia" w:ascii="宋体" w:hAnsi="宋体" w:eastAsia="宋体" w:cs="宋体"/>
          <w:color w:val="auto"/>
          <w:sz w:val="21"/>
          <w:szCs w:val="21"/>
          <w:highlight w:val="none"/>
          <w:u w:val="single"/>
          <w:lang w:val="en-US" w:eastAsia="zh-CN"/>
        </w:rPr>
        <w:t>。</w:t>
      </w:r>
    </w:p>
    <w:p>
      <w:pPr>
        <w:spacing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注：以上修改，仅限于本范本中有可供选择条款的情形。</w:t>
      </w:r>
    </w:p>
    <w:p>
      <w:pPr>
        <w:spacing w:line="360" w:lineRule="auto"/>
        <w:rPr>
          <w:rFonts w:ascii="宋体" w:hAnsi="宋体" w:eastAsia="宋体"/>
          <w:color w:val="auto"/>
          <w:sz w:val="21"/>
          <w:szCs w:val="21"/>
          <w:highlight w:val="none"/>
        </w:rPr>
      </w:pPr>
      <w:r>
        <w:rPr>
          <w:rFonts w:hint="eastAsia" w:ascii="宋体" w:hAnsi="宋体" w:eastAsia="宋体"/>
          <w:b/>
          <w:color w:val="auto"/>
          <w:sz w:val="21"/>
          <w:szCs w:val="21"/>
          <w:highlight w:val="none"/>
        </w:rPr>
        <w:t>（以下无正文）</w:t>
      </w:r>
    </w:p>
    <w:p>
      <w:pPr>
        <w:pStyle w:val="4"/>
        <w:spacing w:before="120"/>
        <w:rPr>
          <w:rFonts w:ascii="宋体" w:eastAsia="宋体"/>
          <w:highlight w:val="none"/>
        </w:rPr>
      </w:pPr>
      <w:r>
        <w:rPr>
          <w:rFonts w:hint="eastAsia" w:ascii="宋体" w:hAnsi="宋体" w:eastAsia="宋体" w:cs="宋体"/>
          <w:highlight w:val="none"/>
        </w:rPr>
        <w:br w:type="page"/>
      </w:r>
      <w:bookmarkStart w:id="33" w:name="_Toc101777611"/>
      <w:bookmarkStart w:id="34" w:name="_Toc85505511"/>
      <w:bookmarkStart w:id="35" w:name="_Toc13975"/>
      <w:bookmarkStart w:id="36" w:name="_Toc10964"/>
      <w:bookmarkStart w:id="37" w:name="_Toc262229162"/>
      <w:bookmarkStart w:id="38" w:name="_Toc6168"/>
      <w:bookmarkStart w:id="39" w:name="_Toc7099"/>
      <w:bookmarkStart w:id="40" w:name="_Toc28733"/>
      <w:bookmarkStart w:id="41" w:name="_Toc17692"/>
      <w:bookmarkStart w:id="42" w:name="_Toc19456"/>
      <w:bookmarkStart w:id="43" w:name="_Toc822"/>
      <w:r>
        <w:rPr>
          <w:rFonts w:hint="eastAsia" w:ascii="宋体" w:eastAsia="宋体"/>
          <w:highlight w:val="none"/>
        </w:rPr>
        <w:t>三、投标须知</w:t>
      </w:r>
      <w:bookmarkEnd w:id="33"/>
      <w:bookmarkEnd w:id="34"/>
      <w:r>
        <w:rPr>
          <w:rFonts w:hint="eastAsia" w:ascii="宋体" w:eastAsia="宋体"/>
          <w:highlight w:val="none"/>
        </w:rPr>
        <w:t>通用条款</w:t>
      </w:r>
      <w:bookmarkEnd w:id="35"/>
      <w:bookmarkEnd w:id="36"/>
      <w:bookmarkEnd w:id="37"/>
      <w:bookmarkEnd w:id="38"/>
      <w:bookmarkEnd w:id="39"/>
      <w:bookmarkEnd w:id="40"/>
      <w:bookmarkEnd w:id="41"/>
      <w:bookmarkEnd w:id="42"/>
      <w:bookmarkEnd w:id="43"/>
    </w:p>
    <w:p>
      <w:pPr>
        <w:pStyle w:val="4"/>
        <w:spacing w:before="120"/>
        <w:rPr>
          <w:rFonts w:ascii="宋体" w:eastAsia="宋体"/>
          <w:highlight w:val="none"/>
        </w:rPr>
      </w:pPr>
      <w:bookmarkStart w:id="44" w:name="_（一）总则_1"/>
      <w:bookmarkEnd w:id="44"/>
      <w:bookmarkStart w:id="45" w:name="_Toc4636"/>
      <w:bookmarkStart w:id="46" w:name="_Toc375"/>
      <w:bookmarkStart w:id="47" w:name="_Toc262229163"/>
      <w:bookmarkStart w:id="48" w:name="_Toc7137"/>
      <w:bookmarkStart w:id="49" w:name="_Toc101777612"/>
      <w:bookmarkStart w:id="50" w:name="_Toc32388"/>
      <w:bookmarkStart w:id="51" w:name="_Toc24274"/>
      <w:bookmarkStart w:id="52" w:name="_Toc3129"/>
      <w:bookmarkStart w:id="53" w:name="_Toc28561"/>
      <w:bookmarkStart w:id="54" w:name="_Toc8857"/>
      <w:bookmarkStart w:id="55" w:name="_Toc85505512"/>
      <w:r>
        <w:rPr>
          <w:rFonts w:hint="eastAsia" w:ascii="宋体" w:eastAsia="宋体"/>
          <w:highlight w:val="none"/>
        </w:rPr>
        <w:t>（一）总则</w:t>
      </w:r>
      <w:bookmarkEnd w:id="45"/>
      <w:bookmarkEnd w:id="46"/>
      <w:bookmarkEnd w:id="47"/>
      <w:bookmarkEnd w:id="48"/>
      <w:bookmarkEnd w:id="49"/>
      <w:bookmarkEnd w:id="50"/>
      <w:bookmarkEnd w:id="51"/>
      <w:bookmarkEnd w:id="52"/>
      <w:bookmarkEnd w:id="53"/>
      <w:bookmarkEnd w:id="54"/>
      <w:bookmarkEnd w:id="55"/>
    </w:p>
    <w:p>
      <w:pPr>
        <w:pStyle w:val="9"/>
        <w:spacing w:after="0"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rPr>
        <w:t>1.定义</w:t>
      </w:r>
    </w:p>
    <w:p>
      <w:pPr>
        <w:pStyle w:val="9"/>
        <w:spacing w:after="0" w:line="360" w:lineRule="auto"/>
        <w:ind w:firstLine="480" w:firstLineChars="200"/>
        <w:rPr>
          <w:rFonts w:ascii="宋体" w:hAnsi="宋体" w:eastAsia="宋体"/>
          <w:b/>
          <w:bCs/>
          <w:sz w:val="24"/>
          <w:highlight w:val="none"/>
        </w:rPr>
      </w:pPr>
      <w:r>
        <w:rPr>
          <w:rFonts w:hint="eastAsia" w:ascii="宋体" w:hAnsi="宋体" w:eastAsia="宋体"/>
          <w:sz w:val="24"/>
          <w:highlight w:val="none"/>
        </w:rPr>
        <w:t>本招标文件使用的下列词语具有如下规定的意义：</w:t>
      </w:r>
    </w:p>
    <w:p>
      <w:pPr>
        <w:pStyle w:val="9"/>
        <w:spacing w:after="0" w:line="360" w:lineRule="auto"/>
        <w:ind w:firstLine="480" w:firstLineChars="200"/>
        <w:rPr>
          <w:rFonts w:ascii="宋体" w:hAnsi="宋体" w:eastAsia="宋体"/>
          <w:b/>
          <w:bCs/>
          <w:sz w:val="24"/>
          <w:highlight w:val="none"/>
          <w:u w:val="single"/>
        </w:rPr>
      </w:pPr>
      <w:r>
        <w:rPr>
          <w:rFonts w:hint="eastAsia" w:ascii="宋体" w:hAnsi="宋体" w:eastAsia="宋体"/>
          <w:sz w:val="24"/>
          <w:highlight w:val="none"/>
        </w:rPr>
        <w:t>（1）“招标人”（即发包人）、“项目建设管理单位”（或称“项目代建单位”）、“招标代理机构”、“设计单位”、“监理单位”均已在投标须知前附表中列明。</w:t>
      </w:r>
    </w:p>
    <w:p>
      <w:pPr>
        <w:pStyle w:val="9"/>
        <w:spacing w:after="0" w:line="360" w:lineRule="auto"/>
        <w:ind w:firstLine="480" w:firstLineChars="200"/>
        <w:rPr>
          <w:rFonts w:ascii="宋体" w:hAnsi="宋体" w:eastAsia="宋体"/>
          <w:sz w:val="24"/>
          <w:highlight w:val="none"/>
          <w:u w:val="single"/>
        </w:rPr>
      </w:pPr>
      <w:r>
        <w:rPr>
          <w:rFonts w:hint="eastAsia" w:ascii="宋体" w:hAnsi="宋体" w:eastAsia="宋体"/>
          <w:sz w:val="24"/>
          <w:highlight w:val="none"/>
        </w:rPr>
        <w:t xml:space="preserve">（2）“投标人”指向招标人递交投标文件的当事人。   </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（3）“承包人”指其投标被招标人接受并与其签订承包合同的当事人。</w:t>
      </w:r>
    </w:p>
    <w:p>
      <w:pPr>
        <w:pStyle w:val="9"/>
        <w:spacing w:after="0" w:line="360" w:lineRule="auto"/>
        <w:ind w:firstLine="480" w:firstLineChars="200"/>
        <w:rPr>
          <w:rFonts w:ascii="宋体" w:hAnsi="宋体" w:eastAsia="宋体"/>
          <w:sz w:val="24"/>
          <w:highlight w:val="none"/>
          <w:u w:val="single"/>
        </w:rPr>
      </w:pPr>
      <w:r>
        <w:rPr>
          <w:rFonts w:hint="eastAsia" w:ascii="宋体" w:hAnsi="宋体" w:eastAsia="宋体"/>
          <w:sz w:val="24"/>
          <w:highlight w:val="none"/>
        </w:rPr>
        <w:t>（4）“招标文件”指由招标代理机构发出的本文件（包括全部章节、附件）及招标答疑会会议纪要和</w:t>
      </w:r>
      <w:r>
        <w:rPr>
          <w:rFonts w:hint="eastAsia" w:ascii="宋体" w:hAnsi="宋体" w:eastAsia="宋体"/>
          <w:bCs/>
          <w:sz w:val="24"/>
          <w:highlight w:val="none"/>
        </w:rPr>
        <w:t>招标文件的澄清与修改</w:t>
      </w:r>
      <w:r>
        <w:rPr>
          <w:rFonts w:hint="eastAsia" w:ascii="宋体" w:hAnsi="宋体" w:eastAsia="宋体"/>
          <w:sz w:val="24"/>
          <w:highlight w:val="none"/>
        </w:rPr>
        <w:t>文件。</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（5）“投标文件”指投标人根据本项目招标文件向招标人递交的全部文件。</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（6）“书面文件”指打字或印刷的文件，包括电传、电报和传真。</w:t>
      </w:r>
    </w:p>
    <w:p>
      <w:pPr>
        <w:pStyle w:val="9"/>
        <w:spacing w:after="0" w:line="360" w:lineRule="auto"/>
        <w:ind w:firstLine="480" w:firstLineChars="200"/>
        <w:rPr>
          <w:rFonts w:ascii="宋体" w:hAnsi="宋体" w:eastAsia="宋体"/>
          <w:b/>
          <w:sz w:val="24"/>
          <w:szCs w:val="24"/>
          <w:highlight w:val="none"/>
        </w:rPr>
      </w:pPr>
      <w:r>
        <w:rPr>
          <w:rFonts w:hint="eastAsia" w:ascii="宋体" w:hAnsi="宋体" w:eastAsia="宋体"/>
          <w:sz w:val="24"/>
          <w:highlight w:val="none"/>
        </w:rPr>
        <w:t>（7）“电子文件</w:t>
      </w:r>
      <w:r>
        <w:rPr>
          <w:rFonts w:hint="eastAsia" w:ascii="宋体" w:hAnsi="宋体" w:eastAsia="宋体"/>
          <w:sz w:val="24"/>
          <w:szCs w:val="24"/>
          <w:highlight w:val="none"/>
        </w:rPr>
        <w:t>”</w:t>
      </w:r>
      <w:r>
        <w:rPr>
          <w:rFonts w:hint="eastAsia" w:ascii="宋体" w:hAnsi="宋体" w:eastAsia="宋体"/>
          <w:b/>
          <w:sz w:val="24"/>
          <w:szCs w:val="24"/>
          <w:highlight w:val="none"/>
        </w:rPr>
        <w:t xml:space="preserve"> </w:t>
      </w:r>
      <w:r>
        <w:rPr>
          <w:rFonts w:hint="eastAsia" w:ascii="宋体" w:hAnsi="宋体" w:eastAsia="宋体"/>
          <w:sz w:val="24"/>
          <w:szCs w:val="24"/>
          <w:highlight w:val="none"/>
        </w:rPr>
        <w:t>指数字、文字、图形等以数码形式存储于磁带、磁盘、光盘等载体，依赖计算机等数字设备阅读、处理，并可在通信网络上传送的文件。</w:t>
      </w:r>
    </w:p>
    <w:p>
      <w:pPr>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2.招标说明</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2.1本招标工程项目按照《中华人民共和国招标投标法》等有关法律、行政法规、规章和规范性文件，通过招标方式选定承包人。</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2.2工程名称、建设地点、建设规模、承包方式、质量标准、招标范围、工期要求等均在投标须知前附表中列明。</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2.3设计说明：详见招标图纸。</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2.4工程施工特点：详见招标图纸。</w:t>
      </w:r>
    </w:p>
    <w:p>
      <w:pPr>
        <w:tabs>
          <w:tab w:val="left" w:pos="105"/>
        </w:tabs>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3．资金来源</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本招标工程项目资金来源见投标须知前附表第9项。</w:t>
      </w:r>
    </w:p>
    <w:p>
      <w:pPr>
        <w:tabs>
          <w:tab w:val="left" w:pos="105"/>
        </w:tabs>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4．投标人资格条件</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详见本项目招标公告。</w:t>
      </w:r>
    </w:p>
    <w:p>
      <w:pPr>
        <w:tabs>
          <w:tab w:val="left" w:pos="105"/>
        </w:tabs>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5．踏勘现场</w:t>
      </w:r>
    </w:p>
    <w:p>
      <w:pPr>
        <w:spacing w:line="360" w:lineRule="auto"/>
        <w:ind w:firstLine="480" w:firstLineChars="200"/>
        <w:rPr>
          <w:rFonts w:ascii="宋体" w:hAnsi="宋体" w:eastAsia="宋体"/>
          <w:bCs/>
          <w:sz w:val="24"/>
          <w:highlight w:val="none"/>
          <w:u w:val="single"/>
        </w:rPr>
      </w:pPr>
      <w:r>
        <w:rPr>
          <w:rFonts w:hint="eastAsia" w:ascii="宋体" w:hAnsi="宋体" w:eastAsia="宋体"/>
          <w:bCs/>
          <w:sz w:val="24"/>
          <w:highlight w:val="none"/>
        </w:rPr>
        <w:t>5.1 投标人应按本投标须知前附表第16项所述时间和要求对工程现场及周围环境进行踏勘，</w:t>
      </w:r>
      <w:r>
        <w:rPr>
          <w:rFonts w:hint="eastAsia" w:ascii="宋体" w:hAnsi="宋体" w:eastAsia="宋体"/>
          <w:sz w:val="24"/>
          <w:highlight w:val="none"/>
        </w:rPr>
        <w:t>投标人应充分重视和仔细地进行这种考察，</w:t>
      </w:r>
      <w:r>
        <w:rPr>
          <w:rFonts w:hint="eastAsia" w:ascii="宋体" w:hAnsi="宋体" w:eastAsia="宋体"/>
          <w:bCs/>
          <w:sz w:val="24"/>
          <w:highlight w:val="none"/>
        </w:rPr>
        <w:t>以便投标人获取</w:t>
      </w:r>
      <w:r>
        <w:rPr>
          <w:rFonts w:hint="eastAsia" w:ascii="宋体" w:hAnsi="宋体" w:eastAsia="宋体"/>
          <w:sz w:val="24"/>
          <w:highlight w:val="none"/>
        </w:rPr>
        <w:t>那些须投标人自己负责的</w:t>
      </w:r>
      <w:r>
        <w:rPr>
          <w:rFonts w:hint="eastAsia" w:ascii="宋体" w:hAnsi="宋体" w:eastAsia="宋体"/>
          <w:bCs/>
          <w:sz w:val="24"/>
          <w:highlight w:val="none"/>
        </w:rPr>
        <w:t>有关编制投标文件和签署合同所涉及现场所有的资料。</w:t>
      </w:r>
      <w:r>
        <w:rPr>
          <w:rFonts w:hint="eastAsia" w:ascii="宋体" w:hAnsi="宋体" w:eastAsia="宋体"/>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5.3 经招标人允许，投标人可为踏勘目的进入招标人的项目现场。</w:t>
      </w:r>
      <w:r>
        <w:rPr>
          <w:rFonts w:hint="eastAsia" w:ascii="宋体" w:hAnsi="宋体" w:eastAsia="宋体"/>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bCs/>
          <w:sz w:val="24"/>
          <w:highlight w:val="none"/>
        </w:rPr>
        <w:t>投标人不得因此使招标人承担有关的责任和蒙受损失。</w:t>
      </w:r>
    </w:p>
    <w:p>
      <w:pPr>
        <w:tabs>
          <w:tab w:val="left" w:pos="105"/>
        </w:tabs>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6．投标费用</w:t>
      </w:r>
    </w:p>
    <w:p>
      <w:pPr>
        <w:tabs>
          <w:tab w:val="left" w:pos="105"/>
        </w:tabs>
        <w:spacing w:line="360" w:lineRule="auto"/>
        <w:ind w:firstLine="480" w:firstLineChars="200"/>
        <w:rPr>
          <w:rFonts w:ascii="宋体" w:hAnsi="宋体" w:eastAsia="宋体"/>
          <w:bCs/>
          <w:sz w:val="24"/>
          <w:highlight w:val="none"/>
        </w:rPr>
      </w:pPr>
      <w:r>
        <w:rPr>
          <w:rFonts w:hint="eastAsia" w:ascii="宋体" w:hAnsi="宋体" w:eastAsia="宋体"/>
          <w:sz w:val="24"/>
          <w:highlight w:val="none"/>
        </w:rPr>
        <w:t>不论投标结果如何，投标人应承担</w:t>
      </w:r>
      <w:r>
        <w:rPr>
          <w:rFonts w:hint="eastAsia" w:ascii="宋体" w:hAnsi="宋体" w:eastAsia="宋体"/>
          <w:bCs/>
          <w:sz w:val="24"/>
          <w:highlight w:val="none"/>
        </w:rPr>
        <w:t>自身</w:t>
      </w:r>
      <w:r>
        <w:rPr>
          <w:rFonts w:hint="eastAsia" w:ascii="宋体" w:hAnsi="宋体" w:eastAsia="宋体"/>
          <w:sz w:val="24"/>
          <w:highlight w:val="none"/>
        </w:rPr>
        <w:t>因投标文件编制、递交及其他</w:t>
      </w:r>
      <w:r>
        <w:rPr>
          <w:rFonts w:hint="eastAsia" w:ascii="宋体" w:hAnsi="宋体" w:eastAsia="宋体"/>
          <w:bCs/>
          <w:sz w:val="24"/>
          <w:highlight w:val="none"/>
        </w:rPr>
        <w:t>参加本招标活动</w:t>
      </w:r>
      <w:r>
        <w:rPr>
          <w:rFonts w:hint="eastAsia" w:ascii="宋体" w:hAnsi="宋体" w:eastAsia="宋体"/>
          <w:sz w:val="24"/>
          <w:highlight w:val="none"/>
        </w:rPr>
        <w:t>所涉及的一切费用，招标人对上述费用不负任何责任。</w:t>
      </w:r>
    </w:p>
    <w:p>
      <w:pPr>
        <w:pStyle w:val="4"/>
        <w:spacing w:before="120"/>
        <w:rPr>
          <w:rFonts w:ascii="宋体" w:eastAsia="宋体"/>
          <w:highlight w:val="none"/>
        </w:rPr>
      </w:pPr>
      <w:bookmarkStart w:id="56" w:name="_（二）招标文件"/>
      <w:bookmarkEnd w:id="56"/>
      <w:bookmarkStart w:id="57" w:name="_Toc30798"/>
      <w:bookmarkStart w:id="58" w:name="_Toc18392"/>
      <w:bookmarkStart w:id="59" w:name="_Toc7675"/>
      <w:bookmarkStart w:id="60" w:name="_Toc101777613"/>
      <w:bookmarkStart w:id="61" w:name="_Toc2431"/>
      <w:bookmarkStart w:id="62" w:name="_Toc15387"/>
      <w:bookmarkStart w:id="63" w:name="_Toc31753"/>
      <w:bookmarkStart w:id="64" w:name="_Toc3488"/>
      <w:bookmarkStart w:id="65" w:name="_Toc262229164"/>
      <w:bookmarkStart w:id="66" w:name="_Toc18139"/>
      <w:r>
        <w:rPr>
          <w:rFonts w:hint="eastAsia" w:ascii="宋体" w:eastAsia="宋体"/>
          <w:highlight w:val="none"/>
        </w:rPr>
        <w:t>（二）招标文件</w:t>
      </w:r>
      <w:bookmarkEnd w:id="57"/>
      <w:bookmarkEnd w:id="58"/>
      <w:bookmarkEnd w:id="59"/>
      <w:bookmarkEnd w:id="60"/>
      <w:bookmarkEnd w:id="61"/>
      <w:bookmarkEnd w:id="62"/>
      <w:bookmarkEnd w:id="63"/>
      <w:bookmarkEnd w:id="64"/>
      <w:bookmarkEnd w:id="65"/>
      <w:bookmarkEnd w:id="66"/>
    </w:p>
    <w:p>
      <w:pPr>
        <w:tabs>
          <w:tab w:val="left" w:pos="105"/>
        </w:tabs>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7.招标文件的组成</w:t>
      </w:r>
    </w:p>
    <w:p>
      <w:pPr>
        <w:spacing w:line="360" w:lineRule="auto"/>
        <w:ind w:firstLine="480" w:firstLineChars="200"/>
        <w:rPr>
          <w:rFonts w:ascii="宋体" w:hAnsi="宋体" w:eastAsia="宋体"/>
          <w:sz w:val="24"/>
          <w:highlight w:val="none"/>
        </w:rPr>
      </w:pPr>
      <w:r>
        <w:rPr>
          <w:rFonts w:hint="eastAsia" w:ascii="宋体" w:hAnsi="宋体" w:eastAsia="宋体"/>
          <w:bCs/>
          <w:sz w:val="24"/>
          <w:highlight w:val="none"/>
        </w:rPr>
        <w:t>7.1</w:t>
      </w:r>
      <w:r>
        <w:rPr>
          <w:rFonts w:hint="eastAsia" w:ascii="宋体" w:hAnsi="宋体" w:eastAsia="宋体"/>
          <w:sz w:val="24"/>
          <w:highlight w:val="none"/>
        </w:rPr>
        <w:t>本招标文件包括下列文件，以及所有按本须知第8条发出的招标答疑会会议纪要和按本须知第9条发出的澄清或修改：</w:t>
      </w:r>
    </w:p>
    <w:p>
      <w:pPr>
        <w:pStyle w:val="9"/>
        <w:spacing w:after="0" w:line="360" w:lineRule="auto"/>
        <w:ind w:firstLine="480" w:firstLineChars="200"/>
        <w:rPr>
          <w:rFonts w:ascii="宋体" w:hAnsi="宋体" w:eastAsia="宋体"/>
          <w:sz w:val="24"/>
          <w:highlight w:val="none"/>
        </w:rPr>
      </w:pPr>
      <w:r>
        <w:rPr>
          <w:rFonts w:hint="eastAsia" w:ascii="宋体" w:hAnsi="宋体" w:eastAsia="宋体"/>
          <w:bCs/>
          <w:sz w:val="24"/>
          <w:highlight w:val="none"/>
        </w:rPr>
        <w:t xml:space="preserve">第一章  </w:t>
      </w:r>
      <w:r>
        <w:rPr>
          <w:rFonts w:hint="eastAsia" w:ascii="宋体" w:hAnsi="宋体" w:eastAsia="宋体"/>
          <w:sz w:val="24"/>
          <w:highlight w:val="none"/>
        </w:rPr>
        <w:t>投标须知</w:t>
      </w:r>
    </w:p>
    <w:p>
      <w:pPr>
        <w:pStyle w:val="9"/>
        <w:spacing w:after="0" w:line="360" w:lineRule="auto"/>
        <w:ind w:firstLine="480" w:firstLineChars="200"/>
        <w:rPr>
          <w:rFonts w:ascii="宋体" w:hAnsi="宋体" w:eastAsia="宋体"/>
          <w:sz w:val="24"/>
          <w:highlight w:val="none"/>
        </w:rPr>
      </w:pPr>
      <w:r>
        <w:rPr>
          <w:rFonts w:hint="eastAsia" w:ascii="宋体" w:hAnsi="宋体" w:eastAsia="宋体"/>
          <w:bCs/>
          <w:sz w:val="24"/>
          <w:highlight w:val="none"/>
        </w:rPr>
        <w:t xml:space="preserve">第二章  </w:t>
      </w:r>
      <w:r>
        <w:rPr>
          <w:rFonts w:hint="eastAsia" w:ascii="宋体" w:hAnsi="宋体" w:eastAsia="宋体"/>
          <w:sz w:val="24"/>
          <w:highlight w:val="none"/>
        </w:rPr>
        <w:t>开标、评标及定标办法</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第三章  合同条款（另册）</w:t>
      </w:r>
    </w:p>
    <w:p>
      <w:pPr>
        <w:pStyle w:val="9"/>
        <w:spacing w:after="0" w:line="360" w:lineRule="auto"/>
        <w:ind w:firstLine="480" w:firstLineChars="200"/>
        <w:rPr>
          <w:rFonts w:ascii="宋体" w:hAnsi="宋体" w:eastAsia="宋体"/>
          <w:b/>
          <w:sz w:val="24"/>
          <w:highlight w:val="none"/>
        </w:rPr>
      </w:pPr>
      <w:r>
        <w:rPr>
          <w:rFonts w:hint="eastAsia" w:ascii="宋体" w:hAnsi="宋体" w:eastAsia="宋体"/>
          <w:bCs/>
          <w:sz w:val="24"/>
          <w:highlight w:val="none"/>
        </w:rPr>
        <w:t xml:space="preserve">第四章  </w:t>
      </w:r>
      <w:r>
        <w:rPr>
          <w:rFonts w:hint="eastAsia" w:ascii="宋体" w:hAnsi="宋体" w:eastAsia="宋体"/>
          <w:sz w:val="24"/>
          <w:highlight w:val="none"/>
        </w:rPr>
        <w:t>投标文件格式</w:t>
      </w:r>
    </w:p>
    <w:p>
      <w:pPr>
        <w:pStyle w:val="9"/>
        <w:spacing w:after="0" w:line="360" w:lineRule="auto"/>
        <w:ind w:firstLine="480" w:firstLineChars="200"/>
        <w:rPr>
          <w:rFonts w:ascii="宋体" w:hAnsi="宋体" w:eastAsia="宋体"/>
          <w:sz w:val="24"/>
          <w:highlight w:val="none"/>
        </w:rPr>
      </w:pPr>
      <w:r>
        <w:rPr>
          <w:rFonts w:hint="eastAsia" w:ascii="宋体" w:hAnsi="宋体" w:eastAsia="宋体"/>
          <w:bCs/>
          <w:sz w:val="24"/>
          <w:highlight w:val="none"/>
        </w:rPr>
        <w:t xml:space="preserve">第五章  </w:t>
      </w:r>
      <w:r>
        <w:rPr>
          <w:rFonts w:hint="eastAsia" w:ascii="宋体" w:hAnsi="宋体" w:eastAsia="宋体"/>
          <w:sz w:val="24"/>
          <w:highlight w:val="none"/>
        </w:rPr>
        <w:t>技术条件（工程建设标准）（另册）</w:t>
      </w:r>
    </w:p>
    <w:p>
      <w:pPr>
        <w:pStyle w:val="9"/>
        <w:spacing w:after="0" w:line="360" w:lineRule="auto"/>
        <w:ind w:firstLine="480" w:firstLineChars="200"/>
        <w:rPr>
          <w:rFonts w:ascii="宋体" w:hAnsi="宋体" w:eastAsia="宋体"/>
          <w:sz w:val="24"/>
          <w:highlight w:val="none"/>
        </w:rPr>
      </w:pPr>
      <w:r>
        <w:rPr>
          <w:rFonts w:hint="eastAsia" w:ascii="宋体" w:hAnsi="宋体" w:eastAsia="宋体"/>
          <w:bCs/>
          <w:sz w:val="24"/>
          <w:highlight w:val="none"/>
        </w:rPr>
        <w:t xml:space="preserve">第六章  </w:t>
      </w:r>
      <w:r>
        <w:rPr>
          <w:rFonts w:hint="eastAsia" w:ascii="宋体" w:hAnsi="宋体" w:eastAsia="宋体"/>
          <w:sz w:val="24"/>
          <w:highlight w:val="none"/>
        </w:rPr>
        <w:t>图纸及勘察资料（另册）</w:t>
      </w:r>
    </w:p>
    <w:p>
      <w:pPr>
        <w:pStyle w:val="9"/>
        <w:spacing w:after="0" w:line="360" w:lineRule="auto"/>
        <w:ind w:firstLine="480" w:firstLineChars="200"/>
        <w:rPr>
          <w:rFonts w:hint="eastAsia" w:ascii="宋体" w:hAnsi="宋体" w:eastAsia="宋体"/>
          <w:sz w:val="24"/>
          <w:highlight w:val="none"/>
        </w:rPr>
      </w:pPr>
      <w:r>
        <w:rPr>
          <w:rFonts w:hint="eastAsia" w:ascii="宋体" w:hAnsi="宋体" w:eastAsia="宋体"/>
          <w:bCs/>
          <w:sz w:val="24"/>
          <w:highlight w:val="none"/>
        </w:rPr>
        <w:t xml:space="preserve">第七章  </w:t>
      </w:r>
      <w:r>
        <w:rPr>
          <w:rFonts w:hint="eastAsia" w:ascii="宋体" w:hAnsi="宋体" w:eastAsia="宋体"/>
          <w:sz w:val="24"/>
          <w:highlight w:val="none"/>
        </w:rPr>
        <w:t>工程量清单（另册）</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第八章  最高投标限价（另册）</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7.2 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7.3 投标人一旦中标，招标文件的内容对招标人和中标人双方均有约束力。</w:t>
      </w:r>
    </w:p>
    <w:p>
      <w:pPr>
        <w:pStyle w:val="9"/>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7.4</w:t>
      </w:r>
      <w:r>
        <w:rPr>
          <w:rFonts w:hint="eastAsia" w:ascii="宋体" w:hAnsi="宋体" w:eastAsia="宋体" w:cs="仿宋_GB2312"/>
          <w:sz w:val="24"/>
          <w:szCs w:val="24"/>
          <w:highlight w:val="none"/>
        </w:rPr>
        <w:t>招标人（或委托招标代理机构）使用广东省内依法设立的电子认证服务机构签发的电子签名认证证书对电子招标文件进行电子签名及电子签章。该电子签名及电子签章对招标人手写签名或者盖章同等的法律效力。</w:t>
      </w:r>
    </w:p>
    <w:p>
      <w:pPr>
        <w:pStyle w:val="9"/>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7.5发布招标公告的同时，通过广州</w:t>
      </w:r>
      <w:r>
        <w:rPr>
          <w:rFonts w:hint="eastAsia" w:ascii="宋体" w:hAnsi="宋体" w:eastAsia="宋体" w:cs="仿宋_GB2312"/>
          <w:sz w:val="24"/>
          <w:szCs w:val="24"/>
          <w:highlight w:val="none"/>
        </w:rPr>
        <w:t>公共资源交易中心网站发布电子招标文件、施工图纸、最高投标限价、成本警示价（如有）。</w:t>
      </w:r>
    </w:p>
    <w:p>
      <w:pPr>
        <w:pStyle w:val="9"/>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7.6招标文件一经在广州公共资源交易中心网站发布，视作已</w:t>
      </w:r>
      <w:r>
        <w:rPr>
          <w:rFonts w:hint="eastAsia" w:ascii="宋体" w:hAnsi="宋体" w:eastAsia="宋体"/>
          <w:sz w:val="24"/>
          <w:highlight w:val="none"/>
        </w:rPr>
        <w:t>发放给所有投标人。</w:t>
      </w:r>
    </w:p>
    <w:p>
      <w:pPr>
        <w:pStyle w:val="9"/>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7.7投标人获取电子招标文件后，应仔细检查电子招标文件的合法有效性。合法有效的电子招标文件应具有招标人（或招标代理机构）的电子签名</w:t>
      </w:r>
      <w:r>
        <w:rPr>
          <w:rFonts w:hint="eastAsia" w:ascii="宋体" w:hAnsi="宋体" w:eastAsia="宋体" w:cs="仿宋_GB2312"/>
          <w:sz w:val="24"/>
          <w:szCs w:val="24"/>
          <w:highlight w:val="none"/>
        </w:rPr>
        <w:t>及电子签章</w:t>
      </w:r>
      <w:r>
        <w:rPr>
          <w:rFonts w:hint="eastAsia" w:ascii="宋体" w:hAnsi="宋体" w:eastAsia="宋体"/>
          <w:sz w:val="24"/>
          <w:szCs w:val="24"/>
          <w:highlight w:val="none"/>
        </w:rPr>
        <w:t>。</w:t>
      </w:r>
    </w:p>
    <w:p>
      <w:pPr>
        <w:pStyle w:val="9"/>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7.8招标人应在招标文件第四章中明确编制投标文件主要内容的格式要求。</w:t>
      </w:r>
    </w:p>
    <w:p>
      <w:pPr>
        <w:widowControl/>
        <w:snapToGrid w:val="0"/>
        <w:spacing w:line="360" w:lineRule="auto"/>
        <w:ind w:firstLine="482" w:firstLineChars="200"/>
        <w:jc w:val="left"/>
        <w:rPr>
          <w:rFonts w:ascii="宋体" w:hAnsi="宋体" w:eastAsia="宋体"/>
          <w:sz w:val="24"/>
          <w:highlight w:val="none"/>
        </w:rPr>
      </w:pPr>
      <w:r>
        <w:rPr>
          <w:rFonts w:hint="eastAsia" w:ascii="宋体" w:hAnsi="宋体" w:eastAsia="宋体"/>
          <w:b/>
          <w:bCs/>
          <w:sz w:val="24"/>
          <w:highlight w:val="none"/>
        </w:rPr>
        <w:t>8．招标答疑</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szCs w:val="21"/>
          <w:highlight w:val="none"/>
        </w:rPr>
        <w:t>8.1</w:t>
      </w:r>
      <w:r>
        <w:rPr>
          <w:rFonts w:hint="eastAsia" w:ascii="宋体" w:hAnsi="宋体" w:eastAsia="宋体"/>
          <w:sz w:val="24"/>
          <w:highlight w:val="none"/>
        </w:rPr>
        <w:t xml:space="preserve"> 招标答疑采用网上答疑方式。投标人若对招标文件（包括招标图纸、清单、最高投标限价）有疑问的，可在规定的时间内通过</w:t>
      </w:r>
      <w:r>
        <w:rPr>
          <w:rFonts w:hint="eastAsia" w:ascii="宋体" w:hAnsi="宋体" w:eastAsia="宋体"/>
          <w:sz w:val="24"/>
          <w:szCs w:val="24"/>
          <w:highlight w:val="none"/>
        </w:rPr>
        <w:t>广州公共资源交易中心网站</w:t>
      </w:r>
      <w:r>
        <w:rPr>
          <w:rFonts w:hint="eastAsia" w:ascii="宋体" w:hAnsi="宋体" w:eastAsia="宋体"/>
          <w:sz w:val="24"/>
          <w:highlight w:val="none"/>
        </w:rPr>
        <w:t>凭密码进入提问区域将问题提交给招标人或招标代理机构，提交问题时一律不得署名。</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网上答疑的操作指南为：登陆广州公共资源交易中心网站→进入“建设工程”交易业务→进入“网上答疑”专区→通过项目编号或名称找到所需的项目→在上述的答疑时间内点击“提问” →进入到提问区域→无记名或匿名提出问题以及查看所有的问题。</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8.2投标人应在招标公告发布之日起3天内对招标文件提出疑问。招标人应在递交投标文件截止时间15 日前解答投标人对招标文件提出的疑问，形成答疑纪要，并可在广州公共资源交易中心网站“招标答疑”专区发布。</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szCs w:val="24"/>
          <w:highlight w:val="none"/>
        </w:rPr>
        <w:t>8.3</w:t>
      </w:r>
      <w:r>
        <w:rPr>
          <w:rFonts w:hint="eastAsia" w:ascii="宋体" w:hAnsi="宋体" w:eastAsia="宋体"/>
          <w:sz w:val="24"/>
          <w:highlight w:val="none"/>
        </w:rPr>
        <w:t>招标答疑纪要一经在广州公共资源交易中心网站发布，视作已发放给所有投标人。</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8.4招标答疑纪要为招标文件的一部分。</w:t>
      </w:r>
      <w:r>
        <w:rPr>
          <w:rFonts w:hint="eastAsia" w:ascii="宋体" w:hAnsi="宋体" w:eastAsia="宋体"/>
          <w:sz w:val="24"/>
          <w:szCs w:val="24"/>
          <w:highlight w:val="none"/>
        </w:rPr>
        <w:t>投标人可在广州公共资源交易中心网站浏览、下载招标答疑纪要。</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8.5若招标答疑纪要与招标文件有矛盾时，以</w:t>
      </w:r>
      <w:r>
        <w:rPr>
          <w:rFonts w:hint="eastAsia" w:ascii="宋体" w:hAnsi="宋体" w:eastAsia="宋体"/>
          <w:sz w:val="24"/>
          <w:szCs w:val="24"/>
          <w:highlight w:val="none"/>
        </w:rPr>
        <w:t>广州公共资源交易中心网站</w:t>
      </w:r>
      <w:r>
        <w:rPr>
          <w:rFonts w:hint="eastAsia" w:ascii="宋体" w:hAnsi="宋体" w:eastAsia="宋体"/>
          <w:sz w:val="24"/>
          <w:highlight w:val="none"/>
        </w:rPr>
        <w:t>最后发布的答疑纪要为准。</w:t>
      </w:r>
    </w:p>
    <w:p>
      <w:pPr>
        <w:pStyle w:val="9"/>
        <w:spacing w:after="0"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9.招标文件的澄清与修改</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9.1招标文件发出后，在递交投标文件截止时间15日前，招标人可对招标文件进行必要的澄清或修改。</w:t>
      </w:r>
    </w:p>
    <w:p>
      <w:pPr>
        <w:pStyle w:val="9"/>
        <w:spacing w:before="50" w:after="50" w:line="360" w:lineRule="auto"/>
        <w:ind w:firstLine="480" w:firstLineChars="200"/>
        <w:rPr>
          <w:rFonts w:ascii="宋体" w:hAnsi="宋体" w:eastAsia="宋体"/>
          <w:sz w:val="24"/>
          <w:highlight w:val="none"/>
        </w:rPr>
      </w:pPr>
      <w:r>
        <w:rPr>
          <w:rFonts w:hint="eastAsia" w:ascii="宋体" w:hAnsi="宋体" w:eastAsia="宋体"/>
          <w:sz w:val="24"/>
          <w:highlight w:val="none"/>
        </w:rPr>
        <w:t>9.2招标文件的澄清或修改在广州公共资源交易中心网站发布。招标文件的澄清或修改一经在广州公共资源交易中心网站发布，视作已发放给所有投标人。</w:t>
      </w:r>
    </w:p>
    <w:p>
      <w:pPr>
        <w:pStyle w:val="9"/>
        <w:spacing w:before="50" w:after="50" w:line="360" w:lineRule="auto"/>
        <w:ind w:firstLine="480" w:firstLineChars="200"/>
        <w:rPr>
          <w:rFonts w:ascii="宋体" w:hAnsi="宋体" w:eastAsia="宋体"/>
          <w:sz w:val="24"/>
          <w:highlight w:val="none"/>
        </w:rPr>
      </w:pPr>
      <w:r>
        <w:rPr>
          <w:rFonts w:hint="eastAsia" w:ascii="宋体" w:hAnsi="宋体" w:eastAsia="宋体"/>
          <w:sz w:val="24"/>
          <w:highlight w:val="none"/>
        </w:rPr>
        <w:t>9.3招标文件的澄清、修改作为招标文件的组成部分，具有约束作用。</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9.4招标文件的澄清、修改均以</w:t>
      </w:r>
      <w:r>
        <w:rPr>
          <w:rFonts w:hint="eastAsia" w:ascii="宋体" w:hAnsi="宋体" w:eastAsia="宋体"/>
          <w:sz w:val="24"/>
          <w:szCs w:val="24"/>
          <w:highlight w:val="none"/>
        </w:rPr>
        <w:t>广州公共资源交易中心网站发布</w:t>
      </w:r>
      <w:r>
        <w:rPr>
          <w:rFonts w:hint="eastAsia" w:ascii="宋体" w:hAnsi="宋体" w:eastAsia="宋体"/>
          <w:sz w:val="24"/>
          <w:highlight w:val="none"/>
        </w:rPr>
        <w:t>的内容为准。当招标文件的澄清、修改在同一内容的表述不一致时，以</w:t>
      </w:r>
      <w:r>
        <w:rPr>
          <w:rFonts w:hint="eastAsia" w:ascii="宋体" w:hAnsi="宋体" w:eastAsia="宋体"/>
          <w:sz w:val="24"/>
          <w:szCs w:val="24"/>
          <w:highlight w:val="none"/>
        </w:rPr>
        <w:t>广州公共资源交易中心网站</w:t>
      </w:r>
      <w:r>
        <w:rPr>
          <w:rFonts w:hint="eastAsia" w:ascii="宋体" w:hAnsi="宋体" w:eastAsia="宋体"/>
          <w:sz w:val="24"/>
          <w:highlight w:val="none"/>
        </w:rPr>
        <w:t>最后发布的内容为准。</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9.5为使投标人在编制投标文件时有充分的时间对招标文件的澄清或修改等内容考虑进去，招标人将酌情延长递交投标文件的截止时间，具体时间将在招标文件的澄清或修改中予以明确。若澄清或修改中没有明确延长时间，即表示投标时间不延长。</w:t>
      </w:r>
    </w:p>
    <w:p>
      <w:pPr>
        <w:pStyle w:val="4"/>
        <w:spacing w:before="120"/>
        <w:rPr>
          <w:rFonts w:ascii="宋体" w:eastAsia="宋体"/>
          <w:highlight w:val="none"/>
        </w:rPr>
      </w:pPr>
      <w:bookmarkStart w:id="67" w:name="_（三）投标文件的编制"/>
      <w:bookmarkEnd w:id="67"/>
      <w:bookmarkStart w:id="68" w:name="_Toc262229165"/>
      <w:bookmarkStart w:id="69" w:name="_Toc30725"/>
      <w:bookmarkStart w:id="70" w:name="_Toc26506"/>
      <w:bookmarkStart w:id="71" w:name="_Toc13014"/>
      <w:bookmarkStart w:id="72" w:name="_Toc391"/>
      <w:bookmarkStart w:id="73" w:name="_Toc32165"/>
      <w:bookmarkStart w:id="74" w:name="_Toc101777614"/>
      <w:bookmarkStart w:id="75" w:name="_Toc8016"/>
      <w:bookmarkStart w:id="76" w:name="_Toc13948"/>
      <w:bookmarkStart w:id="77" w:name="_Toc11866"/>
      <w:r>
        <w:rPr>
          <w:rFonts w:hint="eastAsia" w:ascii="宋体" w:eastAsia="宋体"/>
          <w:highlight w:val="none"/>
        </w:rPr>
        <w:t>（三）投标文件的编制</w:t>
      </w:r>
      <w:bookmarkEnd w:id="68"/>
      <w:bookmarkEnd w:id="69"/>
      <w:bookmarkEnd w:id="70"/>
      <w:bookmarkEnd w:id="71"/>
      <w:bookmarkEnd w:id="72"/>
      <w:bookmarkEnd w:id="73"/>
      <w:bookmarkEnd w:id="74"/>
      <w:bookmarkEnd w:id="75"/>
      <w:bookmarkEnd w:id="76"/>
      <w:bookmarkEnd w:id="77"/>
    </w:p>
    <w:p>
      <w:pPr>
        <w:pStyle w:val="9"/>
        <w:spacing w:after="0"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10．投标文件的语言及度量衡单位</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10.1 投标文件和与投标有关的所有文件均应使用中文。</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10.2 除工程规范另有规定外，投标文件使用的度量衡单位，均采用中华人民共和国法定计量单位。</w:t>
      </w:r>
    </w:p>
    <w:p>
      <w:pPr>
        <w:pStyle w:val="9"/>
        <w:spacing w:after="0"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11．投标文件的组成</w:t>
      </w:r>
    </w:p>
    <w:p>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11.1投标文件由资格审查部分和技术经济部分两部分组成。</w:t>
      </w:r>
    </w:p>
    <w:p>
      <w:pPr>
        <w:spacing w:line="360" w:lineRule="auto"/>
        <w:ind w:firstLine="480" w:firstLineChars="200"/>
        <w:rPr>
          <w:rFonts w:hint="eastAsia" w:ascii="宋体" w:hAnsi="宋体" w:eastAsia="宋体"/>
          <w:bCs/>
          <w:sz w:val="24"/>
          <w:highlight w:val="none"/>
        </w:rPr>
      </w:pPr>
      <w:r>
        <w:rPr>
          <w:rFonts w:hint="eastAsia" w:ascii="宋体" w:hAnsi="宋体" w:eastAsia="宋体"/>
          <w:bCs/>
          <w:sz w:val="24"/>
          <w:highlight w:val="none"/>
        </w:rPr>
        <w:t>11.2资格审查文件主要包括的内容：</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11.2.1法定代表人证明书，如投标文件为委托代理人签署应同时附上法定代表人证明书和法定代表人授权书；</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11.2.2</w:t>
      </w:r>
      <w:r>
        <w:rPr>
          <w:rFonts w:hint="eastAsia" w:ascii="宋体" w:hAnsi="宋体" w:eastAsia="宋体"/>
          <w:sz w:val="24"/>
          <w:szCs w:val="24"/>
          <w:highlight w:val="none"/>
        </w:rPr>
        <w:t>工商行政管理部门核发的</w:t>
      </w:r>
      <w:r>
        <w:rPr>
          <w:rFonts w:hint="eastAsia" w:ascii="宋体" w:hAnsi="宋体" w:eastAsia="宋体"/>
          <w:bCs/>
          <w:sz w:val="24"/>
          <w:szCs w:val="24"/>
          <w:highlight w:val="none"/>
        </w:rPr>
        <w:t>营业执照；</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11.2.3项目负责人（按招标公告要求和网上投标登记时选择拟投标的项目负责人）</w:t>
      </w:r>
      <w:r>
        <w:rPr>
          <w:rFonts w:hint="eastAsia" w:ascii="宋体" w:hAnsi="宋体" w:eastAsia="宋体"/>
          <w:kern w:val="0"/>
          <w:sz w:val="24"/>
          <w:szCs w:val="24"/>
          <w:highlight w:val="none"/>
        </w:rPr>
        <w:t>；</w:t>
      </w:r>
    </w:p>
    <w:p>
      <w:pPr>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11.2.4用于资格审查的业绩（设置业绩要求时选择此项，投标人选择用于资格审查的业绩须用本企业的CA数字证书对生成的内容进行签章）；</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11.2.5</w:t>
      </w:r>
      <w:r>
        <w:rPr>
          <w:rFonts w:hint="eastAsia" w:ascii="宋体" w:hAnsi="宋体" w:eastAsia="宋体"/>
          <w:sz w:val="24"/>
          <w:szCs w:val="24"/>
          <w:highlight w:val="none"/>
        </w:rPr>
        <w:t>专职安全人员须具有在有效期内的安全生产考核合格证书（C类），或能够提供广东省建筑施工企业管理人员安全生产考核信息系统安全生产管理人员证书信息的打印页</w:t>
      </w:r>
      <w:r>
        <w:rPr>
          <w:rFonts w:hint="eastAsia" w:ascii="宋体" w:hAnsi="宋体" w:eastAsia="宋体"/>
          <w:bCs/>
          <w:sz w:val="24"/>
          <w:szCs w:val="24"/>
          <w:highlight w:val="none"/>
        </w:rPr>
        <w:t>（按网上投标登记时选择拟派专职安全员）；</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bCs/>
          <w:sz w:val="24"/>
          <w:szCs w:val="24"/>
          <w:highlight w:val="none"/>
        </w:rPr>
        <w:t>11.2.6</w:t>
      </w:r>
      <w:r>
        <w:rPr>
          <w:rFonts w:hint="eastAsia" w:ascii="宋体" w:hAnsi="宋体" w:eastAsia="宋体"/>
          <w:sz w:val="24"/>
          <w:szCs w:val="24"/>
          <w:highlight w:val="none"/>
        </w:rPr>
        <w:t>投标人按照规定的格式及内容要求签署的《投标人声明》（格式见第四章）；</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11.2.7列明主办单位的联合体工作协议（采用联合体投标时需递交，投标人拟任本工程项目负责人应为联合体主办方企业信息登记中的在册人员，联合体工作协议应明确约定各方拟承担的工作和责任）；</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注：资格审查内容的11.2.2至11.2.5项</w:t>
      </w:r>
      <w:r>
        <w:rPr>
          <w:rFonts w:hint="eastAsia" w:ascii="宋体" w:hAnsi="宋体" w:eastAsia="宋体"/>
          <w:sz w:val="24"/>
          <w:szCs w:val="24"/>
          <w:highlight w:val="none"/>
        </w:rPr>
        <w:t>（除广东省建筑施工企业管理人员安全生产考核信息系统安全生产管理人员证书信息的打印页、《信息公开证明》打印页外）的资料取自投标申请人在广州公共资源交易中心企业库、广州公共资源交易中心城市园林绿化企业工程业绩库中的资料，广州公共资源交易中心企业库、广州公共资源交易中心城市园林绿化企业工程业绩库中该部分信息将被视为投标申请人递交的资格审查资料的一部分，</w:t>
      </w:r>
      <w:r>
        <w:rPr>
          <w:rFonts w:hint="eastAsia" w:ascii="宋体" w:hAnsi="宋体" w:eastAsia="宋体"/>
          <w:bCs/>
          <w:sz w:val="24"/>
          <w:szCs w:val="24"/>
          <w:highlight w:val="none"/>
        </w:rPr>
        <w:t>资格审查文件不需另行提交。</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11.3技术部分</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施工组织方案</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文件（办法二可选）：</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技术部分</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施工组织方案</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文件评审采用“暗标形式”，文件中不得出现名称、印章、商标、投标金额等记认符号（或使人辨认出投标人或其专业技术人员的身份）或出现涉及人员姓名、简历等暴露投标人身份的内容。技术部分</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施工组织方案</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文件投标文件应包含但不限于一下内容：</w:t>
      </w:r>
    </w:p>
    <w:p>
      <w:pPr>
        <w:numPr>
          <w:ilvl w:val="0"/>
          <w:numId w:val="1"/>
          <w:numberingChange w:id="0" w:author="hu" w:date="2020-08-20T14:18:00Z" w:original="（%1:1:0:）"/>
        </w:num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lang w:eastAsia="zh-CN"/>
        </w:rPr>
        <w:t>技术部分（施工组织方案）</w:t>
      </w:r>
      <w:r>
        <w:rPr>
          <w:rFonts w:hint="eastAsia" w:ascii="宋体" w:hAnsi="宋体" w:eastAsia="宋体"/>
          <w:bCs/>
          <w:sz w:val="24"/>
          <w:szCs w:val="24"/>
          <w:highlight w:val="none"/>
        </w:rPr>
        <w:t>文件以A4（210mm*297mm）规格编排；</w:t>
      </w:r>
    </w:p>
    <w:p>
      <w:pPr>
        <w:numPr>
          <w:ilvl w:val="0"/>
          <w:numId w:val="1"/>
          <w:numberingChange w:id="1" w:author="hu" w:date="2020-08-20T14:18:00Z" w:original="（%1:2:0:）"/>
        </w:numPr>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lang w:eastAsia="zh-CN"/>
        </w:rPr>
        <w:t>技术部分（施工组织方案）</w:t>
      </w:r>
      <w:r>
        <w:rPr>
          <w:rFonts w:hint="eastAsia" w:ascii="宋体" w:hAnsi="宋体" w:eastAsia="宋体"/>
          <w:bCs/>
          <w:sz w:val="24"/>
          <w:szCs w:val="24"/>
          <w:highlight w:val="none"/>
        </w:rPr>
        <w:t>文件页数最多不超过</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页（</w:t>
      </w:r>
      <w:r>
        <w:rPr>
          <w:rFonts w:hint="eastAsia" w:ascii="宋体" w:hAnsi="宋体" w:eastAsia="宋体"/>
          <w:bCs/>
          <w:sz w:val="24"/>
          <w:szCs w:val="24"/>
          <w:highlight w:val="none"/>
          <w:u w:val="single"/>
        </w:rPr>
        <w:t>50</w:t>
      </w:r>
      <w:r>
        <w:rPr>
          <w:rFonts w:hint="eastAsia" w:ascii="宋体" w:hAnsi="宋体" w:eastAsia="宋体"/>
          <w:bCs/>
          <w:sz w:val="24"/>
          <w:szCs w:val="24"/>
          <w:highlight w:val="none"/>
        </w:rPr>
        <w:t>页，不包括封面及目录页）；</w:t>
      </w:r>
    </w:p>
    <w:p>
      <w:pPr>
        <w:numPr>
          <w:ilvl w:val="0"/>
          <w:numId w:val="1"/>
          <w:numberingChange w:id="2" w:author="hu" w:date="2020-08-20T14:18:00Z" w:original="（%1:3:0:）"/>
        </w:numPr>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lang w:eastAsia="zh-CN"/>
        </w:rPr>
        <w:t>技术部分（施工组织方案）</w:t>
      </w:r>
      <w:r>
        <w:rPr>
          <w:rFonts w:hint="eastAsia" w:ascii="宋体" w:hAnsi="宋体" w:eastAsia="宋体"/>
          <w:bCs/>
          <w:sz w:val="24"/>
          <w:szCs w:val="24"/>
          <w:highlight w:val="none"/>
        </w:rPr>
        <w:t>文件正文内容：</w:t>
      </w:r>
    </w:p>
    <w:p>
      <w:pPr>
        <w:spacing w:line="360" w:lineRule="auto"/>
        <w:ind w:left="420" w:leftChars="200"/>
        <w:rPr>
          <w:rFonts w:hint="eastAsia" w:ascii="宋体" w:hAnsi="宋体" w:eastAsia="宋体"/>
          <w:bCs/>
          <w:sz w:val="24"/>
          <w:szCs w:val="24"/>
          <w:highlight w:val="none"/>
        </w:rPr>
      </w:pPr>
      <w:r>
        <w:rPr>
          <w:rFonts w:hint="eastAsia" w:ascii="宋体" w:hAnsi="宋体" w:eastAsia="宋体"/>
          <w:bCs/>
          <w:sz w:val="24"/>
          <w:szCs w:val="24"/>
          <w:highlight w:val="none"/>
        </w:rPr>
        <w:t xml:space="preserve">  ①封面：写明项目名称、编制年月；</w:t>
      </w:r>
    </w:p>
    <w:p>
      <w:pPr>
        <w:spacing w:line="360" w:lineRule="auto"/>
        <w:ind w:left="420" w:leftChars="200"/>
        <w:rPr>
          <w:rFonts w:hint="eastAsia" w:ascii="宋体" w:hAnsi="宋体" w:eastAsia="宋体"/>
          <w:bCs/>
          <w:sz w:val="24"/>
          <w:szCs w:val="24"/>
          <w:highlight w:val="none"/>
        </w:rPr>
      </w:pPr>
      <w:r>
        <w:rPr>
          <w:rFonts w:hint="eastAsia" w:ascii="宋体" w:hAnsi="宋体" w:eastAsia="宋体"/>
          <w:bCs/>
          <w:sz w:val="24"/>
          <w:szCs w:val="24"/>
          <w:highlight w:val="none"/>
        </w:rPr>
        <w:t xml:space="preserve">  ②目录；</w:t>
      </w:r>
    </w:p>
    <w:p>
      <w:pPr>
        <w:spacing w:line="360" w:lineRule="auto"/>
        <w:ind w:left="420" w:leftChars="200"/>
        <w:rPr>
          <w:rFonts w:hint="eastAsia" w:ascii="宋体" w:hAnsi="宋体" w:eastAsia="宋体"/>
          <w:bCs/>
          <w:sz w:val="24"/>
          <w:szCs w:val="24"/>
          <w:highlight w:val="none"/>
        </w:rPr>
      </w:pPr>
      <w:r>
        <w:rPr>
          <w:rFonts w:hint="eastAsia" w:ascii="宋体" w:hAnsi="宋体" w:eastAsia="宋体"/>
          <w:bCs/>
          <w:sz w:val="24"/>
          <w:szCs w:val="24"/>
          <w:highlight w:val="none"/>
        </w:rPr>
        <w:t xml:space="preserve">  ③概况；</w:t>
      </w:r>
    </w:p>
    <w:p>
      <w:pPr>
        <w:spacing w:line="360" w:lineRule="auto"/>
        <w:ind w:left="420" w:leftChars="200"/>
        <w:rPr>
          <w:rFonts w:hint="eastAsia" w:ascii="宋体" w:hAnsi="宋体" w:eastAsia="宋体"/>
          <w:bCs/>
          <w:sz w:val="24"/>
          <w:szCs w:val="24"/>
          <w:highlight w:val="none"/>
        </w:rPr>
      </w:pPr>
      <w:r>
        <w:rPr>
          <w:rFonts w:hint="eastAsia" w:ascii="宋体" w:hAnsi="宋体" w:eastAsia="宋体"/>
          <w:bCs/>
          <w:sz w:val="24"/>
          <w:szCs w:val="24"/>
          <w:highlight w:val="none"/>
        </w:rPr>
        <w:t xml:space="preserve">  ④工作目标与组织架构；</w:t>
      </w:r>
    </w:p>
    <w:p>
      <w:pPr>
        <w:spacing w:line="360" w:lineRule="auto"/>
        <w:ind w:left="420" w:leftChars="200"/>
        <w:rPr>
          <w:rFonts w:hint="eastAsia" w:ascii="宋体" w:hAnsi="宋体" w:eastAsia="宋体"/>
          <w:bCs/>
          <w:sz w:val="24"/>
          <w:szCs w:val="24"/>
          <w:highlight w:val="none"/>
        </w:rPr>
      </w:pPr>
      <w:r>
        <w:rPr>
          <w:rFonts w:hint="eastAsia" w:ascii="宋体" w:hAnsi="宋体" w:eastAsia="宋体"/>
          <w:bCs/>
          <w:sz w:val="24"/>
          <w:szCs w:val="24"/>
          <w:highlight w:val="none"/>
        </w:rPr>
        <w:t xml:space="preserve">  ⑤现状调研与分析；</w:t>
      </w:r>
    </w:p>
    <w:p>
      <w:pPr>
        <w:spacing w:line="360" w:lineRule="auto"/>
        <w:ind w:left="420" w:leftChars="200"/>
        <w:rPr>
          <w:rFonts w:hint="eastAsia" w:ascii="宋体" w:hAnsi="宋体" w:eastAsia="宋体"/>
          <w:bCs/>
          <w:sz w:val="24"/>
          <w:szCs w:val="24"/>
          <w:highlight w:val="none"/>
        </w:rPr>
      </w:pPr>
      <w:r>
        <w:rPr>
          <w:rFonts w:hint="eastAsia" w:ascii="宋体" w:hAnsi="宋体" w:eastAsia="宋体"/>
          <w:bCs/>
          <w:sz w:val="24"/>
          <w:szCs w:val="24"/>
          <w:highlight w:val="none"/>
        </w:rPr>
        <w:t xml:space="preserve">  ⑥实施方案；</w:t>
      </w:r>
    </w:p>
    <w:p>
      <w:pPr>
        <w:spacing w:line="360" w:lineRule="auto"/>
        <w:ind w:left="420" w:leftChars="200"/>
        <w:rPr>
          <w:rFonts w:hint="eastAsia" w:ascii="宋体" w:hAnsi="宋体" w:eastAsia="宋体"/>
          <w:bCs/>
          <w:sz w:val="24"/>
          <w:szCs w:val="24"/>
          <w:highlight w:val="none"/>
        </w:rPr>
      </w:pPr>
      <w:r>
        <w:rPr>
          <w:rFonts w:hint="eastAsia" w:ascii="宋体" w:hAnsi="宋体" w:eastAsia="宋体"/>
          <w:bCs/>
          <w:sz w:val="24"/>
          <w:szCs w:val="24"/>
          <w:highlight w:val="none"/>
        </w:rPr>
        <w:t xml:space="preserve">  ⑦投资及风险控制；</w:t>
      </w:r>
    </w:p>
    <w:p>
      <w:pPr>
        <w:spacing w:line="360" w:lineRule="auto"/>
        <w:ind w:left="420" w:leftChars="200"/>
        <w:rPr>
          <w:rFonts w:ascii="宋体" w:hAnsi="宋体" w:eastAsia="宋体"/>
          <w:bCs/>
          <w:sz w:val="24"/>
          <w:szCs w:val="24"/>
          <w:highlight w:val="none"/>
        </w:rPr>
      </w:pPr>
      <w:r>
        <w:rPr>
          <w:rFonts w:hint="eastAsia" w:ascii="宋体" w:hAnsi="宋体" w:eastAsia="宋体"/>
          <w:bCs/>
          <w:sz w:val="24"/>
          <w:szCs w:val="24"/>
          <w:highlight w:val="none"/>
        </w:rPr>
        <w:t xml:space="preserve">  ⑧投标人认为有必要提供的其他资料</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11.4</w:t>
      </w:r>
      <w:r>
        <w:rPr>
          <w:rFonts w:hint="eastAsia" w:ascii="宋体" w:hAnsi="宋体" w:eastAsia="宋体"/>
          <w:sz w:val="24"/>
          <w:szCs w:val="24"/>
          <w:highlight w:val="none"/>
          <w:lang w:eastAsia="zh-CN"/>
        </w:rPr>
        <w:t>技术部分（项目实施能力）</w:t>
      </w:r>
      <w:r>
        <w:rPr>
          <w:rFonts w:hint="eastAsia" w:ascii="宋体" w:hAnsi="宋体" w:eastAsia="宋体"/>
          <w:sz w:val="24"/>
          <w:szCs w:val="24"/>
          <w:highlight w:val="none"/>
        </w:rPr>
        <w:t>主要包括的内容：</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11.4.1《投标函》（格式见第四章）；</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11.4.2《广州园林绿化工程施工招标投标书》（格式见第四章）；</w:t>
      </w:r>
    </w:p>
    <w:p>
      <w:pPr>
        <w:spacing w:line="360" w:lineRule="auto"/>
        <w:ind w:right="-290" w:rightChars="-138"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11.4.3《响应招标文件所附施工组织设计要点的承诺书》（格式见第四章）；</w:t>
      </w:r>
    </w:p>
    <w:p>
      <w:pPr>
        <w:spacing w:line="360" w:lineRule="auto"/>
        <w:ind w:right="-290" w:rightChars="-138"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11.4.4《对投标文件编制的承诺》（格式见第四章）；</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11.4.5项目管理机构能力（办法二可选）；</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（1）投标人应列出本工程的施工组织机构构成和画出机构框架图及其负责人；</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（2）投标人应详细列出本工程组织机构中主要成员的名单、简历资料、职务职称和在本项目中拟担任的职务等资料，并附上有关证明材料复印件；</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（3）项目负责人能力、企业技术力量配备情况</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（4）其他辅助说明资料。</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11.4.6机械设备投入情况（办法二可选）；</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（1）机械设备为自有或租赁的说明；</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（2）若机械设备为租赁，租赁期应满足本工程工期要求，并承诺其租赁不属于重复租赁。</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11.4.7企业施工经验（投标人选择用于评标的业绩须用本企业的CA数字证书对生成的内容进行签章。业绩资料取自投标人在</w:t>
      </w:r>
      <w:r>
        <w:rPr>
          <w:rFonts w:hint="eastAsia" w:ascii="宋体" w:hAnsi="宋体" w:eastAsia="宋体"/>
          <w:sz w:val="24"/>
          <w:szCs w:val="24"/>
          <w:highlight w:val="none"/>
        </w:rPr>
        <w:t>广州公共资源交易中心城市园林绿化企业工程业绩库中的资料，</w:t>
      </w:r>
      <w:r>
        <w:rPr>
          <w:rFonts w:hint="eastAsia" w:ascii="宋体" w:hAnsi="宋体" w:eastAsia="宋体"/>
          <w:bCs/>
          <w:sz w:val="24"/>
          <w:szCs w:val="24"/>
          <w:highlight w:val="none"/>
        </w:rPr>
        <w:t>在</w:t>
      </w:r>
      <w:r>
        <w:rPr>
          <w:rFonts w:hint="eastAsia" w:ascii="宋体" w:hAnsi="宋体" w:eastAsia="宋体"/>
          <w:sz w:val="24"/>
          <w:szCs w:val="24"/>
          <w:highlight w:val="none"/>
        </w:rPr>
        <w:t>广州公共资源交易中心城市园林绿化企业工程业绩库记录的该部分资料将被视为投标人递交的投标资料的一部分，投标资料不需另行提交。</w:t>
      </w:r>
      <w:r>
        <w:rPr>
          <w:rFonts w:hint="eastAsia" w:ascii="宋体" w:hAnsi="宋体" w:eastAsia="宋体"/>
          <w:bCs/>
          <w:sz w:val="24"/>
          <w:szCs w:val="24"/>
          <w:highlight w:val="none"/>
        </w:rPr>
        <w:t>）</w:t>
      </w:r>
    </w:p>
    <w:p>
      <w:pPr>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11.4.8其他评审内容（办法二可选）；</w:t>
      </w:r>
    </w:p>
    <w:p>
      <w:pPr>
        <w:tabs>
          <w:tab w:val="left" w:pos="1125"/>
        </w:tabs>
        <w:spacing w:line="360" w:lineRule="auto"/>
        <w:ind w:firstLine="480" w:firstLineChars="200"/>
        <w:rPr>
          <w:rFonts w:ascii="宋体" w:hAnsi="宋体" w:eastAsia="宋体"/>
          <w:sz w:val="24"/>
          <w:szCs w:val="24"/>
          <w:highlight w:val="none"/>
        </w:rPr>
      </w:pPr>
      <w:r>
        <w:rPr>
          <w:rFonts w:hint="eastAsia" w:ascii="宋体" w:hAnsi="宋体" w:eastAsia="宋体"/>
          <w:bCs/>
          <w:sz w:val="24"/>
          <w:szCs w:val="24"/>
          <w:highlight w:val="none"/>
        </w:rPr>
        <w:t>11.4.11经济部分</w:t>
      </w:r>
      <w:r>
        <w:rPr>
          <w:rFonts w:hint="eastAsia" w:ascii="宋体" w:hAnsi="宋体" w:eastAsia="宋体"/>
          <w:sz w:val="24"/>
          <w:szCs w:val="24"/>
          <w:highlight w:val="none"/>
        </w:rPr>
        <w:t>文件包括</w:t>
      </w:r>
      <w:r>
        <w:rPr>
          <w:rFonts w:hint="eastAsia" w:ascii="宋体" w:hAnsi="宋体" w:eastAsia="宋体"/>
          <w:sz w:val="24"/>
          <w:highlight w:val="none"/>
        </w:rPr>
        <w:t>：</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11.4.12若投标人的投标报价低于工程成本警戒价的，投标人还须提供详细的施工组织设计、单价、措施性费用、单价分析表、主要材料价格表、投标人成本分析供评标委员会评审；</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11.4.13招标文件要求的其他内容。</w:t>
      </w:r>
    </w:p>
    <w:p>
      <w:pPr>
        <w:tabs>
          <w:tab w:val="left" w:pos="1125"/>
        </w:tabs>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11.5工程量清单的组成、编制、计价、格式、项目编码、项目名称、工程内容、计量单位和工程量计算规则按照招标人给出的工程量清单及国家、省有关计价规范执行。</w:t>
      </w:r>
    </w:p>
    <w:p>
      <w:pPr>
        <w:pStyle w:val="9"/>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11.6投标人应使用符合《广东省工程造价文件数据交换标准（电子评标部分） 交易中心实施细则》的计价软件制作工程量清单报价表和单价分析表（如本招标文件要求单价分析表）。</w:t>
      </w:r>
    </w:p>
    <w:p>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11.7投标人应使用广州公共资源交易中心的投标文件管理软件进行投标文件的合成、电子签名</w:t>
      </w:r>
      <w:r>
        <w:rPr>
          <w:rFonts w:hint="eastAsia" w:ascii="宋体" w:hAnsi="宋体" w:eastAsia="宋体" w:cs="仿宋_GB2312"/>
          <w:sz w:val="24"/>
          <w:szCs w:val="24"/>
          <w:highlight w:val="none"/>
        </w:rPr>
        <w:t>、电子签章及加密打包工作，所有电子投标文件不能进行压缩处理。电子投标文件统一采用网络上传的形式，投标人需登录广州公共资源交易中心网站投标人服务区在递交投标文件截止时间前完整上传至广州公共资源交易中心的信息系统。</w:t>
      </w:r>
    </w:p>
    <w:p>
      <w:pPr>
        <w:pStyle w:val="9"/>
        <w:spacing w:after="0" w:line="360" w:lineRule="auto"/>
        <w:ind w:firstLine="480" w:firstLineChars="200"/>
        <w:rPr>
          <w:rFonts w:ascii="宋体" w:hAnsi="宋体" w:eastAsia="宋体"/>
          <w:bCs/>
          <w:sz w:val="24"/>
          <w:szCs w:val="24"/>
          <w:highlight w:val="none"/>
        </w:rPr>
      </w:pPr>
      <w:r>
        <w:rPr>
          <w:rFonts w:hint="eastAsia" w:ascii="宋体" w:hAnsi="宋体" w:eastAsia="宋体"/>
          <w:sz w:val="24"/>
          <w:szCs w:val="24"/>
          <w:highlight w:val="none"/>
        </w:rPr>
        <w:t>11.8</w:t>
      </w:r>
      <w:r>
        <w:rPr>
          <w:rFonts w:hint="eastAsia" w:ascii="宋体" w:hAnsi="宋体" w:eastAsia="宋体"/>
          <w:bCs/>
          <w:sz w:val="24"/>
          <w:szCs w:val="24"/>
          <w:highlight w:val="none"/>
        </w:rPr>
        <w:t>投标人应使用依法设立的电子认证服务机构签发的电子签名认证证书对电子投标文件进行电子签名</w:t>
      </w:r>
      <w:r>
        <w:rPr>
          <w:rFonts w:hint="eastAsia" w:ascii="宋体" w:hAnsi="宋体" w:eastAsia="宋体" w:cs="仿宋_GB2312"/>
          <w:sz w:val="24"/>
          <w:szCs w:val="24"/>
          <w:highlight w:val="none"/>
        </w:rPr>
        <w:t>及电子签章</w:t>
      </w:r>
      <w:r>
        <w:rPr>
          <w:rFonts w:hint="eastAsia" w:ascii="宋体" w:hAnsi="宋体" w:eastAsia="宋体"/>
          <w:bCs/>
          <w:sz w:val="24"/>
          <w:szCs w:val="24"/>
          <w:highlight w:val="none"/>
        </w:rPr>
        <w:t>。该电子签名</w:t>
      </w:r>
      <w:r>
        <w:rPr>
          <w:rFonts w:hint="eastAsia" w:ascii="宋体" w:hAnsi="宋体" w:eastAsia="宋体" w:cs="仿宋_GB2312"/>
          <w:sz w:val="24"/>
          <w:szCs w:val="24"/>
          <w:highlight w:val="none"/>
        </w:rPr>
        <w:t>及电子签章</w:t>
      </w:r>
      <w:r>
        <w:rPr>
          <w:rFonts w:hint="eastAsia" w:ascii="宋体" w:hAnsi="宋体" w:eastAsia="宋体"/>
          <w:bCs/>
          <w:sz w:val="24"/>
          <w:szCs w:val="24"/>
          <w:highlight w:val="none"/>
        </w:rPr>
        <w:t>与手写签名或者盖章具有同等的法律效力。</w:t>
      </w:r>
    </w:p>
    <w:p>
      <w:pPr>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11.9除工程量清单报价表相关的内容、《广州园林绿化工程施工招标投标书》外，投标文件的其他内容均以电子文件（纸质原件的扫描件）编制，其格式要求详见第四章投标文件格式说明。</w:t>
      </w:r>
    </w:p>
    <w:p>
      <w:pPr>
        <w:pStyle w:val="9"/>
        <w:spacing w:after="0"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11.10投标文件应按上述的编排要求编制。如因不按上述编排要求编制而所引起系统无法检索、读取相关信息时，其后果由投标人承担。</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12．投标文件格式</w:t>
      </w:r>
    </w:p>
    <w:p>
      <w:pPr>
        <w:pStyle w:val="9"/>
        <w:spacing w:after="0" w:line="360" w:lineRule="auto"/>
        <w:ind w:firstLine="480" w:firstLineChars="200"/>
        <w:rPr>
          <w:rFonts w:ascii="宋体" w:hAnsi="宋体" w:eastAsia="宋体"/>
          <w:sz w:val="24"/>
          <w:szCs w:val="24"/>
          <w:highlight w:val="none"/>
        </w:rPr>
      </w:pPr>
      <w:r>
        <w:rPr>
          <w:rFonts w:hint="eastAsia" w:ascii="宋体" w:hAnsi="宋体" w:eastAsia="宋体"/>
          <w:sz w:val="24"/>
          <w:highlight w:val="none"/>
        </w:rPr>
        <w:t>12.1投标人递交的投标文件应当使用招标文件所规定的投标文件全部格式。</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12.2投标人应仔细阅读第四章投标文件格式的相关规定和要求。如电子投标文件未按规定的格式填写，或主要内容不全，或关键字迹模糊、无法辨认造成无法满足评标需要的，经评标委员会审查否决其投标。</w:t>
      </w:r>
    </w:p>
    <w:p>
      <w:pPr>
        <w:pStyle w:val="9"/>
        <w:spacing w:after="0"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13．投标报价及造价承包和变更结算方式</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13.1 本工程的投标报价采用投标须知前附表第12项所规定的方式。投标文件中的大写金额和小写金额不一致的，以大写金额为准。投标报价（含单价及总价）精确到“分”。</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13.2招标人按照招标图纸制定工程量清单，该清单载于本招标文件第七章中，投标人按照招标人提供的工程量清单中列出的工程项目和工程量填报单价和合价。每一项目只允许有一个报价。任何有选择的报价将不予接受。投标人未填报单价或合价的工程项目，视为完成该工程项目所需费用已包含在其它有价款的竞争性报价内，在实施后，招标人将不予支付。</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w:t>
      </w:r>
      <w:r>
        <w:rPr>
          <w:rFonts w:hint="eastAsia" w:ascii="宋体" w:hAnsi="宋体" w:eastAsia="宋体"/>
          <w:sz w:val="24"/>
          <w:szCs w:val="24"/>
          <w:highlight w:val="none"/>
        </w:rPr>
        <w:t>有关规费、暂列金额、暂估价等非竞争性项目明列了单价或合价金额的，投标人应按照明列的单价或合价金额报价，未按照规定金额报价的，由评标委员会按照招标文件规定的金额进行修正。</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13.4</w:t>
      </w:r>
      <w:r>
        <w:rPr>
          <w:rFonts w:hint="eastAsia" w:ascii="宋体" w:hAnsi="宋体" w:eastAsia="宋体"/>
          <w:sz w:val="24"/>
          <w:szCs w:val="24"/>
          <w:highlight w:val="non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13.5.1中标的投标文件工程量清单中已有相同项目的适用综合单价，则沿用；</w:t>
      </w:r>
    </w:p>
    <w:p>
      <w:pPr>
        <w:pStyle w:val="9"/>
        <w:spacing w:after="0" w:line="360" w:lineRule="auto"/>
        <w:ind w:firstLine="480" w:firstLineChars="200"/>
        <w:rPr>
          <w:rFonts w:ascii="宋体" w:hAnsi="宋体" w:eastAsia="宋体"/>
          <w:sz w:val="24"/>
          <w:szCs w:val="24"/>
          <w:highlight w:val="none"/>
        </w:rPr>
      </w:pPr>
      <w:r>
        <w:rPr>
          <w:rFonts w:hint="eastAsia" w:ascii="宋体" w:hAnsi="宋体" w:eastAsia="宋体"/>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13.5.4 如相关定额没有相应子目的，其计价方式由招标人在本招标文件第三章中另行规定。未规定的，中标后双方协商约定。</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13.6</w:t>
      </w:r>
      <w:r>
        <w:rPr>
          <w:rFonts w:hint="eastAsia" w:ascii="宋体" w:hAnsi="宋体" w:eastAsia="宋体"/>
          <w:sz w:val="24"/>
          <w:szCs w:val="24"/>
          <w:highlight w:val="none"/>
        </w:rPr>
        <w:t>暂列金额、暂估价</w:t>
      </w:r>
    </w:p>
    <w:p>
      <w:pPr>
        <w:pStyle w:val="9"/>
        <w:spacing w:after="0" w:line="360" w:lineRule="auto"/>
        <w:ind w:firstLine="480" w:firstLineChars="200"/>
        <w:rPr>
          <w:rFonts w:ascii="宋体" w:hAnsi="宋体" w:eastAsia="宋体"/>
          <w:sz w:val="24"/>
          <w:szCs w:val="24"/>
          <w:highlight w:val="none"/>
        </w:rPr>
      </w:pPr>
      <w:r>
        <w:rPr>
          <w:rFonts w:hint="eastAsia" w:ascii="宋体" w:hAnsi="宋体" w:eastAsia="宋体"/>
          <w:sz w:val="24"/>
          <w:highlight w:val="none"/>
        </w:rPr>
        <w:t>13.6.1</w:t>
      </w:r>
      <w:r>
        <w:rPr>
          <w:rFonts w:hint="eastAsia" w:ascii="宋体" w:hAnsi="宋体" w:eastAsia="宋体"/>
          <w:sz w:val="24"/>
          <w:szCs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9"/>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暂估价是指招标人在工程量清单中提供的用于支付必然发生但暂时不能确定价格的材料的单价以及专业工程的金额。</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13.8属于投标人自行采购的主要材料、设备，招标人可以在招标文件中提出材料、设备的技术标准或者质量要求。如果必须引用某一生产供应者的技术标准才能准确或者清楚地说明技术标准时，可以引用不少于3个同等档次品牌或者生产供应商供投标人报价时选择，引用品牌或者生产供应商名称前应当加上“参照或相当于”的字样，引用的货物品牌或者生产公供应商在市场上应当具有可选择性。投标人在投标文件中应明确所选用主要材料、设备的品牌、厂家以及质量等级，并且应当符合招标文件的要求。</w:t>
      </w:r>
    </w:p>
    <w:p>
      <w:pPr>
        <w:pStyle w:val="9"/>
        <w:spacing w:after="0"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14．投标货币</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本工程投标报价采用的币种为人民币。</w:t>
      </w:r>
    </w:p>
    <w:p>
      <w:pPr>
        <w:pStyle w:val="9"/>
        <w:spacing w:after="0" w:line="360" w:lineRule="auto"/>
        <w:ind w:firstLine="482" w:firstLineChars="200"/>
        <w:rPr>
          <w:rFonts w:ascii="宋体" w:hAnsi="宋体" w:eastAsia="宋体"/>
          <w:sz w:val="24"/>
          <w:highlight w:val="none"/>
        </w:rPr>
      </w:pPr>
      <w:r>
        <w:rPr>
          <w:rFonts w:hint="eastAsia" w:ascii="宋体" w:hAnsi="宋体" w:eastAsia="宋体"/>
          <w:b/>
          <w:bCs/>
          <w:sz w:val="24"/>
          <w:highlight w:val="none"/>
        </w:rPr>
        <w:t>15．投标有效期</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15.1 投标有效期见投标须知前附表第13项所规定的期限，在此期限内，凡符合本招标文件要求的投标文件均保持有效。</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15.2 在特殊情况下，招标人在原定投标有效期内，可以根据需要以书面形式向投标人提出延长投标有效期的要求，对此要求投标人须以书面形式予以答复。投标人可以拒绝招标人这种要求，而投标保证金应当予以退还。同意延长投标有效期的投标人既不能要求也不允许修改其投标文件，但需要相应的延长投标保证金的有效期，在延长的投标有效期内，本须知第16条关于投标保证金的退还与否的规定仍然适用。</w:t>
      </w:r>
    </w:p>
    <w:p>
      <w:pPr>
        <w:pStyle w:val="9"/>
        <w:spacing w:after="0"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16．投标保证金</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16.1投标人应按投标须知前附表第14项所述金额和时间递交</w:t>
      </w:r>
      <w:r>
        <w:rPr>
          <w:rFonts w:hint="eastAsia" w:ascii="宋体" w:hAnsi="宋体" w:eastAsia="宋体"/>
          <w:bCs/>
          <w:sz w:val="24"/>
          <w:highlight w:val="none"/>
        </w:rPr>
        <w:t>投标保证金</w:t>
      </w:r>
      <w:r>
        <w:rPr>
          <w:rFonts w:hint="eastAsia" w:ascii="宋体" w:hAnsi="宋体" w:eastAsia="宋体"/>
          <w:sz w:val="24"/>
          <w:highlight w:val="none"/>
        </w:rPr>
        <w:t>。招标人可委托广州公共资源交易中心具体实施保证金的收取和退还工作</w:t>
      </w:r>
      <w:r>
        <w:rPr>
          <w:rFonts w:hint="eastAsia" w:ascii="宋体" w:hAnsi="宋体" w:eastAsia="宋体"/>
          <w:sz w:val="24"/>
          <w:szCs w:val="24"/>
          <w:highlight w:val="none"/>
        </w:rPr>
        <w:t>，并按照《广</w:t>
      </w:r>
      <w:r>
        <w:rPr>
          <w:rFonts w:hint="eastAsia" w:ascii="宋体" w:hAnsi="宋体" w:eastAsia="宋体"/>
          <w:sz w:val="24"/>
          <w:szCs w:val="24"/>
          <w:highlight w:val="none"/>
          <w:lang w:eastAsia="zh-CN"/>
        </w:rPr>
        <w:t>东</w:t>
      </w:r>
      <w:r>
        <w:rPr>
          <w:rFonts w:hint="eastAsia" w:ascii="宋体" w:hAnsi="宋体" w:eastAsia="宋体"/>
          <w:sz w:val="24"/>
          <w:szCs w:val="24"/>
          <w:highlight w:val="none"/>
        </w:rPr>
        <w:t>省实施&lt;中华人民共和国招标投标法&gt;办法》第二十五条规定，按期退回投标保证金。</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16.2所有投标保证金必须由投标人的银行基本账户转出。</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16.3</w:t>
      </w:r>
      <w:r>
        <w:rPr>
          <w:rFonts w:hint="eastAsia" w:ascii="宋体" w:hAnsi="宋体" w:eastAsia="宋体" w:cs="宋体"/>
          <w:sz w:val="24"/>
          <w:szCs w:val="24"/>
          <w:highlight w:val="none"/>
        </w:rPr>
        <w:t>如采用转帐、现金、支票、汇票形式提交的，</w:t>
      </w:r>
      <w:r>
        <w:rPr>
          <w:rFonts w:hint="eastAsia" w:ascii="宋体" w:hAnsi="宋体" w:eastAsia="宋体"/>
          <w:sz w:val="24"/>
          <w:szCs w:val="24"/>
          <w:highlight w:val="none"/>
        </w:rPr>
        <w:t>可委托广州公共资源交易中心代收投标保证金，其缴纳情况以广州公共资源交易中心数据库记录的信息为准。</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16.4缴费的操作详见广州公共资源交易中心公布的《广州公共资源交易中心投标项目保证金操作指引》。</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16.5投标人未按要求递交投标保证金的，其投标文件将被否决，且不能参与电脑随机排序、资格审查和评标。</w:t>
      </w:r>
      <w:r>
        <w:rPr>
          <w:rFonts w:hint="eastAsia" w:ascii="宋体" w:hAnsi="宋体" w:eastAsia="宋体" w:cs="宋体"/>
          <w:sz w:val="24"/>
          <w:szCs w:val="24"/>
          <w:highlight w:val="none"/>
        </w:rPr>
        <w:t>如采用保函或保险等形式提交的，银行保函需开具给招标人，银行保函有效期不少于投标有效期。保证保险需开具给招标人（受益人必须是招标人），保证保险有效期不少于投标有效期。须在投标截止时间前15分钟将凭证原件单独密封递交至开标室。</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16.6如有下列情况之一的，招标人将不予退还投标保证金：</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16.6.1投标人在投标有效期内撤销投标文件；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16.6.2中标人未在规定期限内按要求提交履约担保；</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16.6.3中标人未在规定期限内签订合同。</w:t>
      </w:r>
    </w:p>
    <w:p>
      <w:pPr>
        <w:pStyle w:val="9"/>
        <w:spacing w:after="0" w:line="360" w:lineRule="auto"/>
        <w:ind w:firstLine="477" w:firstLineChars="198"/>
        <w:rPr>
          <w:rFonts w:ascii="宋体" w:hAnsi="宋体" w:eastAsia="宋体"/>
          <w:b/>
          <w:bCs/>
          <w:sz w:val="24"/>
          <w:highlight w:val="none"/>
        </w:rPr>
      </w:pPr>
      <w:r>
        <w:rPr>
          <w:rFonts w:hint="eastAsia" w:ascii="宋体" w:hAnsi="宋体" w:eastAsia="宋体"/>
          <w:b/>
          <w:bCs/>
          <w:sz w:val="24"/>
          <w:highlight w:val="none"/>
        </w:rPr>
        <w:t>17.投标文件的份数和签署</w:t>
      </w:r>
    </w:p>
    <w:p>
      <w:pPr>
        <w:spacing w:line="360" w:lineRule="auto"/>
        <w:ind w:firstLine="480" w:firstLineChars="200"/>
        <w:rPr>
          <w:rFonts w:ascii="宋体" w:hAnsi="宋体" w:eastAsia="宋体"/>
          <w:sz w:val="24"/>
          <w:highlight w:val="none"/>
        </w:rPr>
      </w:pPr>
      <w:r>
        <w:rPr>
          <w:rFonts w:hint="eastAsia" w:ascii="宋体" w:hAnsi="宋体" w:eastAsia="宋体"/>
          <w:sz w:val="24"/>
          <w:szCs w:val="21"/>
          <w:highlight w:val="none"/>
        </w:rPr>
        <w:t>17.1</w:t>
      </w:r>
      <w:r>
        <w:rPr>
          <w:rFonts w:hint="eastAsia" w:ascii="宋体" w:hAnsi="宋体" w:eastAsia="宋体"/>
          <w:sz w:val="24"/>
          <w:highlight w:val="none"/>
        </w:rPr>
        <w:t>投标人应按投标须知前附表第19项规定的份数递交投标文件。</w:t>
      </w:r>
    </w:p>
    <w:p>
      <w:pPr>
        <w:spacing w:line="360" w:lineRule="auto"/>
        <w:ind w:firstLine="480" w:firstLineChars="200"/>
        <w:rPr>
          <w:rFonts w:ascii="宋体" w:hAnsi="宋体" w:eastAsia="宋体"/>
          <w:sz w:val="24"/>
          <w:highlight w:val="none"/>
        </w:rPr>
      </w:pPr>
      <w:r>
        <w:rPr>
          <w:rFonts w:hint="eastAsia" w:ascii="宋体" w:hAnsi="宋体" w:eastAsia="宋体"/>
          <w:sz w:val="24"/>
          <w:szCs w:val="24"/>
          <w:highlight w:val="none"/>
        </w:rPr>
        <w:t>17.2</w:t>
      </w:r>
      <w:r>
        <w:rPr>
          <w:rFonts w:hint="eastAsia" w:ascii="宋体" w:hAnsi="宋体" w:eastAsia="宋体"/>
          <w:sz w:val="24"/>
          <w:highlight w:val="none"/>
        </w:rPr>
        <w:t>除投标人对错误处须修改外，全套投标文件应无涂改或增删，如有修改，修改处应由投标人加盖投标人的印章或由投标文件签字人签字或盖章。</w:t>
      </w:r>
    </w:p>
    <w:p>
      <w:pPr>
        <w:pStyle w:val="4"/>
        <w:spacing w:before="120"/>
        <w:rPr>
          <w:rFonts w:ascii="宋体" w:eastAsia="宋体"/>
          <w:highlight w:val="none"/>
        </w:rPr>
      </w:pPr>
      <w:bookmarkStart w:id="78" w:name="_（四）投标文件的递交"/>
      <w:bookmarkEnd w:id="78"/>
      <w:bookmarkStart w:id="79" w:name="_Toc25746"/>
      <w:bookmarkStart w:id="80" w:name="_Toc101777615"/>
      <w:bookmarkStart w:id="81" w:name="_Toc21898"/>
      <w:bookmarkStart w:id="82" w:name="_Toc6908"/>
      <w:bookmarkStart w:id="83" w:name="_Toc17041"/>
      <w:bookmarkStart w:id="84" w:name="_Toc2267"/>
      <w:bookmarkStart w:id="85" w:name="_Toc262229166"/>
      <w:bookmarkStart w:id="86" w:name="_Toc6500"/>
      <w:bookmarkStart w:id="87" w:name="_Toc27126"/>
      <w:bookmarkStart w:id="88" w:name="_Toc15014"/>
      <w:r>
        <w:rPr>
          <w:rFonts w:hint="eastAsia" w:ascii="宋体" w:eastAsia="宋体"/>
          <w:highlight w:val="none"/>
        </w:rPr>
        <w:t>（四）投标文件的递交</w:t>
      </w:r>
      <w:bookmarkEnd w:id="79"/>
      <w:bookmarkEnd w:id="80"/>
      <w:bookmarkEnd w:id="81"/>
      <w:bookmarkEnd w:id="82"/>
      <w:bookmarkEnd w:id="83"/>
      <w:bookmarkEnd w:id="84"/>
      <w:bookmarkEnd w:id="85"/>
      <w:bookmarkEnd w:id="86"/>
      <w:bookmarkEnd w:id="87"/>
      <w:bookmarkEnd w:id="88"/>
    </w:p>
    <w:p>
      <w:pPr>
        <w:pStyle w:val="9"/>
        <w:spacing w:after="0"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18．</w:t>
      </w:r>
      <w:r>
        <w:rPr>
          <w:rFonts w:hint="eastAsia" w:ascii="宋体" w:hAnsi="宋体" w:eastAsia="宋体"/>
          <w:b/>
          <w:sz w:val="24"/>
          <w:szCs w:val="24"/>
          <w:highlight w:val="none"/>
        </w:rPr>
        <w:t>投标文件的密封</w:t>
      </w:r>
    </w:p>
    <w:p>
      <w:pPr>
        <w:spacing w:line="360" w:lineRule="auto"/>
        <w:ind w:firstLine="480" w:firstLineChars="200"/>
        <w:rPr>
          <w:rFonts w:ascii="宋体" w:hAnsi="宋体" w:eastAsia="宋体"/>
          <w:sz w:val="24"/>
          <w:szCs w:val="21"/>
          <w:highlight w:val="none"/>
        </w:rPr>
      </w:pPr>
      <w:r>
        <w:rPr>
          <w:rFonts w:hint="eastAsia" w:ascii="宋体" w:hAnsi="宋体" w:eastAsia="宋体"/>
          <w:sz w:val="24"/>
          <w:szCs w:val="21"/>
          <w:highlight w:val="none"/>
        </w:rPr>
        <w:t>18.1 投标文件的密封要求：投标人应使用广州公共资源交易中心交易服务系统提供的软件制作电子投标文件并进行电子签名、电子签章及加密打包。不得修改所生成电子投标文件的文件格式。</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1"/>
          <w:highlight w:val="none"/>
        </w:rPr>
        <w:t>18.2投标文件的电子签名和电子签章要求： 电子投标文件必须包含完整的投标人电子签名及电子签章。</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19．投标文件的递交和接收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19.1 投标人代表应按投标须知前附表第20项所规定的时间和地点向招标人递交投标文件。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19.2投标人使用制作该投标文件的机构业务数字证书递交投标文件。</w:t>
      </w:r>
    </w:p>
    <w:p>
      <w:pPr>
        <w:spacing w:line="360" w:lineRule="auto"/>
        <w:ind w:firstLine="523" w:firstLineChars="218"/>
        <w:rPr>
          <w:rFonts w:ascii="宋体" w:hAnsi="宋体" w:eastAsia="宋体"/>
          <w:sz w:val="24"/>
          <w:szCs w:val="24"/>
          <w:highlight w:val="none"/>
        </w:rPr>
      </w:pPr>
      <w:r>
        <w:rPr>
          <w:rFonts w:hint="eastAsia" w:ascii="宋体" w:hAnsi="宋体" w:eastAsia="宋体"/>
          <w:sz w:val="24"/>
          <w:highlight w:val="none"/>
        </w:rPr>
        <w:t>19.3</w:t>
      </w:r>
      <w:r>
        <w:rPr>
          <w:rFonts w:hint="eastAsia" w:ascii="宋体" w:hAnsi="宋体" w:eastAsia="宋体"/>
          <w:sz w:val="24"/>
          <w:szCs w:val="24"/>
          <w:highlight w:val="none"/>
        </w:rPr>
        <w:t>若出现以下情况之一的，招标人将拒绝接收投标文件：</w:t>
      </w:r>
    </w:p>
    <w:p>
      <w:pPr>
        <w:spacing w:line="360" w:lineRule="auto"/>
        <w:ind w:firstLine="523" w:firstLineChars="218"/>
        <w:rPr>
          <w:rFonts w:ascii="宋体" w:hAnsi="宋体" w:eastAsia="宋体"/>
          <w:sz w:val="24"/>
          <w:szCs w:val="24"/>
          <w:highlight w:val="none"/>
        </w:rPr>
      </w:pPr>
      <w:r>
        <w:rPr>
          <w:rFonts w:hint="eastAsia" w:ascii="宋体" w:hAnsi="宋体" w:eastAsia="宋体"/>
          <w:sz w:val="24"/>
          <w:szCs w:val="24"/>
          <w:highlight w:val="none"/>
        </w:rPr>
        <w:t xml:space="preserve">19.3.1投标文件未在递交投标文件截止时间前完整上传并保存在广州公共资源交易中心电子评标系统且取得回执的； </w:t>
      </w:r>
    </w:p>
    <w:p>
      <w:pPr>
        <w:spacing w:line="360" w:lineRule="auto"/>
        <w:ind w:firstLine="523" w:firstLineChars="218"/>
        <w:rPr>
          <w:rFonts w:ascii="宋体" w:hAnsi="宋体" w:eastAsia="宋体"/>
          <w:sz w:val="24"/>
          <w:szCs w:val="24"/>
          <w:highlight w:val="none"/>
        </w:rPr>
      </w:pPr>
      <w:r>
        <w:rPr>
          <w:rFonts w:hint="eastAsia" w:ascii="宋体" w:hAnsi="宋体" w:eastAsia="宋体"/>
          <w:sz w:val="24"/>
          <w:szCs w:val="24"/>
          <w:highlight w:val="none"/>
        </w:rPr>
        <w:t>19.3.2投标文件未按招标文件要求进行电子签名和电子签章，并进行加密的；</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19.3.3 投标文件中投标人电子签名或电子签章不完整的；</w:t>
      </w:r>
    </w:p>
    <w:p>
      <w:pPr>
        <w:spacing w:line="360" w:lineRule="auto"/>
        <w:ind w:firstLine="523" w:firstLineChars="218"/>
        <w:rPr>
          <w:rFonts w:hint="eastAsia" w:ascii="宋体" w:hAnsi="宋体" w:eastAsia="宋体"/>
          <w:sz w:val="24"/>
          <w:szCs w:val="24"/>
          <w:highlight w:val="none"/>
        </w:rPr>
      </w:pPr>
      <w:r>
        <w:rPr>
          <w:rFonts w:hint="eastAsia" w:ascii="宋体" w:hAnsi="宋体" w:eastAsia="宋体"/>
          <w:sz w:val="24"/>
          <w:szCs w:val="24"/>
          <w:highlight w:val="none"/>
        </w:rPr>
        <w:t>19.3.4 投标文件损坏或格式不正确的；</w:t>
      </w:r>
    </w:p>
    <w:p>
      <w:pPr>
        <w:spacing w:line="360" w:lineRule="auto"/>
        <w:ind w:firstLine="523" w:firstLineChars="218"/>
        <w:rPr>
          <w:rFonts w:ascii="宋体" w:hAnsi="宋体" w:eastAsia="宋体"/>
          <w:sz w:val="24"/>
          <w:szCs w:val="24"/>
          <w:highlight w:val="none"/>
        </w:rPr>
      </w:pPr>
      <w:r>
        <w:rPr>
          <w:rFonts w:hint="eastAsia" w:ascii="宋体" w:hAnsi="宋体" w:eastAsia="宋体"/>
          <w:sz w:val="24"/>
          <w:szCs w:val="24"/>
          <w:highlight w:val="none"/>
        </w:rPr>
        <w:t>19.3.5 投标人未按要求递交投标保证金的（如设置投标保证金的）。</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highlight w:val="none"/>
        </w:rPr>
        <w:t xml:space="preserve">19.4 </w:t>
      </w:r>
      <w:r>
        <w:rPr>
          <w:rFonts w:hint="eastAsia" w:ascii="宋体" w:hAnsi="宋体" w:eastAsia="宋体"/>
          <w:sz w:val="24"/>
          <w:szCs w:val="24"/>
          <w:highlight w:val="none"/>
        </w:rPr>
        <w:t>递交投标文件截止时间前，招标人拒绝接收符合条件的投标文件，投标人可向招标监督机构投诉。</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20．递交投标文件的截止时间</w:t>
      </w:r>
    </w:p>
    <w:p>
      <w:pPr>
        <w:spacing w:line="360" w:lineRule="auto"/>
        <w:ind w:firstLine="480" w:firstLineChars="200"/>
        <w:rPr>
          <w:rFonts w:ascii="宋体" w:hAnsi="宋体" w:eastAsia="宋体"/>
          <w:b/>
          <w:bCs/>
          <w:sz w:val="24"/>
          <w:highlight w:val="none"/>
        </w:rPr>
      </w:pPr>
      <w:r>
        <w:rPr>
          <w:rFonts w:hint="eastAsia" w:ascii="宋体" w:hAnsi="宋体" w:eastAsia="宋体"/>
          <w:sz w:val="24"/>
          <w:highlight w:val="none"/>
        </w:rPr>
        <w:t>20.1投标人应在投标须知前附表第 20 项所述的时间前递交投标文件。截止时间以广州公共资源交易中心信息系统服务器从中国科学院国家授时中心取得的北京时间为准。</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20.2招标人可按本须知第9条规定以招标文件修改的方式，酌情延长递交投标文件的截止时间。在此情况下，投标人的所有权利和义务以及投标人受制约的截止时间，均以延长后递交投标文件截止时间为准。</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20.3 到递交投标文件截止时间止，</w:t>
      </w:r>
      <w:r>
        <w:rPr>
          <w:rFonts w:hint="eastAsia" w:ascii="宋体" w:hAnsi="宋体" w:eastAsia="宋体"/>
          <w:sz w:val="24"/>
          <w:szCs w:val="24"/>
          <w:highlight w:val="none"/>
        </w:rPr>
        <w:t>若递交投标文件的投标人不足3家，招标人将依法重新组织招标</w:t>
      </w:r>
      <w:r>
        <w:rPr>
          <w:rFonts w:hint="eastAsia" w:ascii="宋体" w:hAnsi="宋体" w:eastAsia="宋体"/>
          <w:sz w:val="24"/>
          <w:highlight w:val="none"/>
        </w:rPr>
        <w:t>（</w:t>
      </w:r>
      <w:r>
        <w:rPr>
          <w:rFonts w:hint="eastAsia" w:ascii="宋体" w:hAnsi="宋体" w:eastAsia="宋体"/>
          <w:sz w:val="24"/>
          <w:szCs w:val="24"/>
          <w:highlight w:val="none"/>
        </w:rPr>
        <w:t>当N个标段同时招标且不允许兼中时，若递交投标文件单位不足N+2家，招标人将依法重新组织招标</w:t>
      </w:r>
      <w:r>
        <w:rPr>
          <w:rFonts w:hint="eastAsia" w:ascii="宋体" w:hAnsi="宋体" w:eastAsia="宋体"/>
          <w:sz w:val="24"/>
          <w:highlight w:val="none"/>
        </w:rPr>
        <w:t>）。</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21．迟交的投标文件</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递交投标文件截止时间到达后，电子评标系统将不允许投标人上传投标文件。</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22．投标文件的补充、修改与撤回</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22.1投标人在递交投标文件截止时间前，可以撤回或替换已递交的投标文件。</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22.3 在递交投标文件截止时间后，投标人不得补充、修改和更换投标文件。</w:t>
      </w:r>
    </w:p>
    <w:p>
      <w:pPr>
        <w:snapToGrid w:val="0"/>
        <w:spacing w:line="360" w:lineRule="auto"/>
        <w:ind w:firstLine="480" w:firstLineChars="200"/>
        <w:rPr>
          <w:rFonts w:ascii="宋体" w:hAnsi="宋体" w:eastAsia="宋体"/>
          <w:sz w:val="24"/>
          <w:highlight w:val="none"/>
        </w:rPr>
      </w:pPr>
      <w:r>
        <w:rPr>
          <w:rFonts w:hint="eastAsia" w:ascii="宋体" w:hAnsi="宋体" w:eastAsia="宋体"/>
          <w:sz w:val="24"/>
          <w:highlight w:val="none"/>
        </w:rPr>
        <w:t>22.4在递交投标文件截止时间后，投标人在投标文件格式中规定的有效期终止日前，投标人不能撤回投标文件，否则其投标保证金将不予退还，且招标人有权就其撤回行为报告政府主管部门载入不良信用记录。</w:t>
      </w:r>
    </w:p>
    <w:p>
      <w:pPr>
        <w:snapToGrid w:val="0"/>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23.投标信息录入</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投标人应在上传电子投标文件前将投标人的相关信息在广州公共资源交易中心交易服务系统中录入完毕。</w:t>
      </w:r>
    </w:p>
    <w:p>
      <w:pPr>
        <w:pStyle w:val="4"/>
        <w:spacing w:before="120"/>
        <w:rPr>
          <w:rFonts w:ascii="宋体" w:eastAsia="宋体"/>
          <w:highlight w:val="none"/>
        </w:rPr>
      </w:pPr>
      <w:bookmarkStart w:id="89" w:name="_（五）开标、评标、定标及合同签订"/>
      <w:bookmarkEnd w:id="89"/>
      <w:bookmarkStart w:id="90" w:name="_Toc101777616"/>
      <w:bookmarkStart w:id="91" w:name="_Toc3934"/>
      <w:bookmarkStart w:id="92" w:name="_Toc1042"/>
      <w:bookmarkStart w:id="93" w:name="_Toc17522"/>
      <w:bookmarkStart w:id="94" w:name="_Toc9203"/>
      <w:bookmarkStart w:id="95" w:name="_Toc262229167"/>
      <w:bookmarkStart w:id="96" w:name="_Toc26175"/>
      <w:bookmarkStart w:id="97" w:name="_Toc2110"/>
      <w:bookmarkStart w:id="98" w:name="_Toc13863"/>
      <w:bookmarkStart w:id="99" w:name="_Toc29261"/>
      <w:r>
        <w:rPr>
          <w:rFonts w:hint="eastAsia" w:ascii="宋体" w:eastAsia="宋体"/>
          <w:highlight w:val="none"/>
        </w:rPr>
        <w:t>（五）开标</w:t>
      </w:r>
      <w:bookmarkEnd w:id="90"/>
      <w:r>
        <w:rPr>
          <w:rFonts w:hint="eastAsia" w:ascii="宋体" w:eastAsia="宋体"/>
          <w:highlight w:val="none"/>
        </w:rPr>
        <w:t>、评标、定标及合同签订</w:t>
      </w:r>
      <w:bookmarkEnd w:id="91"/>
      <w:bookmarkEnd w:id="92"/>
      <w:bookmarkEnd w:id="93"/>
      <w:bookmarkEnd w:id="94"/>
      <w:bookmarkEnd w:id="95"/>
      <w:bookmarkEnd w:id="96"/>
      <w:bookmarkEnd w:id="97"/>
      <w:bookmarkEnd w:id="98"/>
      <w:bookmarkEnd w:id="99"/>
    </w:p>
    <w:p>
      <w:pPr>
        <w:spacing w:line="360" w:lineRule="auto"/>
        <w:ind w:firstLine="482" w:firstLineChars="200"/>
        <w:rPr>
          <w:rFonts w:ascii="宋体" w:hAnsi="宋体" w:eastAsia="宋体"/>
          <w:b/>
          <w:bCs/>
          <w:sz w:val="24"/>
          <w:highlight w:val="none"/>
        </w:rPr>
      </w:pPr>
      <w:bookmarkStart w:id="100" w:name="_Toc101777617"/>
      <w:r>
        <w:rPr>
          <w:rFonts w:hint="eastAsia" w:ascii="宋体" w:hAnsi="宋体" w:eastAsia="宋体"/>
          <w:b/>
          <w:bCs/>
          <w:sz w:val="24"/>
          <w:highlight w:val="none"/>
        </w:rPr>
        <w:t>24.开标</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详见第二章开标、评标及定标办法。</w:t>
      </w:r>
    </w:p>
    <w:bookmarkEnd w:id="100"/>
    <w:p>
      <w:pPr>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25.投标人对投标文件的解密</w:t>
      </w:r>
    </w:p>
    <w:p>
      <w:pPr>
        <w:spacing w:line="360" w:lineRule="auto"/>
        <w:ind w:firstLine="480" w:firstLineChars="200"/>
        <w:rPr>
          <w:rFonts w:ascii="宋体" w:hAnsi="宋体" w:eastAsia="宋体"/>
          <w:sz w:val="24"/>
          <w:highlight w:val="none"/>
        </w:rPr>
      </w:pPr>
      <w:r>
        <w:rPr>
          <w:rFonts w:hint="eastAsia" w:ascii="宋体" w:hAnsi="宋体" w:eastAsia="宋体" w:cs="仿宋_GB2312"/>
          <w:sz w:val="24"/>
          <w:szCs w:val="24"/>
          <w:highlight w:val="none"/>
        </w:rPr>
        <w:t>25.1递交投标文件截止时间到达后的1小时内为投标人对其电子投标文件的解密时间，投标人须在规定的解密时间内使用</w:t>
      </w:r>
      <w:r>
        <w:rPr>
          <w:rFonts w:hint="eastAsia" w:ascii="宋体" w:hAnsi="宋体" w:eastAsia="宋体"/>
          <w:sz w:val="24"/>
          <w:szCs w:val="24"/>
          <w:highlight w:val="none"/>
        </w:rPr>
        <w:t>制作该投标文件的机构业务数字证书</w:t>
      </w:r>
      <w:r>
        <w:rPr>
          <w:rFonts w:hint="eastAsia" w:ascii="宋体" w:hAnsi="宋体" w:eastAsia="宋体" w:cs="仿宋_GB2312"/>
          <w:sz w:val="24"/>
          <w:szCs w:val="24"/>
          <w:highlight w:val="none"/>
        </w:rPr>
        <w:t>对投标文件进行解密，逾期未解密的投标文件将被否决</w:t>
      </w:r>
      <w:r>
        <w:rPr>
          <w:rFonts w:hint="eastAsia" w:ascii="宋体" w:hAnsi="宋体" w:eastAsia="宋体"/>
          <w:sz w:val="24"/>
          <w:szCs w:val="24"/>
          <w:highlight w:val="none"/>
        </w:rPr>
        <w:t>。</w:t>
      </w:r>
    </w:p>
    <w:p>
      <w:pPr>
        <w:spacing w:line="360" w:lineRule="auto"/>
        <w:ind w:firstLine="480" w:firstLineChars="200"/>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25.2因投标人原因造成投标文件未解密的，视为撤销其投标文件。</w:t>
      </w:r>
    </w:p>
    <w:p>
      <w:pPr>
        <w:spacing w:line="360" w:lineRule="auto"/>
        <w:ind w:firstLine="482" w:firstLineChars="200"/>
        <w:rPr>
          <w:rFonts w:hint="eastAsia" w:ascii="宋体" w:hAnsi="宋体" w:eastAsia="宋体"/>
          <w:b/>
          <w:sz w:val="24"/>
          <w:highlight w:val="none"/>
        </w:rPr>
      </w:pPr>
      <w:r>
        <w:rPr>
          <w:rFonts w:hint="eastAsia" w:ascii="宋体" w:hAnsi="宋体" w:eastAsia="宋体"/>
          <w:b/>
          <w:bCs/>
          <w:sz w:val="24"/>
          <w:highlight w:val="none"/>
        </w:rPr>
        <w:t>26．招标人</w:t>
      </w:r>
      <w:r>
        <w:rPr>
          <w:rFonts w:hint="eastAsia" w:ascii="宋体" w:hAnsi="宋体" w:eastAsia="宋体"/>
          <w:b/>
          <w:sz w:val="24"/>
          <w:highlight w:val="none"/>
        </w:rPr>
        <w:t>对投标文件的解密</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cs="仿宋_GB2312"/>
          <w:sz w:val="24"/>
          <w:szCs w:val="24"/>
          <w:highlight w:val="none"/>
        </w:rPr>
        <w:t>投标人对投标文件的解密时间截止后，</w:t>
      </w:r>
      <w:r>
        <w:rPr>
          <w:rFonts w:hint="eastAsia" w:ascii="宋体" w:hAnsi="宋体" w:eastAsia="宋体"/>
          <w:sz w:val="24"/>
          <w:szCs w:val="24"/>
          <w:highlight w:val="none"/>
        </w:rPr>
        <w:t>招标人或招标代理机构</w:t>
      </w:r>
      <w:r>
        <w:rPr>
          <w:rFonts w:hint="eastAsia" w:ascii="宋体" w:hAnsi="宋体" w:eastAsia="宋体" w:cs="仿宋_GB2312"/>
          <w:sz w:val="24"/>
          <w:szCs w:val="24"/>
          <w:highlight w:val="none"/>
        </w:rPr>
        <w:t>使用</w:t>
      </w:r>
      <w:r>
        <w:rPr>
          <w:rFonts w:hint="eastAsia" w:ascii="宋体" w:hAnsi="宋体" w:eastAsia="宋体"/>
          <w:sz w:val="24"/>
          <w:szCs w:val="24"/>
          <w:highlight w:val="none"/>
        </w:rPr>
        <w:t>制作该招标文件的机构业务数字证书对所有投标人电子投标文件进行招标人解密。</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27.评标过程的保密</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27.1 开标后，直至中标候选人公示为止，凡属于对投标文件的审查、澄清、评价和比较有关的资料、中标候选人的推荐情况及与评标有关的其他任何情况均严格保密。</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27.2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28．投标文件的澄清，计算错误的修正</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详见招标文件第二章开标、评标及定标办法。</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29．投标文件的评审、比较和否决</w:t>
      </w:r>
    </w:p>
    <w:p>
      <w:pPr>
        <w:spacing w:line="360" w:lineRule="auto"/>
        <w:ind w:firstLine="480" w:firstLineChars="200"/>
        <w:rPr>
          <w:rFonts w:ascii="宋体" w:hAnsi="宋体" w:eastAsia="宋体"/>
          <w:bCs/>
          <w:sz w:val="24"/>
          <w:szCs w:val="24"/>
          <w:highlight w:val="none"/>
        </w:rPr>
      </w:pPr>
      <w:r>
        <w:rPr>
          <w:rFonts w:hint="eastAsia" w:ascii="宋体" w:hAnsi="宋体" w:eastAsia="宋体"/>
          <w:sz w:val="24"/>
          <w:highlight w:val="none"/>
        </w:rPr>
        <w:t>详见招标文件第二章开标、评标及定标办法。</w:t>
      </w:r>
      <w:r>
        <w:rPr>
          <w:rFonts w:hint="eastAsia" w:ascii="宋体" w:hAnsi="宋体" w:eastAsia="宋体"/>
          <w:sz w:val="24"/>
          <w:szCs w:val="24"/>
          <w:highlight w:val="none"/>
        </w:rPr>
        <w:t>经评标委员会评审，资格审查合格的投标人或通过否决性条款审查的投标人少于3个的，招标人将依法重新招标。</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30．中标通知书</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30.1定标后，招标人将就规定的内容在广州公共资源交易中心公示3日。</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30.2在中标人确定后，招标人应当向中标人发出中标通知书，并同时将中标结果通知所有未中标的投标人。</w:t>
      </w:r>
    </w:p>
    <w:p>
      <w:pPr>
        <w:spacing w:line="360" w:lineRule="auto"/>
        <w:ind w:firstLine="480" w:firstLineChars="200"/>
        <w:rPr>
          <w:rFonts w:ascii="宋体" w:hAnsi="宋体" w:eastAsia="宋体"/>
          <w:sz w:val="24"/>
          <w:highlight w:val="none"/>
          <w:bdr w:val="single" w:color="auto" w:sz="4" w:space="0"/>
        </w:rPr>
      </w:pPr>
      <w:r>
        <w:rPr>
          <w:rFonts w:hint="eastAsia" w:ascii="宋体" w:hAnsi="宋体" w:eastAsia="宋体"/>
          <w:sz w:val="24"/>
          <w:highlight w:val="none"/>
        </w:rPr>
        <w:t>30.3中标人必须在收到中标通知书后24小时之内以书面形式回复招标人，确认收到。</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31．合同协议书的签订</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31.3未经招标人同意，中标人在投标过程中使用的银行名称及帐号至完成竣工结算不得变更，否则招标人有权停止工程款项的拔付及至解除合同，由此造成的一切责任由中标人承担。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31.4招标人支付工程款时，中标人应提供工程所在地发票。</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32．履约担保</w:t>
      </w:r>
    </w:p>
    <w:p>
      <w:pPr>
        <w:snapToGrid w:val="0"/>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32.1 在收到中标通知书后的15日内，中标人应按本须知前附表第27项的规定向招标人递交履约担保；如果中标人的履约担保是以金融机构保函或保证保险的形式提供，则该金融机构或保险公司的注册地址须是在中国大陆境内。金融机构保函或保证保险均需开具给招标人（受益人必须是招标人）。</w:t>
      </w:r>
    </w:p>
    <w:p>
      <w:pPr>
        <w:snapToGrid w:val="0"/>
        <w:spacing w:line="360" w:lineRule="auto"/>
        <w:ind w:firstLine="480" w:firstLineChars="200"/>
        <w:rPr>
          <w:rFonts w:ascii="宋体" w:hAnsi="宋体" w:eastAsia="宋体"/>
          <w:sz w:val="24"/>
          <w:highlight w:val="none"/>
        </w:rPr>
      </w:pPr>
      <w:r>
        <w:rPr>
          <w:rFonts w:hint="eastAsia" w:ascii="宋体" w:hAnsi="宋体" w:eastAsia="宋体"/>
          <w:sz w:val="24"/>
          <w:highlight w:val="none"/>
        </w:rPr>
        <w:t>32.2中标通知书发出之日起15日后，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33．合同生效</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在合同双方全权代表在合同协议书上签字，并分别加盖双方单位的公章后，合同正式生效。</w:t>
      </w:r>
    </w:p>
    <w:p>
      <w:pPr>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34．其它费用</w:t>
      </w:r>
    </w:p>
    <w:p>
      <w:pPr>
        <w:spacing w:line="360" w:lineRule="auto"/>
        <w:ind w:firstLine="480" w:firstLineChars="200"/>
        <w:rPr>
          <w:rFonts w:hint="eastAsia" w:ascii="宋体" w:hAnsi="宋体" w:eastAsia="宋体"/>
          <w:b/>
          <w:bCs/>
          <w:sz w:val="24"/>
          <w:highlight w:val="none"/>
        </w:rPr>
      </w:pPr>
      <w:r>
        <w:rPr>
          <w:rFonts w:hint="eastAsia" w:ascii="宋体" w:hAnsi="宋体" w:eastAsia="宋体"/>
          <w:sz w:val="24"/>
          <w:highlight w:val="none"/>
        </w:rPr>
        <w:t>公共资源交易服务费应根据政府有关规定支付。</w:t>
      </w:r>
    </w:p>
    <w:p>
      <w:pPr>
        <w:pStyle w:val="9"/>
        <w:spacing w:after="0"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35．腐败与敲诈行为</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在招标和合同实施期间，业主要求投标人和承包人遵守最高的道德标准。</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35.1对本条款的规定，特定义如下词汇：</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（1）“腐败行为”是指在招标或合同执行期间，通过提供、给予、接受或索要任何有价值的东西，从而影响招标人有关人员工作的行为；</w:t>
      </w:r>
    </w:p>
    <w:p>
      <w:pPr>
        <w:pStyle w:val="9"/>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2）“欺诈行为”是指通过提供伪证影响招标或合同执行，从而损害招标人利益的行为；也包括投标人之间串通（在递交投标书之前或之后），人为地使招标过程失去竞争性，从而使业主无法从公开的自由竞争中获得利益的行为。</w:t>
      </w:r>
    </w:p>
    <w:p>
      <w:pPr>
        <w:pStyle w:val="9"/>
        <w:spacing w:after="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35.2如果投标人被认定在本招标的竞争中有腐败或欺诈行为，则会被取消投标资格。</w:t>
      </w:r>
    </w:p>
    <w:p>
      <w:pPr>
        <w:pStyle w:val="9"/>
        <w:spacing w:after="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35.3投标人如在本项目中存在串通投标、弄虚作假、行贿情形的，中标无效，该投标人将被招标人列入黑名单并限制其投标。行政监督机构将对其违法行为进行行政处罚并通报。</w:t>
      </w:r>
    </w:p>
    <w:p>
      <w:pPr>
        <w:pStyle w:val="9"/>
        <w:spacing w:after="0" w:line="360" w:lineRule="auto"/>
        <w:ind w:firstLine="482" w:firstLineChars="200"/>
        <w:rPr>
          <w:rFonts w:hint="eastAsia" w:ascii="宋体" w:eastAsia="宋体"/>
          <w:b/>
          <w:sz w:val="24"/>
          <w:highlight w:val="none"/>
        </w:rPr>
      </w:pPr>
      <w:r>
        <w:rPr>
          <w:rFonts w:hint="eastAsia" w:ascii="宋体" w:eastAsia="宋体"/>
          <w:b/>
          <w:sz w:val="24"/>
          <w:highlight w:val="none"/>
        </w:rPr>
        <w:t>36.其他</w:t>
      </w:r>
    </w:p>
    <w:p>
      <w:pPr>
        <w:pStyle w:val="9"/>
        <w:spacing w:after="0" w:line="360" w:lineRule="auto"/>
        <w:ind w:firstLine="480" w:firstLineChars="200"/>
        <w:rPr>
          <w:rFonts w:hint="eastAsia" w:ascii="宋体" w:hAnsi="宋体" w:eastAsia="宋体"/>
          <w:sz w:val="24"/>
          <w:highlight w:val="none"/>
        </w:rPr>
      </w:pPr>
      <w:r>
        <w:rPr>
          <w:rFonts w:hint="eastAsia" w:ascii="宋体" w:eastAsia="宋体"/>
          <w:sz w:val="24"/>
          <w:highlight w:val="none"/>
        </w:rPr>
        <w:t>其他投标人须知事项，见投标须知前附表第36项。</w:t>
      </w:r>
    </w:p>
    <w:p>
      <w:pPr>
        <w:pStyle w:val="9"/>
        <w:spacing w:after="0" w:line="360" w:lineRule="auto"/>
        <w:ind w:firstLine="420" w:firstLineChars="200"/>
        <w:rPr>
          <w:rFonts w:hint="eastAsia" w:ascii="宋体" w:hAnsi="宋体" w:eastAsia="宋体" w:cs="宋体"/>
          <w:sz w:val="24"/>
          <w:highlight w:val="none"/>
        </w:rPr>
      </w:pPr>
      <w:r>
        <w:rPr>
          <w:rFonts w:hint="eastAsia" w:ascii="宋体" w:eastAsia="宋体"/>
          <w:highlight w:val="none"/>
        </w:rPr>
        <w:br w:type="page"/>
      </w:r>
    </w:p>
    <w:p>
      <w:pPr>
        <w:pStyle w:val="3"/>
        <w:rPr>
          <w:rFonts w:hint="eastAsia" w:ascii="宋体" w:hAnsi="宋体" w:eastAsia="宋体" w:cs="宋体"/>
          <w:b w:val="0"/>
          <w:highlight w:val="none"/>
        </w:rPr>
      </w:pPr>
      <w:bookmarkStart w:id="101" w:name="_第二章__开标、评标及定标办法"/>
      <w:bookmarkEnd w:id="101"/>
      <w:bookmarkStart w:id="102" w:name="_Toc20599"/>
      <w:bookmarkStart w:id="103" w:name="_Toc27137"/>
      <w:bookmarkStart w:id="104" w:name="_Toc262229168"/>
      <w:bookmarkStart w:id="105" w:name="_Toc4405"/>
      <w:bookmarkStart w:id="106" w:name="_Toc11805"/>
      <w:bookmarkStart w:id="107" w:name="_Toc9777"/>
      <w:bookmarkStart w:id="108" w:name="_Toc155150492"/>
      <w:bookmarkStart w:id="109" w:name="_Toc613"/>
      <w:bookmarkStart w:id="110" w:name="_Toc13102"/>
      <w:bookmarkStart w:id="111" w:name="_Toc12712"/>
      <w:bookmarkStart w:id="112" w:name="_Toc155150494"/>
      <w:r>
        <w:rPr>
          <w:rFonts w:hint="eastAsia" w:ascii="宋体" w:hAnsi="宋体" w:eastAsia="宋体" w:cs="宋体"/>
          <w:b w:val="0"/>
          <w:highlight w:val="none"/>
        </w:rPr>
        <w:t>第二章  开标、评标及定标办法</w:t>
      </w:r>
      <w:bookmarkEnd w:id="102"/>
      <w:bookmarkEnd w:id="103"/>
      <w:bookmarkEnd w:id="104"/>
      <w:bookmarkEnd w:id="105"/>
      <w:bookmarkEnd w:id="106"/>
      <w:bookmarkEnd w:id="107"/>
      <w:bookmarkEnd w:id="108"/>
      <w:bookmarkEnd w:id="109"/>
      <w:bookmarkEnd w:id="110"/>
      <w:bookmarkEnd w:id="111"/>
    </w:p>
    <w:p>
      <w:pPr>
        <w:pStyle w:val="4"/>
        <w:spacing w:before="120" w:line="360" w:lineRule="auto"/>
        <w:rPr>
          <w:rFonts w:hint="eastAsia" w:ascii="宋体" w:hAnsi="宋体" w:eastAsia="宋体" w:cs="宋体"/>
          <w:highlight w:val="none"/>
        </w:rPr>
      </w:pPr>
      <w:bookmarkStart w:id="113" w:name="_一、开标、评标及定标办法修改表"/>
      <w:bookmarkEnd w:id="113"/>
      <w:bookmarkStart w:id="114" w:name="_Toc26062"/>
      <w:bookmarkStart w:id="115" w:name="_Toc5823"/>
      <w:bookmarkStart w:id="116" w:name="_Toc155150493"/>
      <w:bookmarkStart w:id="117" w:name="_Toc4196"/>
      <w:bookmarkStart w:id="118" w:name="_Toc24406"/>
      <w:bookmarkStart w:id="119" w:name="_Toc22769"/>
      <w:bookmarkStart w:id="120" w:name="_Toc262229169"/>
      <w:bookmarkStart w:id="121" w:name="_Toc31530"/>
      <w:bookmarkStart w:id="122" w:name="_Toc26366"/>
      <w:bookmarkStart w:id="123" w:name="_Toc5930"/>
      <w:r>
        <w:rPr>
          <w:rFonts w:hint="eastAsia" w:ascii="宋体" w:hAnsi="宋体" w:eastAsia="宋体" w:cs="宋体"/>
          <w:highlight w:val="none"/>
        </w:rPr>
        <w:t>一、开标、评标及定标办法修改表</w:t>
      </w:r>
      <w:bookmarkEnd w:id="114"/>
      <w:bookmarkEnd w:id="115"/>
      <w:bookmarkEnd w:id="116"/>
      <w:bookmarkEnd w:id="117"/>
      <w:bookmarkEnd w:id="118"/>
      <w:bookmarkEnd w:id="119"/>
      <w:bookmarkEnd w:id="120"/>
      <w:bookmarkEnd w:id="121"/>
      <w:bookmarkEnd w:id="122"/>
      <w:bookmarkEnd w:id="123"/>
    </w:p>
    <w:p>
      <w:pPr>
        <w:pStyle w:val="9"/>
        <w:spacing w:after="0" w:line="360" w:lineRule="auto"/>
        <w:ind w:firstLine="0"/>
        <w:rPr>
          <w:rFonts w:hint="eastAsia" w:ascii="宋体" w:hAnsi="宋体" w:eastAsia="宋体" w:cs="宋体"/>
          <w:b/>
          <w:szCs w:val="21"/>
          <w:highlight w:val="none"/>
        </w:rPr>
      </w:pPr>
      <w:r>
        <w:rPr>
          <w:rFonts w:hint="eastAsia" w:ascii="宋体" w:hAnsi="宋体" w:eastAsia="宋体" w:cs="宋体"/>
          <w:b/>
          <w:szCs w:val="21"/>
          <w:highlight w:val="none"/>
        </w:rPr>
        <w:t>声明：本</w:t>
      </w:r>
      <w:r>
        <w:rPr>
          <w:rFonts w:hint="eastAsia" w:ascii="宋体" w:hAnsi="宋体" w:eastAsia="宋体" w:cs="宋体"/>
          <w:b/>
          <w:highlight w:val="none"/>
        </w:rPr>
        <w:t>开标、评标及定标办法使用GZYLZB2020-1招标文件范本的开标、评标及定标办法</w:t>
      </w:r>
      <w:r>
        <w:rPr>
          <w:rFonts w:hint="eastAsia" w:ascii="宋体" w:hAnsi="宋体" w:eastAsia="宋体" w:cs="宋体"/>
          <w:b/>
          <w:szCs w:val="21"/>
          <w:highlight w:val="none"/>
        </w:rPr>
        <w:t>通用条款，与该通用条款不同之处，均在本表中列明，修改之处均以下划线标明，并以现文为准，原文不再有效。没有在本表中列明的条款，以原文为准。本招标文件中不再转录</w:t>
      </w:r>
      <w:r>
        <w:rPr>
          <w:rFonts w:hint="eastAsia" w:ascii="宋体" w:hAnsi="宋体" w:eastAsia="宋体" w:cs="宋体"/>
          <w:b/>
          <w:highlight w:val="none"/>
        </w:rPr>
        <w:t>开标、评标及定标办法</w:t>
      </w:r>
      <w:r>
        <w:rPr>
          <w:rFonts w:hint="eastAsia" w:ascii="宋体" w:hAnsi="宋体" w:eastAsia="宋体" w:cs="宋体"/>
          <w:b/>
          <w:szCs w:val="21"/>
          <w:highlight w:val="none"/>
        </w:rPr>
        <w:t>通用条款，请投标人自行到广州市林业和园林局网站（网址：http://lyylj.gz.gov.cn/）下载查阅。</w:t>
      </w:r>
    </w:p>
    <w:p>
      <w:pPr>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cs="Times New Roman"/>
          <w:b w:val="0"/>
          <w:bCs/>
          <w:strike w:val="0"/>
          <w:dstrike w:val="0"/>
          <w:color w:val="auto"/>
          <w:sz w:val="21"/>
          <w:szCs w:val="21"/>
          <w:highlight w:val="none"/>
        </w:rPr>
        <w:t>（二）开标评标办法程序和细则</w:t>
      </w:r>
      <w:r>
        <w:rPr>
          <w:rFonts w:hint="eastAsia" w:ascii="宋体" w:hAnsi="宋体" w:eastAsia="宋体"/>
          <w:b/>
          <w:color w:val="auto"/>
          <w:sz w:val="21"/>
          <w:szCs w:val="21"/>
          <w:highlight w:val="none"/>
        </w:rPr>
        <w:t xml:space="preserve">             修改类型：删除</w:t>
      </w:r>
    </w:p>
    <w:p>
      <w:pPr>
        <w:pBdr>
          <w:bottom w:val="single" w:color="auto" w:sz="6" w:space="1"/>
        </w:pBdr>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olor w:val="auto"/>
          <w:sz w:val="21"/>
          <w:szCs w:val="21"/>
          <w:highlight w:val="none"/>
          <w:u w:val="single"/>
        </w:rPr>
        <w:t>可选办法一 两阶段评标法</w:t>
      </w:r>
    </w:p>
    <w:p>
      <w:pPr>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color w:val="auto"/>
          <w:sz w:val="21"/>
          <w:szCs w:val="21"/>
          <w:highlight w:val="none"/>
        </w:rPr>
        <w:t>41.1</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41.2</w:t>
      </w:r>
      <w:r>
        <w:rPr>
          <w:rFonts w:hint="eastAsia" w:ascii="宋体" w:hAnsi="宋体" w:eastAsia="宋体"/>
          <w:b/>
          <w:color w:val="auto"/>
          <w:sz w:val="21"/>
          <w:szCs w:val="21"/>
          <w:highlight w:val="none"/>
        </w:rPr>
        <w:t xml:space="preserve">             修改类型：修改</w:t>
      </w:r>
    </w:p>
    <w:p>
      <w:pPr>
        <w:tabs>
          <w:tab w:val="left" w:pos="1890"/>
        </w:tabs>
        <w:snapToGrid w:val="0"/>
        <w:spacing w:line="360" w:lineRule="auto"/>
        <w:ind w:firstLine="422" w:firstLineChars="200"/>
        <w:rPr>
          <w:rFonts w:hint="eastAsia" w:ascii="宋体" w:hAnsi="宋体" w:eastAsia="宋体"/>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olor w:val="auto"/>
          <w:sz w:val="21"/>
          <w:szCs w:val="21"/>
          <w:highlight w:val="none"/>
        </w:rPr>
        <w:t>41.1不采用评定分离的，评标委员会推荐中标候选人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名（不多于3名）。</w:t>
      </w:r>
    </w:p>
    <w:p>
      <w:pPr>
        <w:tabs>
          <w:tab w:val="left" w:pos="1890"/>
        </w:tabs>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评标委员会向招标人推荐按综合得分高低排序的中标候选人。招标人在评标委员会推荐的中标候选人中确定中标人。依法必须招标的项目，招标人应当确定排名第一的中标候选人为中标人。</w:t>
      </w:r>
    </w:p>
    <w:p>
      <w:pPr>
        <w:tabs>
          <w:tab w:val="left" w:pos="1890"/>
        </w:tabs>
        <w:snapToGrid w:val="0"/>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41.2采用评定分离的，评标委员会推荐中标候选人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名（3-5名）。</w:t>
      </w:r>
    </w:p>
    <w:p>
      <w:pPr>
        <w:tabs>
          <w:tab w:val="left" w:pos="1890"/>
        </w:tabs>
        <w:snapToGrid w:val="0"/>
        <w:spacing w:line="360" w:lineRule="auto"/>
        <w:ind w:firstLine="420" w:firstLineChars="200"/>
        <w:rPr>
          <w:rFonts w:ascii="宋体" w:hAnsi="宋体" w:eastAsia="宋体"/>
          <w:b/>
          <w:color w:val="auto"/>
          <w:sz w:val="21"/>
          <w:szCs w:val="21"/>
          <w:highlight w:val="none"/>
        </w:rPr>
      </w:pPr>
      <w:r>
        <w:rPr>
          <w:rFonts w:hint="eastAsia" w:ascii="宋体" w:hAnsi="宋体" w:eastAsia="宋体"/>
          <w:color w:val="auto"/>
          <w:sz w:val="21"/>
          <w:szCs w:val="21"/>
          <w:highlight w:val="none"/>
        </w:rPr>
        <w:t>评标委员会向招标人推荐不排序的中标候选人。定标委员会在中标候选人中按照定标办法（详见附件一）确定中标人。</w:t>
      </w:r>
    </w:p>
    <w:p>
      <w:pPr>
        <w:tabs>
          <w:tab w:val="left" w:pos="1890"/>
        </w:tabs>
        <w:snapToGrid w:val="0"/>
        <w:spacing w:line="360" w:lineRule="auto"/>
        <w:ind w:firstLine="422" w:firstLineChars="200"/>
        <w:rPr>
          <w:rFonts w:hint="eastAsia" w:ascii="宋体" w:hAnsi="宋体" w:eastAsia="宋体"/>
          <w:color w:val="auto"/>
          <w:sz w:val="21"/>
          <w:szCs w:val="21"/>
          <w:highlight w:val="none"/>
        </w:rPr>
      </w:pPr>
      <w:r>
        <w:rPr>
          <w:rFonts w:hint="eastAsia" w:ascii="宋体" w:hAnsi="宋体" w:eastAsia="宋体"/>
          <w:b/>
          <w:color w:val="auto"/>
          <w:sz w:val="21"/>
          <w:szCs w:val="21"/>
          <w:highlight w:val="none"/>
        </w:rPr>
        <w:t>现文：</w:t>
      </w:r>
      <w:r>
        <w:rPr>
          <w:rFonts w:hint="eastAsia" w:ascii="宋体" w:hAnsi="宋体" w:eastAsia="宋体"/>
          <w:color w:val="auto"/>
          <w:sz w:val="21"/>
          <w:szCs w:val="21"/>
          <w:highlight w:val="none"/>
        </w:rPr>
        <w:t>41.1不采用评定分离的，评标委员会推荐中标候选人</w:t>
      </w:r>
      <w:r>
        <w:rPr>
          <w:rFonts w:hint="eastAsia" w:ascii="宋体" w:hAnsi="宋体" w:eastAsia="宋体"/>
          <w:color w:val="auto"/>
          <w:sz w:val="21"/>
          <w:szCs w:val="21"/>
          <w:highlight w:val="none"/>
          <w:u w:val="single"/>
          <w:lang w:val="en-US" w:eastAsia="zh-CN"/>
        </w:rPr>
        <w:t>3</w:t>
      </w:r>
      <w:r>
        <w:rPr>
          <w:rFonts w:hint="eastAsia" w:ascii="宋体" w:hAnsi="宋体" w:eastAsia="宋体"/>
          <w:color w:val="auto"/>
          <w:sz w:val="21"/>
          <w:szCs w:val="21"/>
          <w:highlight w:val="none"/>
        </w:rPr>
        <w:t>名（不多于3名）。</w:t>
      </w:r>
    </w:p>
    <w:p>
      <w:pPr>
        <w:tabs>
          <w:tab w:val="left" w:pos="1890"/>
        </w:tabs>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评标委员会向招标人推荐按综合得分高低排序的中标候选人。招标人在评标委员会推荐的中标候选人中确定中标人。依法必须招标的项目，招标人应当确定排名第一的中标候选人为中标人。</w:t>
      </w:r>
    </w:p>
    <w:p>
      <w:pPr>
        <w:tabs>
          <w:tab w:val="left" w:pos="1890"/>
        </w:tabs>
        <w:snapToGrid w:val="0"/>
        <w:spacing w:line="360" w:lineRule="auto"/>
        <w:rPr>
          <w:rFonts w:hint="eastAsia" w:ascii="宋体" w:hAnsi="宋体" w:eastAsia="宋体"/>
          <w:strike/>
          <w:dstrike w:val="0"/>
          <w:color w:val="auto"/>
          <w:sz w:val="21"/>
          <w:szCs w:val="21"/>
          <w:highlight w:val="none"/>
        </w:rPr>
      </w:pPr>
      <w:r>
        <w:rPr>
          <w:rFonts w:hint="eastAsia" w:ascii="宋体" w:hAnsi="宋体" w:eastAsia="宋体"/>
          <w:color w:val="auto"/>
          <w:sz w:val="21"/>
          <w:szCs w:val="21"/>
          <w:highlight w:val="none"/>
        </w:rPr>
        <w:t xml:space="preserve">   </w:t>
      </w:r>
      <w:r>
        <w:rPr>
          <w:rFonts w:hint="eastAsia" w:ascii="宋体" w:hAnsi="宋体" w:eastAsia="宋体"/>
          <w:strike/>
          <w:dstrike w:val="0"/>
          <w:color w:val="auto"/>
          <w:sz w:val="21"/>
          <w:szCs w:val="21"/>
          <w:highlight w:val="none"/>
        </w:rPr>
        <w:t xml:space="preserve"> 41.2采用评定分离的，评标委员会推荐中标候选人</w:t>
      </w:r>
      <w:r>
        <w:rPr>
          <w:rFonts w:hint="eastAsia" w:ascii="宋体" w:hAnsi="宋体" w:eastAsia="宋体"/>
          <w:strike/>
          <w:dstrike w:val="0"/>
          <w:color w:val="auto"/>
          <w:sz w:val="21"/>
          <w:szCs w:val="21"/>
          <w:highlight w:val="none"/>
          <w:u w:val="single"/>
        </w:rPr>
        <w:t xml:space="preserve">   </w:t>
      </w:r>
      <w:r>
        <w:rPr>
          <w:rFonts w:hint="eastAsia" w:ascii="宋体" w:hAnsi="宋体" w:eastAsia="宋体"/>
          <w:strike/>
          <w:dstrike w:val="0"/>
          <w:color w:val="auto"/>
          <w:sz w:val="21"/>
          <w:szCs w:val="21"/>
          <w:highlight w:val="none"/>
        </w:rPr>
        <w:t>名（3-5名）。</w:t>
      </w:r>
    </w:p>
    <w:p>
      <w:pPr>
        <w:pBdr>
          <w:bottom w:val="single" w:color="auto" w:sz="6" w:space="1"/>
        </w:pBdr>
        <w:spacing w:line="360" w:lineRule="auto"/>
        <w:ind w:firstLine="420" w:firstLineChars="200"/>
        <w:rPr>
          <w:rFonts w:hint="eastAsia" w:ascii="宋体" w:hAnsi="宋体" w:eastAsia="宋体"/>
          <w:strike/>
          <w:dstrike w:val="0"/>
          <w:color w:val="auto"/>
          <w:sz w:val="21"/>
          <w:szCs w:val="21"/>
          <w:highlight w:val="none"/>
          <w:lang w:eastAsia="zh-CN"/>
        </w:rPr>
      </w:pPr>
      <w:r>
        <w:rPr>
          <w:rFonts w:hint="eastAsia" w:ascii="宋体" w:hAnsi="宋体" w:eastAsia="宋体"/>
          <w:strike/>
          <w:dstrike w:val="0"/>
          <w:color w:val="auto"/>
          <w:sz w:val="21"/>
          <w:szCs w:val="21"/>
          <w:highlight w:val="none"/>
        </w:rPr>
        <w:t>评标委员会向招标人推荐不排序的中标候选人。定标委员会在中标候选人中按照定标办法（详见附件一）确定中标人</w:t>
      </w:r>
      <w:r>
        <w:rPr>
          <w:rFonts w:hint="eastAsia" w:ascii="宋体" w:hAnsi="宋体" w:eastAsia="宋体"/>
          <w:strike/>
          <w:dstrike w:val="0"/>
          <w:color w:val="auto"/>
          <w:sz w:val="21"/>
          <w:szCs w:val="21"/>
          <w:highlight w:val="none"/>
          <w:lang w:eastAsia="zh-CN"/>
        </w:rPr>
        <w:t>。</w:t>
      </w:r>
    </w:p>
    <w:p>
      <w:pPr>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条款号：41.4             修改类型：修改</w:t>
      </w:r>
    </w:p>
    <w:p>
      <w:pPr>
        <w:pBdr>
          <w:bottom w:val="single" w:color="auto" w:sz="6" w:space="1"/>
        </w:pBdr>
        <w:spacing w:line="360" w:lineRule="auto"/>
        <w:ind w:firstLine="422" w:firstLineChars="200"/>
        <w:rPr>
          <w:rFonts w:hint="eastAsia" w:ascii="宋体" w:hAnsi="宋体" w:eastAsia="宋体"/>
          <w:b w:val="0"/>
          <w:bCs/>
          <w:color w:val="auto"/>
          <w:sz w:val="21"/>
          <w:szCs w:val="21"/>
          <w:highlight w:val="none"/>
          <w:lang w:eastAsia="zh-CN"/>
        </w:rPr>
      </w:pPr>
      <w:r>
        <w:rPr>
          <w:rFonts w:hint="eastAsia" w:ascii="宋体" w:hAnsi="宋体" w:eastAsia="宋体"/>
          <w:b/>
          <w:bCs w:val="0"/>
          <w:color w:val="auto"/>
          <w:sz w:val="21"/>
          <w:szCs w:val="21"/>
          <w:highlight w:val="none"/>
        </w:rPr>
        <w:t>原文：</w:t>
      </w:r>
      <w:r>
        <w:rPr>
          <w:rFonts w:hint="eastAsia" w:ascii="宋体" w:hAnsi="宋体" w:eastAsia="宋体"/>
          <w:b w:val="0"/>
          <w:bCs/>
          <w:color w:val="auto"/>
          <w:sz w:val="21"/>
          <w:szCs w:val="21"/>
          <w:highlight w:val="none"/>
        </w:rPr>
        <w:t>41.4招标人应当自确定中标人之日起十五日内，向招标管理机构提交招标投标情况的书面报告。采用评定分离的，招标人应当提交定标报告。定标报告应包括定标委员会的产生过程、定标委员会成员名单、定标程序、定标会议过程及定标结果等内容</w:t>
      </w:r>
      <w:r>
        <w:rPr>
          <w:rFonts w:hint="eastAsia" w:ascii="宋体" w:hAnsi="宋体" w:eastAsia="宋体"/>
          <w:b w:val="0"/>
          <w:bCs/>
          <w:color w:val="auto"/>
          <w:sz w:val="21"/>
          <w:szCs w:val="21"/>
          <w:highlight w:val="none"/>
          <w:lang w:eastAsia="zh-CN"/>
        </w:rPr>
        <w:t>。</w:t>
      </w:r>
    </w:p>
    <w:p>
      <w:pPr>
        <w:pBdr>
          <w:bottom w:val="single" w:color="auto" w:sz="6" w:space="1"/>
        </w:pBdr>
        <w:spacing w:line="360" w:lineRule="auto"/>
        <w:ind w:firstLine="422" w:firstLineChars="200"/>
        <w:rPr>
          <w:rFonts w:hint="eastAsia" w:ascii="宋体" w:hAnsi="宋体" w:eastAsia="宋体"/>
          <w:strike/>
          <w:dstrike w:val="0"/>
          <w:color w:val="auto"/>
          <w:sz w:val="21"/>
          <w:szCs w:val="21"/>
          <w:highlight w:val="none"/>
          <w:lang w:eastAsia="zh-CN"/>
        </w:rPr>
      </w:pPr>
      <w:r>
        <w:rPr>
          <w:rFonts w:hint="eastAsia" w:ascii="宋体" w:hAnsi="宋体" w:eastAsia="宋体"/>
          <w:b/>
          <w:bCs w:val="0"/>
          <w:color w:val="auto"/>
          <w:sz w:val="21"/>
          <w:szCs w:val="21"/>
          <w:highlight w:val="none"/>
        </w:rPr>
        <w:t>现文：</w:t>
      </w:r>
      <w:r>
        <w:rPr>
          <w:rFonts w:hint="eastAsia" w:ascii="宋体" w:hAnsi="宋体" w:eastAsia="宋体"/>
          <w:b w:val="0"/>
          <w:bCs/>
          <w:color w:val="auto"/>
          <w:sz w:val="21"/>
          <w:szCs w:val="21"/>
          <w:highlight w:val="none"/>
        </w:rPr>
        <w:t>41.4招标人应当自确定中标人之日起十五日内，向招标管理机构提交招标投标情况的书面报告</w:t>
      </w:r>
      <w:r>
        <w:rPr>
          <w:rFonts w:hint="eastAsia" w:ascii="宋体" w:hAnsi="宋体" w:eastAsia="宋体"/>
          <w:b w:val="0"/>
          <w:bCs/>
          <w:strike w:val="0"/>
          <w:dstrike w:val="0"/>
          <w:color w:val="auto"/>
          <w:sz w:val="21"/>
          <w:szCs w:val="21"/>
          <w:highlight w:val="none"/>
          <w:lang w:eastAsia="zh-CN"/>
        </w:rPr>
        <w:t>。</w:t>
      </w:r>
    </w:p>
    <w:p>
      <w:pPr>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color w:val="auto"/>
          <w:kern w:val="44"/>
          <w:sz w:val="21"/>
          <w:szCs w:val="21"/>
          <w:highlight w:val="none"/>
        </w:rPr>
        <w:t>4</w:t>
      </w:r>
      <w:r>
        <w:rPr>
          <w:rFonts w:hint="eastAsia" w:ascii="宋体" w:hAnsi="宋体" w:eastAsia="宋体"/>
          <w:color w:val="auto"/>
          <w:kern w:val="44"/>
          <w:sz w:val="21"/>
          <w:szCs w:val="21"/>
          <w:highlight w:val="none"/>
          <w:lang w:val="en-US" w:eastAsia="zh-CN"/>
        </w:rPr>
        <w:t>3</w:t>
      </w:r>
      <w:r>
        <w:rPr>
          <w:rFonts w:hint="eastAsia" w:ascii="宋体" w:hAnsi="宋体" w:eastAsia="宋体"/>
          <w:color w:val="auto"/>
          <w:kern w:val="44"/>
          <w:sz w:val="21"/>
          <w:szCs w:val="21"/>
          <w:highlight w:val="none"/>
        </w:rPr>
        <w:t>.</w:t>
      </w:r>
      <w:r>
        <w:rPr>
          <w:rFonts w:hint="eastAsia" w:ascii="宋体" w:hAnsi="宋体" w:eastAsia="宋体"/>
          <w:color w:val="auto"/>
          <w:kern w:val="44"/>
          <w:sz w:val="21"/>
          <w:szCs w:val="21"/>
          <w:highlight w:val="none"/>
          <w:lang w:val="en-US" w:eastAsia="zh-CN"/>
        </w:rPr>
        <w:t>2</w:t>
      </w:r>
      <w:r>
        <w:rPr>
          <w:rFonts w:hint="eastAsia" w:ascii="宋体" w:hAnsi="宋体" w:eastAsia="宋体"/>
          <w:b/>
          <w:color w:val="auto"/>
          <w:sz w:val="21"/>
          <w:szCs w:val="21"/>
          <w:highlight w:val="none"/>
        </w:rPr>
        <w:t xml:space="preserve">             修改类型：修改</w:t>
      </w:r>
    </w:p>
    <w:p>
      <w:pPr>
        <w:pStyle w:val="9"/>
        <w:spacing w:after="0" w:line="360" w:lineRule="auto"/>
        <w:ind w:firstLine="460" w:firstLineChars="218"/>
        <w:rPr>
          <w:rFonts w:hint="eastAsia" w:ascii="宋体" w:hAnsi="宋体" w:eastAsia="宋体" w:cs="Times New Roman"/>
          <w:color w:val="auto"/>
          <w:sz w:val="21"/>
          <w:szCs w:val="21"/>
          <w:highlight w:val="none"/>
        </w:rPr>
      </w:pPr>
      <w:r>
        <w:rPr>
          <w:rFonts w:hint="eastAsia" w:ascii="宋体" w:hAnsi="宋体" w:eastAsia="宋体" w:cs="Times New Roman"/>
          <w:b/>
          <w:color w:val="auto"/>
          <w:kern w:val="2"/>
          <w:sz w:val="21"/>
          <w:szCs w:val="21"/>
          <w:highlight w:val="none"/>
          <w:lang w:val="en-US" w:eastAsia="zh-CN" w:bidi="ar-SA"/>
        </w:rPr>
        <w:t>原文：</w:t>
      </w:r>
      <w:r>
        <w:rPr>
          <w:rFonts w:hint="eastAsia" w:ascii="宋体" w:hAnsi="宋体" w:eastAsia="宋体" w:cs="Times New Roman"/>
          <w:b w:val="0"/>
          <w:bCs/>
          <w:color w:val="auto"/>
          <w:kern w:val="2"/>
          <w:sz w:val="21"/>
          <w:szCs w:val="21"/>
          <w:highlight w:val="none"/>
          <w:lang w:val="en-US" w:eastAsia="zh-CN" w:bidi="ar-SA"/>
        </w:rPr>
        <w:t>4</w:t>
      </w:r>
      <w:r>
        <w:rPr>
          <w:rFonts w:hint="eastAsia" w:ascii="宋体" w:hAnsi="宋体" w:eastAsia="宋体" w:cs="Times New Roman"/>
          <w:b w:val="0"/>
          <w:bCs/>
          <w:color w:val="auto"/>
          <w:sz w:val="21"/>
          <w:szCs w:val="21"/>
          <w:highlight w:val="none"/>
        </w:rPr>
        <w:t>3.2</w:t>
      </w:r>
      <w:r>
        <w:rPr>
          <w:rFonts w:hint="eastAsia" w:ascii="宋体" w:hAnsi="宋体" w:eastAsia="宋体" w:cs="Times New Roman"/>
          <w:color w:val="auto"/>
          <w:sz w:val="21"/>
          <w:szCs w:val="21"/>
          <w:highlight w:val="none"/>
        </w:rPr>
        <w:t>由招标人或其推选的代表检查投标文件的投标人解密情况，也可以由招标人委托的公证机构检查并公证，之后由招标人对全部投标文件进行解密。</w:t>
      </w:r>
    </w:p>
    <w:p>
      <w:pPr>
        <w:pStyle w:val="9"/>
        <w:pBdr>
          <w:bottom w:val="single" w:color="auto" w:sz="4" w:space="0"/>
        </w:pBdr>
        <w:spacing w:after="0" w:line="360" w:lineRule="auto"/>
        <w:ind w:firstLine="460" w:firstLineChars="218"/>
        <w:rPr>
          <w:rFonts w:hint="eastAsia" w:ascii="宋体" w:hAnsi="宋体" w:eastAsia="宋体" w:cs="Times New Roman"/>
          <w:color w:val="auto"/>
          <w:sz w:val="21"/>
          <w:szCs w:val="21"/>
          <w:highlight w:val="none"/>
        </w:rPr>
      </w:pPr>
      <w:r>
        <w:rPr>
          <w:rFonts w:hint="eastAsia" w:ascii="宋体" w:hAnsi="宋体" w:eastAsia="宋体"/>
          <w:b/>
          <w:color w:val="auto"/>
          <w:sz w:val="21"/>
          <w:szCs w:val="21"/>
          <w:highlight w:val="none"/>
          <w:lang w:val="en-US" w:eastAsia="zh-CN"/>
        </w:rPr>
        <w:t>现文：</w:t>
      </w:r>
      <w:r>
        <w:rPr>
          <w:rFonts w:hint="eastAsia" w:ascii="宋体" w:hAnsi="宋体" w:eastAsia="宋体" w:cs="Times New Roman"/>
          <w:b w:val="0"/>
          <w:bCs/>
          <w:color w:val="auto"/>
          <w:kern w:val="2"/>
          <w:sz w:val="21"/>
          <w:szCs w:val="21"/>
          <w:highlight w:val="none"/>
          <w:lang w:val="en-US" w:eastAsia="zh-CN" w:bidi="ar-SA"/>
        </w:rPr>
        <w:t>4</w:t>
      </w:r>
      <w:r>
        <w:rPr>
          <w:rFonts w:hint="eastAsia" w:ascii="宋体" w:hAnsi="宋体" w:eastAsia="宋体" w:cs="Times New Roman"/>
          <w:b w:val="0"/>
          <w:bCs/>
          <w:color w:val="auto"/>
          <w:sz w:val="21"/>
          <w:szCs w:val="21"/>
          <w:highlight w:val="none"/>
        </w:rPr>
        <w:t>3.2</w:t>
      </w:r>
      <w:r>
        <w:rPr>
          <w:rFonts w:hint="eastAsia" w:ascii="宋体" w:hAnsi="宋体" w:eastAsia="宋体" w:cs="Times New Roman"/>
          <w:color w:val="auto"/>
          <w:sz w:val="21"/>
          <w:szCs w:val="21"/>
          <w:highlight w:val="none"/>
        </w:rPr>
        <w:t>由招标人或其推选的代表检查投标文件的投标人解密情况，也可以由招标人委托的公证机构检查并公证，之后由招标人</w:t>
      </w:r>
      <w:r>
        <w:rPr>
          <w:rFonts w:hint="eastAsia" w:ascii="宋体" w:hAnsi="宋体" w:eastAsia="宋体" w:cs="Times New Roman"/>
          <w:color w:val="auto"/>
          <w:sz w:val="21"/>
          <w:szCs w:val="21"/>
          <w:highlight w:val="none"/>
          <w:lang w:val="en-US" w:eastAsia="zh-CN"/>
        </w:rPr>
        <w:t>或</w:t>
      </w:r>
      <w:r>
        <w:rPr>
          <w:rFonts w:hint="eastAsia" w:ascii="宋体" w:hAnsi="宋体" w:eastAsia="宋体" w:cs="Times New Roman"/>
          <w:color w:val="auto"/>
          <w:sz w:val="21"/>
          <w:szCs w:val="21"/>
          <w:highlight w:val="none"/>
          <w:u w:val="single"/>
          <w:lang w:val="en-US" w:eastAsia="zh-CN"/>
        </w:rPr>
        <w:t>招标代理</w:t>
      </w:r>
      <w:r>
        <w:rPr>
          <w:rFonts w:hint="eastAsia" w:ascii="宋体" w:hAnsi="宋体" w:eastAsia="宋体" w:cs="Times New Roman"/>
          <w:color w:val="auto"/>
          <w:sz w:val="21"/>
          <w:szCs w:val="21"/>
          <w:highlight w:val="none"/>
        </w:rPr>
        <w:t>对全部投标文件进行解密。</w:t>
      </w:r>
    </w:p>
    <w:p>
      <w:pPr>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color w:val="auto"/>
          <w:kern w:val="44"/>
          <w:sz w:val="21"/>
          <w:szCs w:val="21"/>
          <w:highlight w:val="none"/>
        </w:rPr>
        <w:t>43.4</w:t>
      </w:r>
      <w:r>
        <w:rPr>
          <w:rFonts w:hint="eastAsia" w:ascii="宋体" w:hAnsi="宋体" w:eastAsia="宋体"/>
          <w:b/>
          <w:color w:val="auto"/>
          <w:sz w:val="21"/>
          <w:szCs w:val="21"/>
          <w:highlight w:val="none"/>
        </w:rPr>
        <w:t xml:space="preserve">             修改类型：修改</w:t>
      </w:r>
    </w:p>
    <w:p>
      <w:pPr>
        <w:pStyle w:val="9"/>
        <w:spacing w:after="0" w:line="360" w:lineRule="auto"/>
        <w:ind w:firstLine="460" w:firstLineChars="218"/>
        <w:rPr>
          <w:rFonts w:ascii="宋体" w:hAnsi="宋体" w:eastAsia="宋体"/>
          <w:b/>
          <w:color w:val="auto"/>
          <w:sz w:val="21"/>
          <w:szCs w:val="21"/>
          <w:highlight w:val="none"/>
        </w:rPr>
      </w:pPr>
      <w:r>
        <w:rPr>
          <w:rFonts w:hint="eastAsia" w:ascii="宋体" w:hAnsi="宋体" w:eastAsia="宋体"/>
          <w:b/>
          <w:color w:val="auto"/>
          <w:sz w:val="21"/>
          <w:szCs w:val="21"/>
          <w:highlight w:val="none"/>
        </w:rPr>
        <w:t>原文：</w:t>
      </w:r>
      <w:r>
        <w:rPr>
          <w:rFonts w:hint="eastAsia" w:ascii="宋体" w:hAnsi="宋体" w:eastAsia="宋体"/>
          <w:color w:val="auto"/>
          <w:kern w:val="44"/>
          <w:sz w:val="21"/>
          <w:szCs w:val="21"/>
          <w:highlight w:val="none"/>
        </w:rPr>
        <w:t>43.4</w:t>
      </w:r>
      <w:r>
        <w:rPr>
          <w:rFonts w:hint="eastAsia" w:ascii="宋体" w:hAnsi="宋体" w:eastAsia="宋体"/>
          <w:color w:val="auto"/>
          <w:sz w:val="21"/>
          <w:szCs w:val="21"/>
          <w:highlight w:val="none"/>
        </w:rPr>
        <w:t>开标前，首先由招标人或招标代理机构按42.3规定,现场随机抽取确定该工程计算评标参考价的下浮率X。招标人或招标代理机构在开标时，公布以下所有内容：a、投标人名称；b、电子投标文件解密情况；c、电子投标文件的递交情况；d、法定代表人证明及授权委托；e、投标保证金；f、投标报价；g、人工费；h、绿色施工安全防护措施费；i、工期；j、质量标准；k、施工组织设计承诺书。</w:t>
      </w:r>
    </w:p>
    <w:p>
      <w:pPr>
        <w:pStyle w:val="9"/>
        <w:pBdr>
          <w:bottom w:val="single" w:color="auto" w:sz="4" w:space="0"/>
        </w:pBdr>
        <w:spacing w:after="0" w:line="360" w:lineRule="auto"/>
        <w:ind w:firstLine="460" w:firstLineChars="218"/>
        <w:rPr>
          <w:rFonts w:hint="eastAsia" w:ascii="宋体" w:hAnsi="宋体" w:eastAsia="宋体"/>
          <w:color w:val="auto"/>
          <w:sz w:val="21"/>
          <w:szCs w:val="21"/>
          <w:highlight w:val="none"/>
          <w:u w:val="single"/>
        </w:rPr>
      </w:pPr>
      <w:r>
        <w:rPr>
          <w:rFonts w:hint="eastAsia" w:ascii="宋体" w:hAnsi="宋体" w:eastAsia="宋体"/>
          <w:b/>
          <w:color w:val="auto"/>
          <w:sz w:val="21"/>
          <w:szCs w:val="21"/>
          <w:highlight w:val="none"/>
        </w:rPr>
        <w:t>现文：</w:t>
      </w:r>
      <w:r>
        <w:rPr>
          <w:rFonts w:hint="eastAsia" w:ascii="宋体" w:hAnsi="宋体" w:eastAsia="宋体"/>
          <w:color w:val="auto"/>
          <w:kern w:val="44"/>
          <w:sz w:val="21"/>
          <w:szCs w:val="21"/>
          <w:highlight w:val="none"/>
        </w:rPr>
        <w:t>43.4</w:t>
      </w:r>
      <w:r>
        <w:rPr>
          <w:rFonts w:hint="eastAsia" w:ascii="宋体" w:hAnsi="宋体" w:eastAsia="宋体"/>
          <w:color w:val="auto"/>
          <w:sz w:val="21"/>
          <w:szCs w:val="21"/>
          <w:highlight w:val="none"/>
        </w:rPr>
        <w:t>开标前，首先由招标人或招标代理机构按42.3规定,现场随机抽取确定该工程计算评标参考价的下浮率X。招标人或招标代理机构在开标时，公布以下所有内容：a、投标人名称；b、电子投标文件解密情况；c、电子投标文件的递交情况；d、法定代表人证明及授权委托；e、投标保证金；f、投标报价；g、人工费；h、绿色施工安全防护措施费；i、工期；j、质量标准；k、施工组织设计承诺书</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u w:val="single"/>
          <w:lang w:val="en-US" w:eastAsia="zh-CN"/>
        </w:rPr>
        <w:t>l</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u w:val="single"/>
          <w:lang w:eastAsia="zh-CN"/>
        </w:rPr>
        <w:t>项目负责人</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u w:val="single"/>
          <w:lang w:val="en-US" w:eastAsia="zh-CN"/>
        </w:rPr>
        <w:t>m</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u w:val="single"/>
          <w:lang w:eastAsia="zh-CN"/>
        </w:rPr>
        <w:t>专职安全员</w:t>
      </w:r>
      <w:r>
        <w:rPr>
          <w:rFonts w:hint="eastAsia" w:ascii="宋体" w:hAnsi="宋体" w:eastAsia="宋体"/>
          <w:color w:val="auto"/>
          <w:sz w:val="21"/>
          <w:szCs w:val="21"/>
          <w:highlight w:val="none"/>
          <w:u w:val="single"/>
        </w:rPr>
        <w:t>；</w:t>
      </w:r>
    </w:p>
    <w:p>
      <w:pPr>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条款号：</w:t>
      </w:r>
      <w:r>
        <w:rPr>
          <w:rFonts w:hint="eastAsia" w:ascii="宋体" w:hAnsi="宋体" w:eastAsia="宋体"/>
          <w:b/>
          <w:color w:val="auto"/>
          <w:sz w:val="21"/>
          <w:szCs w:val="21"/>
          <w:highlight w:val="none"/>
          <w:lang w:val="en-US" w:eastAsia="zh-CN"/>
        </w:rPr>
        <w:t>45.2</w:t>
      </w:r>
      <w:r>
        <w:rPr>
          <w:rFonts w:hint="eastAsia" w:ascii="宋体" w:hAnsi="宋体" w:eastAsia="宋体"/>
          <w:b/>
          <w:color w:val="auto"/>
          <w:sz w:val="21"/>
          <w:szCs w:val="21"/>
          <w:highlight w:val="none"/>
        </w:rPr>
        <w:t xml:space="preserve">             修改类型：修改</w:t>
      </w:r>
    </w:p>
    <w:p>
      <w:pPr>
        <w:pBdr>
          <w:bottom w:val="single" w:color="auto" w:sz="6" w:space="1"/>
        </w:pBdr>
        <w:spacing w:line="360" w:lineRule="auto"/>
        <w:ind w:firstLine="422" w:firstLineChars="200"/>
        <w:rPr>
          <w:rFonts w:hint="eastAsia" w:ascii="宋体" w:hAnsi="宋体" w:eastAsia="宋体" w:cs="Times New Roman"/>
          <w:color w:val="auto"/>
          <w:sz w:val="21"/>
          <w:szCs w:val="21"/>
          <w:highlight w:val="none"/>
          <w:u w:val="none"/>
          <w:lang w:eastAsia="zh-CN"/>
        </w:rPr>
      </w:pPr>
      <w:r>
        <w:rPr>
          <w:rFonts w:hint="eastAsia" w:ascii="宋体" w:hAnsi="宋体" w:eastAsia="宋体" w:cs="Times New Roman"/>
          <w:b/>
          <w:bCs/>
          <w:color w:val="auto"/>
          <w:sz w:val="21"/>
          <w:szCs w:val="21"/>
          <w:highlight w:val="none"/>
          <w:u w:val="none"/>
          <w:lang w:eastAsia="zh-CN"/>
        </w:rPr>
        <w:t>原文：</w:t>
      </w:r>
      <w:r>
        <w:rPr>
          <w:rFonts w:hint="eastAsia" w:ascii="宋体" w:hAnsi="宋体" w:eastAsia="宋体" w:cs="Times New Roman"/>
          <w:color w:val="auto"/>
          <w:sz w:val="21"/>
          <w:szCs w:val="21"/>
          <w:highlight w:val="none"/>
          <w:u w:val="none"/>
          <w:lang w:eastAsia="zh-CN"/>
        </w:rPr>
        <w:t>45.2《资格审查表》中序号2-5项（除广东省建筑施工企业管理人员安全生产考核信息系统安全生产管理人员证书信息的打印页、《信息公开证明》打印页外）评审内容的信息取自投标人在广州公共资源交易中心企业库、广州公共资源交易中心城市园林绿化企业工程业绩库中的资料。评标委员会对该部分内容的审查，以开标当天中午12时在广州公共资源交易中心企业库、广州公共资源交易中心城市园林绿化企业工程业绩库中的资料为依据。</w:t>
      </w:r>
    </w:p>
    <w:p>
      <w:pPr>
        <w:pBdr>
          <w:bottom w:val="single" w:color="auto" w:sz="6" w:space="1"/>
        </w:pBdr>
        <w:spacing w:line="360" w:lineRule="auto"/>
        <w:ind w:firstLine="422" w:firstLineChars="200"/>
        <w:rPr>
          <w:rFonts w:hint="eastAsia" w:ascii="宋体" w:hAnsi="宋体" w:eastAsia="宋体" w:cs="Times New Roman"/>
          <w:color w:val="auto"/>
          <w:sz w:val="21"/>
          <w:szCs w:val="21"/>
          <w:highlight w:val="none"/>
        </w:rPr>
      </w:pPr>
      <w:r>
        <w:rPr>
          <w:rFonts w:hint="eastAsia" w:ascii="宋体" w:hAnsi="宋体" w:eastAsia="宋体"/>
          <w:b/>
          <w:color w:val="auto"/>
          <w:sz w:val="21"/>
          <w:szCs w:val="21"/>
          <w:highlight w:val="none"/>
        </w:rPr>
        <w:t>现文：</w:t>
      </w:r>
      <w:r>
        <w:rPr>
          <w:rFonts w:hint="eastAsia" w:ascii="宋体" w:hAnsi="宋体" w:eastAsia="宋体" w:cs="Times New Roman"/>
          <w:color w:val="auto"/>
          <w:sz w:val="21"/>
          <w:szCs w:val="21"/>
          <w:highlight w:val="none"/>
          <w:u w:val="none"/>
          <w:lang w:eastAsia="zh-CN"/>
        </w:rPr>
        <w:t>45.2《资格审查表》中序号</w:t>
      </w:r>
      <w:r>
        <w:rPr>
          <w:rFonts w:hint="eastAsia" w:ascii="宋体" w:hAnsi="宋体" w:eastAsia="宋体" w:cs="Times New Roman"/>
          <w:color w:val="auto"/>
          <w:sz w:val="21"/>
          <w:szCs w:val="21"/>
          <w:highlight w:val="none"/>
          <w:u w:val="single"/>
          <w:lang w:eastAsia="zh-CN"/>
        </w:rPr>
        <w:t>2、4、5</w:t>
      </w:r>
      <w:r>
        <w:rPr>
          <w:rFonts w:hint="eastAsia" w:ascii="宋体" w:hAnsi="宋体" w:eastAsia="宋体" w:cs="Times New Roman"/>
          <w:color w:val="auto"/>
          <w:sz w:val="21"/>
          <w:szCs w:val="21"/>
          <w:highlight w:val="none"/>
          <w:u w:val="none"/>
          <w:lang w:eastAsia="zh-CN"/>
        </w:rPr>
        <w:t>项（除广东省建筑施工企业管理人员安全生产考核信息系统安全生产管理人员证书信息的打印页、《信息公开证明》打印页外）评审内容的信息取自投标人在广州公共资源交易中心企业库、广州公共资源交易中心城市园林绿化企业工程业绩库中的资料。评标委员会对该部分内容的审查，以</w:t>
      </w:r>
      <w:r>
        <w:rPr>
          <w:rFonts w:hint="eastAsia" w:ascii="宋体" w:hAnsi="宋体" w:eastAsia="宋体" w:cs="Times New Roman"/>
          <w:color w:val="auto"/>
          <w:sz w:val="21"/>
          <w:szCs w:val="21"/>
          <w:highlight w:val="none"/>
          <w:u w:val="single"/>
          <w:lang w:eastAsia="zh-CN"/>
        </w:rPr>
        <w:t>递交投标文件截止时</w:t>
      </w:r>
      <w:r>
        <w:rPr>
          <w:rFonts w:hint="eastAsia" w:ascii="宋体" w:hAnsi="宋体" w:eastAsia="宋体" w:cs="Times New Roman"/>
          <w:color w:val="auto"/>
          <w:sz w:val="21"/>
          <w:szCs w:val="21"/>
          <w:highlight w:val="none"/>
          <w:u w:val="none"/>
          <w:lang w:eastAsia="zh-CN"/>
        </w:rPr>
        <w:t>在广州公共资源交易中心企业库、广州公共资源交易中心城市</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46.7.1</w:t>
      </w:r>
      <w:r>
        <w:rPr>
          <w:rFonts w:hint="eastAsia" w:ascii="宋体" w:hAnsi="宋体" w:eastAsia="宋体" w:cs="宋体"/>
          <w:b/>
          <w:color w:val="auto"/>
          <w:sz w:val="21"/>
          <w:szCs w:val="21"/>
          <w:highlight w:val="none"/>
        </w:rPr>
        <w:t xml:space="preserve">             修改类型：修改</w:t>
      </w:r>
    </w:p>
    <w:p>
      <w:pPr>
        <w:pBdr>
          <w:bottom w:val="single" w:color="auto" w:sz="6" w:space="1"/>
        </w:pBdr>
        <w:spacing w:line="360" w:lineRule="auto"/>
        <w:ind w:firstLine="422"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bCs w:val="0"/>
          <w:color w:val="auto"/>
          <w:sz w:val="21"/>
          <w:szCs w:val="21"/>
          <w:highlight w:val="none"/>
        </w:rPr>
        <w:t>原文：</w:t>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lang w:val="en-US" w:eastAsia="zh-CN"/>
        </w:rPr>
        <w:t>7.1</w:t>
      </w:r>
      <w:r>
        <w:rPr>
          <w:rFonts w:hint="eastAsia" w:ascii="宋体" w:hAnsi="宋体" w:eastAsia="宋体" w:cs="宋体"/>
          <w:color w:val="auto"/>
          <w:sz w:val="21"/>
          <w:szCs w:val="21"/>
          <w:highlight w:val="none"/>
        </w:rPr>
        <w:t>权重分配：</w:t>
      </w:r>
      <w:r>
        <w:rPr>
          <w:rFonts w:hint="eastAsia" w:ascii="宋体" w:hAnsi="宋体" w:eastAsia="宋体" w:cs="宋体"/>
          <w:color w:val="auto"/>
          <w:sz w:val="21"/>
          <w:szCs w:val="21"/>
          <w:highlight w:val="none"/>
          <w:lang w:eastAsia="zh-CN"/>
        </w:rPr>
        <w:t>技术部分（施工组织方案）</w:t>
      </w:r>
      <w:r>
        <w:rPr>
          <w:rFonts w:hint="eastAsia" w:ascii="宋体" w:hAnsi="宋体" w:eastAsia="宋体" w:cs="宋体"/>
          <w:color w:val="auto"/>
          <w:sz w:val="21"/>
          <w:szCs w:val="21"/>
          <w:highlight w:val="none"/>
        </w:rPr>
        <w:t>得分权重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技术部分（项目实施能力）</w:t>
      </w:r>
      <w:r>
        <w:rPr>
          <w:rFonts w:hint="eastAsia" w:ascii="宋体" w:hAnsi="宋体" w:eastAsia="宋体" w:cs="宋体"/>
          <w:color w:val="auto"/>
          <w:sz w:val="21"/>
          <w:szCs w:val="21"/>
          <w:highlight w:val="none"/>
        </w:rPr>
        <w:t>得分权重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%，报价得分权重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%，诚信综合评价得分权重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pBdr>
          <w:bottom w:val="single" w:color="auto" w:sz="6" w:space="1"/>
        </w:pBdr>
        <w:spacing w:line="360" w:lineRule="auto"/>
        <w:ind w:firstLine="422" w:firstLineChars="200"/>
        <w:rPr>
          <w:rFonts w:hint="eastAsia" w:ascii="宋体" w:hAnsi="宋体" w:eastAsia="宋体" w:cs="宋体"/>
          <w:strike/>
          <w:dstrike w:val="0"/>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46.7.1权重分配：</w:t>
      </w:r>
      <w:r>
        <w:rPr>
          <w:rFonts w:hint="eastAsia" w:ascii="宋体" w:hAnsi="宋体" w:eastAsia="宋体" w:cs="宋体"/>
          <w:color w:val="auto"/>
          <w:kern w:val="0"/>
          <w:sz w:val="21"/>
          <w:szCs w:val="21"/>
          <w:highlight w:val="none"/>
        </w:rPr>
        <w:t>技术部分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施工组织方案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得分权重</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rPr>
        <w:t>%，技术部分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项目实施能力</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得分权重</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rPr>
        <w:t>%，报价得分权重</w:t>
      </w:r>
      <w:r>
        <w:rPr>
          <w:rFonts w:hint="eastAsia" w:ascii="宋体" w:hAnsi="宋体" w:eastAsia="宋体" w:cs="宋体"/>
          <w:color w:val="auto"/>
          <w:kern w:val="0"/>
          <w:sz w:val="21"/>
          <w:szCs w:val="21"/>
          <w:highlight w:val="none"/>
          <w:u w:val="single"/>
          <w:lang w:val="en-US" w:eastAsia="zh-CN"/>
        </w:rPr>
        <w:t>80</w:t>
      </w:r>
      <w:r>
        <w:rPr>
          <w:rFonts w:hint="eastAsia" w:ascii="宋体" w:hAnsi="宋体" w:eastAsia="宋体" w:cs="宋体"/>
          <w:color w:val="auto"/>
          <w:kern w:val="0"/>
          <w:sz w:val="21"/>
          <w:szCs w:val="21"/>
          <w:highlight w:val="none"/>
        </w:rPr>
        <w:t>%，诚信综合评价得分权重</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rPr>
        <w:t>%。</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46.7.2</w:t>
      </w:r>
      <w:r>
        <w:rPr>
          <w:rFonts w:hint="eastAsia" w:ascii="宋体" w:hAnsi="宋体" w:eastAsia="宋体" w:cs="宋体"/>
          <w:b/>
          <w:color w:val="auto"/>
          <w:sz w:val="21"/>
          <w:szCs w:val="21"/>
          <w:highlight w:val="none"/>
        </w:rPr>
        <w:t xml:space="preserve">             修改类型：修改</w:t>
      </w:r>
    </w:p>
    <w:p>
      <w:pPr>
        <w:spacing w:line="360" w:lineRule="auto"/>
        <w:ind w:firstLine="460" w:firstLineChars="21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46.7.2投标人综合得分=</w:t>
      </w:r>
      <w:r>
        <w:rPr>
          <w:rFonts w:hint="eastAsia" w:ascii="宋体" w:hAnsi="宋体" w:eastAsia="宋体" w:cs="宋体"/>
          <w:color w:val="auto"/>
          <w:sz w:val="21"/>
          <w:szCs w:val="21"/>
          <w:highlight w:val="none"/>
          <w:lang w:eastAsia="zh-CN"/>
        </w:rPr>
        <w:t>技术部分（施工组织方案）</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eastAsia="zh-CN"/>
        </w:rPr>
        <w:t>技术部分（施工组织方案）</w:t>
      </w:r>
      <w:r>
        <w:rPr>
          <w:rFonts w:hint="eastAsia" w:ascii="宋体" w:hAnsi="宋体" w:eastAsia="宋体" w:cs="宋体"/>
          <w:color w:val="auto"/>
          <w:sz w:val="21"/>
          <w:szCs w:val="21"/>
          <w:highlight w:val="none"/>
        </w:rPr>
        <w:t>得分权重+</w:t>
      </w:r>
      <w:r>
        <w:rPr>
          <w:rFonts w:hint="eastAsia" w:ascii="宋体" w:hAnsi="宋体" w:eastAsia="宋体" w:cs="宋体"/>
          <w:color w:val="auto"/>
          <w:sz w:val="21"/>
          <w:szCs w:val="21"/>
          <w:highlight w:val="none"/>
          <w:lang w:eastAsia="zh-CN"/>
        </w:rPr>
        <w:t>技术部分（项目实施能力）</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eastAsia="zh-CN"/>
        </w:rPr>
        <w:t>技术部分（项目实施能力）</w:t>
      </w:r>
      <w:r>
        <w:rPr>
          <w:rFonts w:hint="eastAsia" w:ascii="宋体" w:hAnsi="宋体" w:eastAsia="宋体" w:cs="宋体"/>
          <w:color w:val="auto"/>
          <w:sz w:val="21"/>
          <w:szCs w:val="21"/>
          <w:highlight w:val="none"/>
        </w:rPr>
        <w:t>得分权重+报价得分×报价得分权重+诚信综合评价排名得分×诚信综合评价排名得分权重。投标人综合得分、</w:t>
      </w:r>
      <w:r>
        <w:rPr>
          <w:rFonts w:hint="eastAsia" w:ascii="宋体" w:hAnsi="宋体" w:eastAsia="宋体" w:cs="宋体"/>
          <w:color w:val="auto"/>
          <w:sz w:val="21"/>
          <w:szCs w:val="21"/>
          <w:highlight w:val="none"/>
          <w:lang w:eastAsia="zh-CN"/>
        </w:rPr>
        <w:t>技术部分（施工组织方案）</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eastAsia="zh-CN"/>
        </w:rPr>
        <w:t>技术部分（项目实施能力）</w:t>
      </w:r>
      <w:r>
        <w:rPr>
          <w:rFonts w:hint="eastAsia" w:ascii="宋体" w:hAnsi="宋体" w:eastAsia="宋体" w:cs="宋体"/>
          <w:color w:val="auto"/>
          <w:sz w:val="21"/>
          <w:szCs w:val="21"/>
          <w:highlight w:val="none"/>
        </w:rPr>
        <w:t>得分、报价得分和诚信综合评价排名得分满分为100分。</w:t>
      </w:r>
    </w:p>
    <w:p>
      <w:pPr>
        <w:pBdr>
          <w:bottom w:val="single" w:color="auto" w:sz="6" w:space="1"/>
        </w:pBdr>
        <w:spacing w:line="360" w:lineRule="auto"/>
        <w:ind w:firstLine="422"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46.7.2投标人综合得分=</w:t>
      </w:r>
      <w:r>
        <w:rPr>
          <w:rFonts w:hint="eastAsia" w:ascii="宋体" w:hAnsi="宋体" w:eastAsia="宋体" w:cs="宋体"/>
          <w:color w:val="auto"/>
          <w:sz w:val="21"/>
          <w:szCs w:val="21"/>
          <w:highlight w:val="none"/>
          <w:u w:val="single"/>
          <w:lang w:eastAsia="zh-CN"/>
        </w:rPr>
        <w:t>技术部分（施工组织方案）</w:t>
      </w:r>
      <w:r>
        <w:rPr>
          <w:rFonts w:hint="eastAsia" w:ascii="宋体" w:hAnsi="宋体" w:eastAsia="宋体" w:cs="宋体"/>
          <w:color w:val="auto"/>
          <w:sz w:val="21"/>
          <w:szCs w:val="21"/>
          <w:highlight w:val="none"/>
          <w:u w:val="single"/>
        </w:rPr>
        <w:t>得分×</w:t>
      </w:r>
      <w:r>
        <w:rPr>
          <w:rFonts w:hint="eastAsia" w:ascii="宋体" w:hAnsi="宋体" w:eastAsia="宋体" w:cs="宋体"/>
          <w:color w:val="auto"/>
          <w:sz w:val="21"/>
          <w:szCs w:val="21"/>
          <w:highlight w:val="none"/>
          <w:u w:val="single"/>
          <w:lang w:eastAsia="zh-CN"/>
        </w:rPr>
        <w:t>技术部分（施工组织方案）</w:t>
      </w:r>
      <w:r>
        <w:rPr>
          <w:rFonts w:hint="eastAsia" w:ascii="宋体" w:hAnsi="宋体" w:eastAsia="宋体" w:cs="宋体"/>
          <w:color w:val="auto"/>
          <w:sz w:val="21"/>
          <w:szCs w:val="21"/>
          <w:highlight w:val="none"/>
          <w:u w:val="single"/>
        </w:rPr>
        <w:t>得分权重+</w:t>
      </w:r>
      <w:r>
        <w:rPr>
          <w:rFonts w:hint="eastAsia" w:ascii="宋体" w:hAnsi="宋体" w:eastAsia="宋体" w:cs="宋体"/>
          <w:color w:val="auto"/>
          <w:sz w:val="21"/>
          <w:szCs w:val="21"/>
          <w:highlight w:val="none"/>
          <w:u w:val="single"/>
          <w:lang w:eastAsia="zh-CN"/>
        </w:rPr>
        <w:t>技术部分（项目实施能力）</w:t>
      </w:r>
      <w:r>
        <w:rPr>
          <w:rFonts w:hint="eastAsia" w:ascii="宋体" w:hAnsi="宋体" w:eastAsia="宋体" w:cs="宋体"/>
          <w:color w:val="auto"/>
          <w:sz w:val="21"/>
          <w:szCs w:val="21"/>
          <w:highlight w:val="none"/>
          <w:u w:val="single"/>
        </w:rPr>
        <w:t>得分×</w:t>
      </w:r>
      <w:r>
        <w:rPr>
          <w:rFonts w:hint="eastAsia" w:ascii="宋体" w:hAnsi="宋体" w:eastAsia="宋体" w:cs="宋体"/>
          <w:color w:val="auto"/>
          <w:sz w:val="21"/>
          <w:szCs w:val="21"/>
          <w:highlight w:val="none"/>
          <w:u w:val="single"/>
          <w:lang w:eastAsia="zh-CN"/>
        </w:rPr>
        <w:t>技术部分（项目实施能力）</w:t>
      </w:r>
      <w:r>
        <w:rPr>
          <w:rFonts w:hint="eastAsia" w:ascii="宋体" w:hAnsi="宋体" w:eastAsia="宋体" w:cs="宋体"/>
          <w:color w:val="auto"/>
          <w:sz w:val="21"/>
          <w:szCs w:val="21"/>
          <w:highlight w:val="none"/>
          <w:u w:val="single"/>
        </w:rPr>
        <w:t>得分权重+报价得分×报价得分权重。投标人综合得分、</w:t>
      </w:r>
      <w:r>
        <w:rPr>
          <w:rFonts w:hint="eastAsia" w:ascii="宋体" w:hAnsi="宋体" w:eastAsia="宋体" w:cs="宋体"/>
          <w:color w:val="auto"/>
          <w:sz w:val="21"/>
          <w:szCs w:val="21"/>
          <w:highlight w:val="none"/>
          <w:u w:val="single"/>
          <w:lang w:eastAsia="zh-CN"/>
        </w:rPr>
        <w:t>技术部分（施工组织方案）</w:t>
      </w:r>
      <w:r>
        <w:rPr>
          <w:rFonts w:hint="eastAsia" w:ascii="宋体" w:hAnsi="宋体" w:eastAsia="宋体" w:cs="宋体"/>
          <w:color w:val="auto"/>
          <w:sz w:val="21"/>
          <w:szCs w:val="21"/>
          <w:highlight w:val="none"/>
          <w:u w:val="single"/>
        </w:rPr>
        <w:t>得分、</w:t>
      </w:r>
      <w:r>
        <w:rPr>
          <w:rFonts w:hint="eastAsia" w:ascii="宋体" w:hAnsi="宋体" w:eastAsia="宋体" w:cs="宋体"/>
          <w:color w:val="auto"/>
          <w:sz w:val="21"/>
          <w:szCs w:val="21"/>
          <w:highlight w:val="none"/>
          <w:u w:val="single"/>
          <w:lang w:eastAsia="zh-CN"/>
        </w:rPr>
        <w:t>技术部分（项目实施能力）</w:t>
      </w:r>
      <w:r>
        <w:rPr>
          <w:rFonts w:hint="eastAsia" w:ascii="宋体" w:hAnsi="宋体" w:eastAsia="宋体" w:cs="宋体"/>
          <w:color w:val="auto"/>
          <w:sz w:val="21"/>
          <w:szCs w:val="21"/>
          <w:highlight w:val="none"/>
          <w:u w:val="single"/>
        </w:rPr>
        <w:t>得分、报价得分满分为100分</w:t>
      </w:r>
      <w:r>
        <w:rPr>
          <w:rFonts w:hint="eastAsia" w:ascii="宋体" w:hAnsi="宋体" w:eastAsia="宋体" w:cs="宋体"/>
          <w:color w:val="auto"/>
          <w:sz w:val="21"/>
          <w:szCs w:val="21"/>
          <w:highlight w:val="none"/>
          <w:u w:val="single"/>
          <w:lang w:eastAsia="zh-CN"/>
        </w:rPr>
        <w:t>。</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条款号：附件2  资格审查表           修改类型：修改</w:t>
      </w:r>
    </w:p>
    <w:p>
      <w:pPr>
        <w:spacing w:line="360" w:lineRule="auto"/>
        <w:ind w:firstLine="422" w:firstLineChars="200"/>
        <w:rPr>
          <w:rFonts w:hint="eastAsia" w:ascii="宋体" w:hAnsi="宋体" w:eastAsia="宋体" w:cs="宋体"/>
          <w:b w:val="0"/>
          <w:bCs/>
          <w:color w:val="auto"/>
          <w:sz w:val="21"/>
          <w:szCs w:val="21"/>
          <w:highlight w:val="none"/>
          <w:u w:val="none"/>
        </w:rPr>
      </w:pPr>
      <w:r>
        <w:rPr>
          <w:rFonts w:hint="eastAsia" w:ascii="宋体" w:hAnsi="宋体" w:eastAsia="宋体" w:cs="宋体"/>
          <w:b/>
          <w:bCs w:val="0"/>
          <w:color w:val="auto"/>
          <w:sz w:val="21"/>
          <w:szCs w:val="21"/>
          <w:highlight w:val="none"/>
          <w:u w:val="none"/>
        </w:rPr>
        <w:t>原文：</w:t>
      </w:r>
      <w:r>
        <w:rPr>
          <w:rFonts w:hint="eastAsia" w:ascii="宋体" w:hAnsi="宋体" w:eastAsia="宋体" w:cs="宋体"/>
          <w:b w:val="0"/>
          <w:bCs/>
          <w:color w:val="auto"/>
          <w:sz w:val="21"/>
          <w:szCs w:val="21"/>
          <w:highlight w:val="none"/>
          <w:u w:val="none"/>
        </w:rPr>
        <w:t>详见《GZYLZB2020-1招标文件范本》</w:t>
      </w:r>
    </w:p>
    <w:p>
      <w:pPr>
        <w:pBdr>
          <w:bottom w:val="single" w:color="auto" w:sz="4" w:space="0"/>
        </w:pBdr>
        <w:spacing w:line="360" w:lineRule="auto"/>
        <w:ind w:firstLine="422" w:firstLineChars="200"/>
        <w:rPr>
          <w:rFonts w:hint="eastAsia" w:ascii="宋体" w:hAnsi="宋体" w:eastAsia="宋体" w:cs="宋体"/>
          <w:b w:val="0"/>
          <w:bCs/>
          <w:color w:val="auto"/>
          <w:sz w:val="21"/>
          <w:szCs w:val="21"/>
          <w:highlight w:val="none"/>
          <w:u w:val="none"/>
        </w:rPr>
      </w:pPr>
      <w:r>
        <w:rPr>
          <w:rFonts w:hint="eastAsia" w:ascii="宋体" w:hAnsi="宋体" w:eastAsia="宋体" w:cs="宋体"/>
          <w:b/>
          <w:bCs w:val="0"/>
          <w:color w:val="auto"/>
          <w:sz w:val="21"/>
          <w:szCs w:val="21"/>
          <w:highlight w:val="none"/>
          <w:u w:val="none"/>
        </w:rPr>
        <w:t>现文：</w:t>
      </w:r>
      <w:r>
        <w:rPr>
          <w:rFonts w:hint="eastAsia" w:ascii="宋体" w:hAnsi="宋体" w:eastAsia="宋体" w:cs="宋体"/>
          <w:b w:val="0"/>
          <w:bCs/>
          <w:color w:val="auto"/>
          <w:sz w:val="21"/>
          <w:szCs w:val="21"/>
          <w:highlight w:val="none"/>
          <w:u w:val="none"/>
        </w:rPr>
        <w:t>详见附件2  资格审查表</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strike w:val="0"/>
          <w:dstrike w:val="0"/>
          <w:color w:val="auto"/>
          <w:sz w:val="21"/>
          <w:szCs w:val="21"/>
          <w:highlight w:val="none"/>
        </w:rPr>
        <w:t>附件5</w:t>
      </w:r>
      <w:r>
        <w:rPr>
          <w:rFonts w:hint="eastAsia" w:ascii="宋体" w:hAnsi="宋体" w:eastAsia="宋体" w:cs="宋体"/>
          <w:b w:val="0"/>
          <w:bCs/>
          <w:strike w:val="0"/>
          <w:dstrike w:val="0"/>
          <w:color w:val="auto"/>
          <w:sz w:val="21"/>
          <w:szCs w:val="21"/>
          <w:highlight w:val="none"/>
          <w:lang w:eastAsia="zh-CN"/>
        </w:rPr>
        <w:t>、</w:t>
      </w:r>
      <w:r>
        <w:rPr>
          <w:rFonts w:hint="eastAsia" w:ascii="宋体" w:hAnsi="宋体" w:eastAsia="宋体" w:cs="宋体"/>
          <w:b w:val="0"/>
          <w:bCs/>
          <w:strike w:val="0"/>
          <w:dstrike w:val="0"/>
          <w:color w:val="auto"/>
          <w:sz w:val="21"/>
          <w:szCs w:val="21"/>
          <w:highlight w:val="none"/>
        </w:rPr>
        <w:t>附件6</w:t>
      </w:r>
      <w:r>
        <w:rPr>
          <w:rFonts w:hint="eastAsia" w:ascii="宋体" w:hAnsi="宋体" w:eastAsia="宋体" w:cs="宋体"/>
          <w:b w:val="0"/>
          <w:bCs/>
          <w:strike w:val="0"/>
          <w:dstrike w:val="0"/>
          <w:color w:val="auto"/>
          <w:sz w:val="21"/>
          <w:szCs w:val="21"/>
          <w:highlight w:val="none"/>
          <w:lang w:eastAsia="zh-CN"/>
        </w:rPr>
        <w:t>、</w:t>
      </w:r>
      <w:r>
        <w:rPr>
          <w:rFonts w:hint="eastAsia" w:ascii="宋体" w:hAnsi="宋体" w:eastAsia="宋体" w:cs="宋体"/>
          <w:b w:val="0"/>
          <w:bCs/>
          <w:strike w:val="0"/>
          <w:dstrike w:val="0"/>
          <w:color w:val="auto"/>
          <w:sz w:val="21"/>
          <w:szCs w:val="21"/>
          <w:highlight w:val="none"/>
        </w:rPr>
        <w:t>附件7</w:t>
      </w:r>
      <w:r>
        <w:rPr>
          <w:rFonts w:hint="eastAsia" w:ascii="宋体" w:hAnsi="宋体" w:eastAsia="宋体" w:cs="宋体"/>
          <w:b w:val="0"/>
          <w:bCs/>
          <w:strike w:val="0"/>
          <w:dstrike w:val="0"/>
          <w:color w:val="auto"/>
          <w:sz w:val="21"/>
          <w:szCs w:val="21"/>
          <w:highlight w:val="none"/>
          <w:lang w:eastAsia="zh-CN"/>
        </w:rPr>
        <w:t>、</w:t>
      </w:r>
      <w:r>
        <w:rPr>
          <w:rFonts w:hint="eastAsia" w:ascii="宋体" w:hAnsi="宋体" w:eastAsia="宋体" w:cs="宋体"/>
          <w:b w:val="0"/>
          <w:bCs/>
          <w:strike w:val="0"/>
          <w:dstrike w:val="0"/>
          <w:color w:val="auto"/>
          <w:sz w:val="21"/>
          <w:szCs w:val="21"/>
          <w:highlight w:val="none"/>
        </w:rPr>
        <w:t xml:space="preserve">附件15 </w:t>
      </w:r>
      <w:r>
        <w:rPr>
          <w:rFonts w:hint="eastAsia" w:ascii="宋体" w:hAnsi="宋体" w:eastAsia="宋体" w:cs="宋体"/>
          <w:b/>
          <w:color w:val="auto"/>
          <w:sz w:val="21"/>
          <w:szCs w:val="21"/>
          <w:highlight w:val="none"/>
        </w:rPr>
        <w:t xml:space="preserve">          修改类型：删除</w:t>
      </w:r>
    </w:p>
    <w:p>
      <w:pPr>
        <w:pBdr>
          <w:bottom w:val="single" w:color="auto" w:sz="6" w:space="1"/>
        </w:pBd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原文：</w:t>
      </w:r>
      <w:r>
        <w:rPr>
          <w:rFonts w:hint="eastAsia" w:ascii="宋体" w:hAnsi="宋体" w:eastAsia="宋体" w:cs="宋体"/>
          <w:b w:val="0"/>
          <w:bCs/>
          <w:strike w:val="0"/>
          <w:dstrike w:val="0"/>
          <w:color w:val="auto"/>
          <w:sz w:val="21"/>
          <w:szCs w:val="21"/>
          <w:highlight w:val="none"/>
        </w:rPr>
        <w:t>第一阶段得分计算表</w:t>
      </w:r>
      <w:r>
        <w:rPr>
          <w:rFonts w:hint="eastAsia" w:ascii="宋体" w:hAnsi="宋体" w:eastAsia="宋体" w:cs="宋体"/>
          <w:b w:val="0"/>
          <w:bCs/>
          <w:strike w:val="0"/>
          <w:dstrike w:val="0"/>
          <w:color w:val="auto"/>
          <w:sz w:val="21"/>
          <w:szCs w:val="21"/>
          <w:highlight w:val="none"/>
          <w:lang w:eastAsia="zh-CN"/>
        </w:rPr>
        <w:t>、</w:t>
      </w:r>
      <w:r>
        <w:rPr>
          <w:rFonts w:hint="eastAsia" w:ascii="宋体" w:hAnsi="宋体" w:eastAsia="宋体" w:cs="宋体"/>
          <w:b w:val="0"/>
          <w:bCs/>
          <w:strike w:val="0"/>
          <w:dstrike w:val="0"/>
          <w:color w:val="auto"/>
          <w:sz w:val="21"/>
          <w:szCs w:val="21"/>
          <w:highlight w:val="none"/>
        </w:rPr>
        <w:t>第一阶段汇总得分排序表</w:t>
      </w:r>
      <w:r>
        <w:rPr>
          <w:rFonts w:hint="eastAsia" w:ascii="宋体" w:hAnsi="宋体" w:eastAsia="宋体" w:cs="宋体"/>
          <w:b w:val="0"/>
          <w:bCs/>
          <w:strike w:val="0"/>
          <w:dstrike w:val="0"/>
          <w:color w:val="auto"/>
          <w:sz w:val="21"/>
          <w:szCs w:val="21"/>
          <w:highlight w:val="none"/>
          <w:lang w:eastAsia="zh-CN"/>
        </w:rPr>
        <w:t>、</w:t>
      </w:r>
      <w:r>
        <w:rPr>
          <w:rFonts w:hint="eastAsia" w:ascii="宋体" w:hAnsi="宋体" w:eastAsia="宋体" w:cs="宋体"/>
          <w:b w:val="0"/>
          <w:bCs/>
          <w:strike w:val="0"/>
          <w:dstrike w:val="0"/>
          <w:color w:val="auto"/>
          <w:sz w:val="21"/>
          <w:szCs w:val="21"/>
          <w:highlight w:val="none"/>
        </w:rPr>
        <w:t>第二阶段得分排序表</w:t>
      </w:r>
      <w:r>
        <w:rPr>
          <w:rFonts w:hint="eastAsia" w:ascii="宋体" w:hAnsi="宋体" w:eastAsia="宋体" w:cs="宋体"/>
          <w:b w:val="0"/>
          <w:bCs/>
          <w:strike w:val="0"/>
          <w:dstrike w:val="0"/>
          <w:color w:val="auto"/>
          <w:sz w:val="21"/>
          <w:szCs w:val="21"/>
          <w:highlight w:val="none"/>
          <w:lang w:eastAsia="zh-CN"/>
        </w:rPr>
        <w:t>、</w:t>
      </w:r>
      <w:r>
        <w:rPr>
          <w:rFonts w:hint="eastAsia" w:ascii="宋体" w:hAnsi="宋体" w:eastAsia="宋体" w:cs="宋体"/>
          <w:b w:val="0"/>
          <w:bCs/>
          <w:strike w:val="0"/>
          <w:dstrike w:val="0"/>
          <w:color w:val="auto"/>
          <w:sz w:val="21"/>
          <w:szCs w:val="21"/>
          <w:highlight w:val="none"/>
        </w:rPr>
        <w:t>定标委员会组建办法及定标办法</w:t>
      </w:r>
      <w:r>
        <w:rPr>
          <w:rFonts w:hint="eastAsia" w:ascii="宋体" w:hAnsi="宋体" w:eastAsia="宋体" w:cs="宋体"/>
          <w:b w:val="0"/>
          <w:bCs/>
          <w:strike w:val="0"/>
          <w:dstrike w:val="0"/>
          <w:color w:val="auto"/>
          <w:sz w:val="21"/>
          <w:szCs w:val="21"/>
          <w:highlight w:val="none"/>
          <w:lang w:eastAsia="zh-CN"/>
        </w:rPr>
        <w:t>。</w:t>
      </w:r>
    </w:p>
    <w:p>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注：以上修改，仅限于本范本中有可供选择条款的情形。</w:t>
      </w:r>
    </w:p>
    <w:p>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rPr>
        <w:t>（以下无正文）</w:t>
      </w:r>
    </w:p>
    <w:p>
      <w:pPr>
        <w:pStyle w:val="4"/>
        <w:spacing w:before="120"/>
        <w:rPr>
          <w:rFonts w:hint="eastAsia" w:ascii="宋体" w:hAnsi="宋体" w:eastAsia="宋体" w:cs="宋体"/>
          <w:highlight w:val="none"/>
        </w:rPr>
      </w:pPr>
      <w:bookmarkStart w:id="124" w:name="_二、采用资格后审方式施工招标项目开标、评标及定标办法"/>
      <w:bookmarkEnd w:id="124"/>
      <w:r>
        <w:rPr>
          <w:rFonts w:hint="eastAsia" w:ascii="宋体" w:hAnsi="宋体" w:eastAsia="宋体" w:cs="宋体"/>
          <w:highlight w:val="none"/>
        </w:rPr>
        <w:br w:type="page"/>
      </w:r>
      <w:bookmarkStart w:id="125" w:name="_Toc3696"/>
      <w:bookmarkStart w:id="126" w:name="_Toc18315"/>
      <w:bookmarkStart w:id="127" w:name="_Toc13326"/>
      <w:bookmarkStart w:id="128" w:name="_Toc262229170"/>
      <w:bookmarkStart w:id="129" w:name="_Toc2089"/>
      <w:bookmarkStart w:id="130" w:name="_Toc26348"/>
      <w:bookmarkStart w:id="131" w:name="_Toc15494"/>
      <w:bookmarkStart w:id="132" w:name="_Toc30222"/>
      <w:bookmarkStart w:id="133" w:name="_Toc22071"/>
      <w:r>
        <w:rPr>
          <w:rFonts w:hint="eastAsia" w:ascii="宋体" w:hAnsi="宋体" w:eastAsia="宋体" w:cs="宋体"/>
          <w:highlight w:val="none"/>
        </w:rPr>
        <w:t>二、开标、评标及定标办法</w:t>
      </w:r>
      <w:bookmarkEnd w:id="125"/>
      <w:bookmarkEnd w:id="126"/>
      <w:bookmarkEnd w:id="127"/>
      <w:bookmarkEnd w:id="128"/>
      <w:bookmarkEnd w:id="129"/>
      <w:bookmarkEnd w:id="130"/>
      <w:bookmarkEnd w:id="131"/>
      <w:bookmarkEnd w:id="132"/>
      <w:bookmarkEnd w:id="133"/>
    </w:p>
    <w:p>
      <w:pPr>
        <w:pStyle w:val="4"/>
        <w:spacing w:before="120"/>
        <w:rPr>
          <w:rFonts w:hint="eastAsia" w:ascii="宋体" w:hAnsi="宋体" w:eastAsia="宋体" w:cs="宋体"/>
          <w:highlight w:val="none"/>
        </w:rPr>
      </w:pPr>
      <w:bookmarkStart w:id="134" w:name="_（一）总则"/>
      <w:bookmarkEnd w:id="134"/>
      <w:bookmarkStart w:id="135" w:name="_Toc30249"/>
      <w:bookmarkStart w:id="136" w:name="_Toc25480"/>
      <w:bookmarkStart w:id="137" w:name="_Toc17382"/>
      <w:bookmarkStart w:id="138" w:name="_Toc9542"/>
      <w:bookmarkStart w:id="139" w:name="_Toc262229171"/>
      <w:bookmarkStart w:id="140" w:name="_Toc1693"/>
      <w:bookmarkStart w:id="141" w:name="_Toc30944"/>
      <w:bookmarkStart w:id="142" w:name="_Toc21769"/>
      <w:bookmarkStart w:id="143" w:name="_Toc28306"/>
      <w:r>
        <w:rPr>
          <w:rFonts w:hint="eastAsia" w:ascii="宋体" w:hAnsi="宋体" w:eastAsia="宋体" w:cs="宋体"/>
          <w:highlight w:val="none"/>
        </w:rPr>
        <w:t>（一）总则</w:t>
      </w:r>
      <w:bookmarkEnd w:id="135"/>
      <w:bookmarkEnd w:id="136"/>
      <w:bookmarkEnd w:id="137"/>
      <w:bookmarkEnd w:id="138"/>
      <w:bookmarkEnd w:id="139"/>
      <w:bookmarkEnd w:id="140"/>
      <w:bookmarkEnd w:id="141"/>
      <w:bookmarkEnd w:id="142"/>
      <w:bookmarkEnd w:id="143"/>
    </w:p>
    <w:p>
      <w:pPr>
        <w:ind w:firstLine="3896" w:firstLineChars="1617"/>
        <w:rPr>
          <w:rFonts w:hint="eastAsia" w:ascii="宋体" w:hAnsi="宋体" w:eastAsia="宋体" w:cs="宋体"/>
          <w:b/>
          <w:sz w:val="24"/>
          <w:szCs w:val="24"/>
          <w:highlight w:val="none"/>
        </w:rPr>
      </w:pPr>
    </w:p>
    <w:p>
      <w:pPr>
        <w:tabs>
          <w:tab w:val="left" w:pos="1620"/>
        </w:tabs>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highlight w:val="none"/>
        </w:rPr>
        <w:t>37.开标、评标及定标所依据的规则</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37.1《中华人民共和国招标投标法》；</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37.2《中华人民共和国招标投标法实施条例》；</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37.3《广东省实施〈中华人民共和国招标投标法〉办法》；</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37.4国家发改委等九部委2013年第23号令；</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37.5《广州市工程建设项目招标投标管理办法》；</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37.6《广东省加强建设工程招标投标监督管理的若干规定》；</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37.7《广州市林业和园林局关于明确广州市园林绿化工程项目招标投标有关问题的通知》</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37.8《广州市林业和园林局关于进一步完善广州市园林绿化企业诚信综合评价体系的通知》；</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37.9本项目招标文件。</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38.开标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38.1招标人按投标须知前附表第21项所规定的时间和地点公开开标，并邀请所有投标人参加。递交投标文件截止时间后，开标时间因故推迟的，相关评标信息仍以原定的开标时间的信息为准。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38.2投标人、招标人分别按投标须知第25条、第26条规定对投标文件进行解密。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38.3开标时，出现下列情形之一的投标人，不参与电脑随机排序、资格审查和评标，其投标文件作无效处理：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38.3.1未成功递交或因投标人原因未成功导入投标文件的；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38.3.2因投标人原因造成投标文件未解密的；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38.3.3投标人未按要求递交投标保证金的；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38.3.4两个（含两个）以上的投标人加密打包投标文件电脑机器特征码一致的；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38.3.5项目负责人和安全员为同一人的。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38.4若递交投标文件的投标人不足3个，则重新组织招标（当N个标段同时招标且不允许兼中时，若递交投标文件单位不足N+2个，则重新组织招标）。</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39.评标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39.1评标由招标人依法组建的评标委员会负责。评标委员会由招标人的代表和有关技术、经济等方面的专家组成，成员人数为五人以上单数。招标人代表不得担任评标委员会负责人，不得接受评标报酬，评标过程中不得以任何方式影响其他评标专家独立评标。技术、经济等方面的专家须从政府设立的建设工程评标专家库中随机抽取确定，不得少于成员总数的三份之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39.2评标委员会的职责及守则：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39.2.1根据评标细则，对标书进行认真评审，完成评审报告；</w:t>
      </w:r>
    </w:p>
    <w:p>
      <w:pPr>
        <w:tabs>
          <w:tab w:val="left" w:pos="162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39.2.2向招标人报告评审意见，推荐合格的中标候选人。</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39.2.3</w:t>
      </w:r>
      <w:r>
        <w:rPr>
          <w:rFonts w:hint="eastAsia" w:ascii="宋体" w:hAnsi="宋体" w:eastAsia="宋体" w:cs="宋体"/>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39.2.4全体参与评标人员：</w:t>
      </w:r>
    </w:p>
    <w:p>
      <w:pPr>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39.2.4.1 必须遵守评标纪律、不得泄密；</w:t>
      </w:r>
    </w:p>
    <w:p>
      <w:pPr>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39.2.4.2 必须公正、不得循私；</w:t>
      </w:r>
    </w:p>
    <w:p>
      <w:pPr>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39.2.4.3 必须科学、不得草率；</w:t>
      </w:r>
    </w:p>
    <w:p>
      <w:pPr>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39.2.4.4 必须客观、不得带有成见；</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39.2.4.5 必须平等、不得强加于人</w:t>
      </w:r>
      <w:r>
        <w:rPr>
          <w:rFonts w:hint="eastAsia" w:ascii="宋体" w:hAnsi="宋体" w:eastAsia="宋体" w:cs="宋体"/>
          <w:sz w:val="24"/>
          <w:szCs w:val="24"/>
          <w:highlight w:val="none"/>
        </w:rPr>
        <w:t>；</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39.2.4.6 必须严谨、不得随意马虎。</w:t>
      </w:r>
    </w:p>
    <w:p>
      <w:pPr>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39.3 评标结束后，</w:t>
      </w:r>
      <w:r>
        <w:rPr>
          <w:rFonts w:hint="eastAsia" w:ascii="宋体" w:hAnsi="宋体" w:eastAsia="宋体" w:cs="宋体"/>
          <w:bCs/>
          <w:sz w:val="24"/>
          <w:szCs w:val="24"/>
          <w:highlight w:val="none"/>
        </w:rPr>
        <w:t>评标委员会递交评标报告并依法推荐中标候选人。</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存在投标人串通投标行为的，评标委员会应将相关投标人存在的具体情形、评审认定过程及评审依据详细记录在评标报告中，作为评标报告的组成部分。投标人有关澄清文件的原件封存广州公共资源交易中心备查，复印件在评标结束当日工作时间内（评标结束时处于非工作时间的，应于下个一工作日12:00时前）由招标人或招标代理机构转交该项目招标监管机构查处。</w:t>
      </w:r>
    </w:p>
    <w:p>
      <w:pPr>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40．投标文件的澄清</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40.1投标文件属于《投标人串通投标评审表》所列情形之一的，评标委员会应要求涉及相应情形的投标企业在接到通知后2小时内到达指定地点作出书面澄清。</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40.2对于39.1以外的其他情况，为有助于投标文件的审查、评价和比较，评标期间，经评标委员会或评标委员会专业评审组中2人以上（含2人）成员以书面形式提出动议，评标委员会或评标委员会专业评审组应当书面发出澄清通知，要求投标人对投标文件含义不明确的内容作出澄清。</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40.3投标人应以书面形式进行澄清，</w:t>
      </w:r>
      <w:r>
        <w:rPr>
          <w:rFonts w:hint="eastAsia" w:ascii="宋体" w:hAnsi="宋体" w:eastAsia="宋体" w:cs="宋体"/>
          <w:bCs/>
          <w:sz w:val="24"/>
          <w:highlight w:val="none"/>
        </w:rPr>
        <w:t>澄清和说明内容属于投标文件的组成部分，</w:t>
      </w:r>
      <w:r>
        <w:rPr>
          <w:rFonts w:hint="eastAsia" w:ascii="宋体" w:hAnsi="宋体" w:eastAsia="宋体" w:cs="宋体"/>
          <w:sz w:val="24"/>
          <w:szCs w:val="24"/>
          <w:highlight w:val="none"/>
        </w:rPr>
        <w:t>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szCs w:val="24"/>
          <w:highlight w:val="none"/>
        </w:rPr>
        <w:t>40.4评标委员会或评标委员会专业评审组成员均应当阅读投标人的澄清，但应独立参考澄清对投标文件进行评审，</w:t>
      </w:r>
      <w:r>
        <w:rPr>
          <w:rFonts w:hint="eastAsia" w:ascii="宋体" w:hAnsi="宋体" w:eastAsia="宋体" w:cs="宋体"/>
          <w:bCs/>
          <w:sz w:val="24"/>
          <w:highlight w:val="none"/>
        </w:rPr>
        <w:t>整个澄清的过程不得存在排斥潜在投标人的现象。</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40.5如果投标文件实质上不响应招标文件的各项要求，评标委员会将按照否决性条款审查标准予以拒绝，不接受投标人通过修改或撤销其不符合要求的差异或保留，使之成为具有响应性的投标。</w:t>
      </w:r>
    </w:p>
    <w:p>
      <w:pPr>
        <w:tabs>
          <w:tab w:val="left" w:pos="1890"/>
        </w:tabs>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41．定标</w:t>
      </w:r>
    </w:p>
    <w:p>
      <w:pPr>
        <w:tabs>
          <w:tab w:val="left" w:pos="189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41.1不采用评定分离的，评标委员会推荐中标候选人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名（不多于3名）。</w:t>
      </w:r>
    </w:p>
    <w:p>
      <w:pPr>
        <w:tabs>
          <w:tab w:val="left" w:pos="189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评标委员会向招标人推荐按综合得分高低排序的中标候选人。招标人在评标委员会推荐的中标候选人中确定中标人。依法必须招标的项目，招标人应当确定排名第一的中标候选人为中标人。</w:t>
      </w:r>
    </w:p>
    <w:p>
      <w:pPr>
        <w:tabs>
          <w:tab w:val="left" w:pos="1890"/>
        </w:tabs>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41.2采用评定分离的，评标委员会推荐中标候选人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名（3-5名）。</w:t>
      </w:r>
    </w:p>
    <w:p>
      <w:pPr>
        <w:tabs>
          <w:tab w:val="left" w:pos="189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评标委员会向招标人推荐不排序的中标候选人。定标委员会在中标候选人中按照定标办法（详见附件一）确定中标人。</w:t>
      </w:r>
    </w:p>
    <w:p>
      <w:pPr>
        <w:tabs>
          <w:tab w:val="left" w:pos="189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41.3中标人确定后，中标人确定后，招标人（招标代理机构）通过广州公共资源交易中心网和广东省招标投标监管网公示中标结果，向中标人发出中标通知书，并同时将中标结果通知所有未中标的投标人。</w:t>
      </w:r>
    </w:p>
    <w:p>
      <w:pPr>
        <w:tabs>
          <w:tab w:val="left" w:pos="189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41.4招标人应当自确定中标人之日起十五日内，向招标管理机构提交招标投标情况的书面报告。采用评定分离的，招标人应当提交定标报告。定标报告应包括定标委员会的产生过程、定标委员会成员名单、定标程序、定标会议过程及定标结果等内容。</w:t>
      </w:r>
    </w:p>
    <w:p>
      <w:pPr>
        <w:tabs>
          <w:tab w:val="left" w:pos="189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41.5如出现中标人放弃中标、因不可抗力不能履行合同、不按照招标文件要求提交履约担保，或者被查实存在影响中标结果的违法行为等情形，不符合中标条件的，招标人可按照条款41.1的定标方式重新确定中标人，也可以重新招标。</w:t>
      </w:r>
    </w:p>
    <w:p>
      <w:pPr>
        <w:tabs>
          <w:tab w:val="left" w:pos="189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41.6如重新确定的中标人出现上述情形，招标人可直接确认最后一名中标候选人为中标人。如所有中标候选人均出现本款所列情形的，本项目招标失败，招标人依法重新招标。</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41.7投标人如在本项目中存在串通投标、弄虚作假、行贿情形且在评标过程中未被发现的，其投标不改变本项目评标结果排序。招标人按照《中华人民共和国招标投标法实施条例》第五十五条的规定确定中标人或重新招标。</w:t>
      </w:r>
    </w:p>
    <w:bookmarkEnd w:id="112"/>
    <w:p>
      <w:pPr>
        <w:pStyle w:val="4"/>
        <w:spacing w:before="120"/>
        <w:rPr>
          <w:rFonts w:hint="eastAsia" w:ascii="宋体" w:hAnsi="宋体" w:eastAsia="宋体" w:cs="宋体"/>
          <w:highlight w:val="none"/>
        </w:rPr>
      </w:pPr>
      <w:bookmarkStart w:id="144" w:name="_（二）开标评标办法程序和细则"/>
      <w:bookmarkEnd w:id="144"/>
      <w:bookmarkStart w:id="145" w:name="_Toc155150496"/>
      <w:r>
        <w:rPr>
          <w:rFonts w:hint="eastAsia" w:ascii="宋体" w:hAnsi="宋体" w:eastAsia="宋体" w:cs="宋体"/>
          <w:szCs w:val="32"/>
          <w:highlight w:val="none"/>
        </w:rPr>
        <w:br w:type="page"/>
      </w:r>
      <w:bookmarkEnd w:id="145"/>
      <w:bookmarkStart w:id="146" w:name="_Toc28160"/>
      <w:bookmarkStart w:id="147" w:name="_Toc10617"/>
      <w:bookmarkStart w:id="148" w:name="_Toc8949"/>
      <w:bookmarkStart w:id="149" w:name="_Toc27974"/>
      <w:bookmarkStart w:id="150" w:name="_Toc30933"/>
      <w:bookmarkStart w:id="151" w:name="_Toc12988"/>
      <w:bookmarkStart w:id="152" w:name="_Toc18319"/>
      <w:bookmarkStart w:id="153" w:name="_Toc21959"/>
      <w:bookmarkStart w:id="154" w:name="_Toc262229172"/>
      <w:r>
        <w:rPr>
          <w:rFonts w:hint="eastAsia" w:ascii="宋体" w:hAnsi="宋体" w:eastAsia="宋体" w:cs="宋体"/>
          <w:highlight w:val="none"/>
        </w:rPr>
        <w:t>（二）开标评标办法程序和细则</w:t>
      </w:r>
      <w:bookmarkEnd w:id="146"/>
      <w:bookmarkEnd w:id="147"/>
      <w:bookmarkEnd w:id="148"/>
      <w:bookmarkEnd w:id="149"/>
      <w:bookmarkEnd w:id="150"/>
      <w:bookmarkEnd w:id="151"/>
      <w:bookmarkEnd w:id="152"/>
      <w:bookmarkEnd w:id="153"/>
      <w:bookmarkEnd w:id="154"/>
    </w:p>
    <w:p>
      <w:pPr>
        <w:pStyle w:val="5"/>
        <w:ind w:firstLine="0"/>
        <w:rPr>
          <w:rFonts w:hint="eastAsia" w:ascii="宋体" w:hAnsi="宋体" w:eastAsia="宋体" w:cs="宋体"/>
          <w:b/>
          <w:highlight w:val="none"/>
        </w:rPr>
      </w:pPr>
    </w:p>
    <w:p>
      <w:pPr>
        <w:pStyle w:val="4"/>
        <w:spacing w:before="120"/>
        <w:rPr>
          <w:rFonts w:hint="eastAsia" w:ascii="宋体" w:hAnsi="宋体" w:eastAsia="宋体" w:cs="宋体"/>
          <w:strike/>
          <w:dstrike w:val="0"/>
          <w:highlight w:val="none"/>
        </w:rPr>
      </w:pPr>
      <w:bookmarkStart w:id="155" w:name="_可选办法一_两阶段评标法"/>
      <w:bookmarkEnd w:id="155"/>
      <w:bookmarkStart w:id="156" w:name="_Toc13028"/>
      <w:bookmarkStart w:id="157" w:name="_Toc28079"/>
      <w:bookmarkStart w:id="158" w:name="_Toc15363"/>
      <w:bookmarkStart w:id="159" w:name="_Toc2625"/>
      <w:bookmarkStart w:id="160" w:name="_Toc15208"/>
      <w:bookmarkStart w:id="161" w:name="_Toc9756"/>
      <w:bookmarkStart w:id="162" w:name="_Toc1837"/>
      <w:bookmarkStart w:id="163" w:name="_Toc22790"/>
      <w:r>
        <w:rPr>
          <w:rFonts w:hint="eastAsia" w:ascii="宋体" w:hAnsi="宋体" w:eastAsia="宋体" w:cs="宋体"/>
          <w:strike/>
          <w:dstrike w:val="0"/>
          <w:highlight w:val="none"/>
        </w:rPr>
        <w:t>可选办法一 两阶段评标法</w:t>
      </w:r>
      <w:bookmarkEnd w:id="156"/>
      <w:bookmarkEnd w:id="157"/>
      <w:bookmarkEnd w:id="158"/>
      <w:bookmarkEnd w:id="159"/>
      <w:bookmarkEnd w:id="160"/>
      <w:bookmarkEnd w:id="161"/>
      <w:bookmarkEnd w:id="162"/>
      <w:bookmarkEnd w:id="163"/>
    </w:p>
    <w:p>
      <w:pPr>
        <w:pStyle w:val="9"/>
        <w:spacing w:after="0" w:line="360" w:lineRule="auto"/>
        <w:ind w:firstLine="525" w:firstLineChars="218"/>
        <w:rPr>
          <w:rFonts w:hint="eastAsia" w:ascii="宋体" w:hAnsi="宋体" w:eastAsia="宋体" w:cs="宋体"/>
          <w:b/>
          <w:strike/>
          <w:dstrike w:val="0"/>
          <w:sz w:val="24"/>
          <w:szCs w:val="24"/>
          <w:highlight w:val="none"/>
          <w:lang w:eastAsia="zh-CN"/>
        </w:rPr>
      </w:pPr>
      <w:r>
        <w:rPr>
          <w:rFonts w:hint="eastAsia" w:ascii="宋体" w:hAnsi="宋体" w:eastAsia="宋体" w:cs="宋体"/>
          <w:b/>
          <w:strike/>
          <w:dstrike w:val="0"/>
          <w:kern w:val="44"/>
          <w:sz w:val="24"/>
          <w:szCs w:val="24"/>
          <w:highlight w:val="none"/>
        </w:rPr>
        <w:t>42．</w:t>
      </w:r>
      <w:r>
        <w:rPr>
          <w:rFonts w:hint="eastAsia" w:ascii="宋体" w:hAnsi="宋体" w:eastAsia="宋体" w:cs="宋体"/>
          <w:b/>
          <w:strike/>
          <w:dstrike w:val="0"/>
          <w:sz w:val="24"/>
          <w:szCs w:val="24"/>
          <w:highlight w:val="none"/>
        </w:rPr>
        <w:t>开标</w:t>
      </w:r>
      <w:r>
        <w:rPr>
          <w:rFonts w:hint="eastAsia" w:ascii="宋体" w:hAnsi="宋体" w:eastAsia="宋体" w:cs="宋体"/>
          <w:b/>
          <w:strike/>
          <w:dstrike w:val="0"/>
          <w:sz w:val="24"/>
          <w:szCs w:val="24"/>
          <w:highlight w:val="none"/>
          <w:lang w:eastAsia="zh-CN"/>
        </w:rPr>
        <w:t>和评标程序</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42.1投标人在递交投标文件截止时间到达后的1小时内，使用制作该投标文件的机构业务数字证书对其投标文件进行解密。</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42.2公布投标人名单，将显示出所有投标人信息及投标人投标文件递交情况以及解密情况。</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42.3随机抽取计算第二阶段评标参考价的下浮率X，从0.5%、1%、1.5%、2%、2.5%、3%、3.5%中抽取其中之一。</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42.4开标时，出现下列情形之一的投标人，不参与电脑随机排序、资格审查和评标，其投标文件作无效处理：</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42.4.1未成功递交或因投标人原因未成功导入投标文件的；</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42.4.2因投标人原因造成投标文件未解密的；</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42.4.3投标人未按要求递交投标保证金的；</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42.4.4两个（含两个）以上的投标人制作投标文件电脑机器特征码一致的；</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42.4.5项目负责人和安全员为同一人的。</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42.5招标人使用制作该招标文件的机构业务数字证书对已完成投标人解密的电子投标文件进行招标人解密。</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42.6将所有解密成功的电子投标文件导入系统并公开开标。</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42.7将所有已公开开标的投标人进行电脑随机排序，并编制序号，随机抽取进入第二阶段评标的投标人起点序号。</w:t>
      </w:r>
    </w:p>
    <w:p>
      <w:pPr>
        <w:snapToGrid w:val="0"/>
        <w:spacing w:line="360" w:lineRule="auto"/>
        <w:ind w:firstLine="525" w:firstLineChars="218"/>
        <w:rPr>
          <w:rFonts w:hint="eastAsia" w:ascii="宋体" w:hAnsi="宋体" w:eastAsia="宋体" w:cs="宋体"/>
          <w:b/>
          <w:strike/>
          <w:dstrike w:val="0"/>
          <w:sz w:val="24"/>
          <w:szCs w:val="24"/>
          <w:highlight w:val="none"/>
        </w:rPr>
      </w:pPr>
      <w:r>
        <w:rPr>
          <w:rFonts w:hint="eastAsia" w:ascii="宋体" w:hAnsi="宋体" w:eastAsia="宋体" w:cs="宋体"/>
          <w:b/>
          <w:strike/>
          <w:dstrike w:val="0"/>
          <w:sz w:val="24"/>
          <w:szCs w:val="24"/>
          <w:highlight w:val="none"/>
        </w:rPr>
        <w:t>43.开标细则</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43.1开标由招标人或其委托的招标代理机构主持；</w:t>
      </w:r>
    </w:p>
    <w:p>
      <w:pPr>
        <w:pStyle w:val="9"/>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43.2由招标人或其推选的代表检查投标文件的投标人解密情况，也可以由招标人委托的公证机构检查并公证，之后由招标人对全部投标文件进行解密。</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43.3.1递交投标文件截止时间前，各投标人将投标文件完整上传并保存在广州公共资源交易中心电子评标系统。</w:t>
      </w:r>
    </w:p>
    <w:p>
      <w:pPr>
        <w:pStyle w:val="9"/>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kern w:val="44"/>
          <w:sz w:val="24"/>
          <w:szCs w:val="24"/>
          <w:highlight w:val="none"/>
        </w:rPr>
        <w:t>43.3.2投标人自行决定是否参加开标会。</w:t>
      </w:r>
      <w:r>
        <w:rPr>
          <w:rFonts w:hint="eastAsia" w:ascii="宋体" w:hAnsi="宋体" w:eastAsia="宋体" w:cs="宋体"/>
          <w:strike/>
          <w:dstrike w:val="0"/>
          <w:sz w:val="24"/>
          <w:szCs w:val="24"/>
          <w:highlight w:val="none"/>
        </w:rPr>
        <w:t>若投标人对开标过程有异议，应在开标现场提出，投标人代表提出异议时须出示本人身份证原件。招标人应当当场作出答复，并制作记录。</w:t>
      </w:r>
    </w:p>
    <w:p>
      <w:pPr>
        <w:pStyle w:val="9"/>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kern w:val="44"/>
          <w:sz w:val="24"/>
          <w:szCs w:val="24"/>
          <w:highlight w:val="none"/>
        </w:rPr>
        <w:t>43.4</w:t>
      </w:r>
      <w:r>
        <w:rPr>
          <w:rFonts w:hint="eastAsia" w:ascii="宋体" w:hAnsi="宋体" w:eastAsia="宋体" w:cs="宋体"/>
          <w:strike/>
          <w:dstrike w:val="0"/>
          <w:sz w:val="24"/>
          <w:szCs w:val="24"/>
          <w:highlight w:val="none"/>
        </w:rPr>
        <w:t>开标前，首先由招标人或招标代理机构按42.3规定,现场随机抽取确定该工程计算第二阶段评标参考价的下浮率X。招标人或招标代理机构在开标时，公布以下所有内容：a、投标人名称；b、电子投标文件解密情况；c、电子投标文件的递交情况；d、法定代表人证明及授权委托；e、投标保证金；f、投标报价；g、人工费；h、</w:t>
      </w:r>
      <w:r>
        <w:rPr>
          <w:rFonts w:hint="eastAsia" w:ascii="宋体" w:hAnsi="宋体" w:eastAsia="宋体" w:cs="宋体"/>
          <w:strike/>
          <w:dstrike w:val="0"/>
          <w:szCs w:val="21"/>
          <w:highlight w:val="none"/>
        </w:rPr>
        <w:t>绿色施工安全防护措施费</w:t>
      </w:r>
      <w:r>
        <w:rPr>
          <w:rFonts w:hint="eastAsia" w:ascii="宋体" w:hAnsi="宋体" w:eastAsia="宋体" w:cs="宋体"/>
          <w:strike/>
          <w:dstrike w:val="0"/>
          <w:sz w:val="24"/>
          <w:szCs w:val="24"/>
          <w:highlight w:val="none"/>
        </w:rPr>
        <w:t>；i、工期；j、质量标准；k、施工组织设计承诺书。</w:t>
      </w:r>
    </w:p>
    <w:p>
      <w:pPr>
        <w:pStyle w:val="9"/>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43.5 对公开开标的投标人进行电脑随机排序，并编制序号，现场随机抽取进入第二阶段评标的投标人起点序号。</w:t>
      </w:r>
    </w:p>
    <w:p>
      <w:pPr>
        <w:pStyle w:val="9"/>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43.6投标报价以数字和文字两种方式表述的，应宣读文字表述的投标报价。</w:t>
      </w:r>
    </w:p>
    <w:p>
      <w:pPr>
        <w:pStyle w:val="9"/>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43.7招标人对开标过程进行记录，并存档备查。</w:t>
      </w:r>
    </w:p>
    <w:p>
      <w:pPr>
        <w:pStyle w:val="9"/>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43.8招标人将上述符合要求的投标文件，送至评标委员会进行评审。</w:t>
      </w:r>
    </w:p>
    <w:p>
      <w:pPr>
        <w:pStyle w:val="9"/>
        <w:tabs>
          <w:tab w:val="left" w:pos="7380"/>
        </w:tabs>
        <w:spacing w:after="0" w:line="360" w:lineRule="auto"/>
        <w:ind w:firstLine="525" w:firstLineChars="218"/>
        <w:rPr>
          <w:rFonts w:hint="eastAsia" w:ascii="宋体" w:hAnsi="宋体" w:eastAsia="宋体" w:cs="宋体"/>
          <w:b/>
          <w:strike/>
          <w:dstrike w:val="0"/>
          <w:sz w:val="24"/>
          <w:szCs w:val="24"/>
          <w:highlight w:val="none"/>
        </w:rPr>
      </w:pPr>
      <w:r>
        <w:rPr>
          <w:rFonts w:hint="eastAsia" w:ascii="宋体" w:hAnsi="宋体" w:eastAsia="宋体" w:cs="宋体"/>
          <w:b/>
          <w:strike/>
          <w:dstrike w:val="0"/>
          <w:sz w:val="24"/>
          <w:szCs w:val="24"/>
          <w:highlight w:val="none"/>
        </w:rPr>
        <w:t>44.资格审查及评标细则</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44.1资格审查及评标均由招标人依法组建的评标委员会负责。</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44.2评标委员会的组成：资格审查及投标文件的评审由评标委员会负责。</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44.3资格审查、否决性条款审查</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44.3.1评标委员会按资格审查的标准对所有递交投标文件的投标人进行审查，如资格审查合格的投标人不足3个时，应重新招标。</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44.3.2如通过否决性条款审查的投标人少于3个时，应重新招标。</w:t>
      </w:r>
    </w:p>
    <w:p>
      <w:pPr>
        <w:pStyle w:val="9"/>
        <w:tabs>
          <w:tab w:val="left" w:pos="7380"/>
        </w:tabs>
        <w:spacing w:after="0" w:line="360" w:lineRule="auto"/>
        <w:ind w:firstLine="525" w:firstLineChars="218"/>
        <w:rPr>
          <w:rFonts w:hint="eastAsia" w:ascii="宋体" w:hAnsi="宋体" w:eastAsia="宋体" w:cs="宋体"/>
          <w:b/>
          <w:strike/>
          <w:dstrike w:val="0"/>
          <w:sz w:val="24"/>
          <w:szCs w:val="24"/>
          <w:highlight w:val="none"/>
        </w:rPr>
      </w:pPr>
      <w:r>
        <w:rPr>
          <w:rFonts w:hint="eastAsia" w:ascii="宋体" w:hAnsi="宋体" w:eastAsia="宋体" w:cs="宋体"/>
          <w:b/>
          <w:strike/>
          <w:dstrike w:val="0"/>
          <w:sz w:val="24"/>
          <w:szCs w:val="24"/>
          <w:highlight w:val="none"/>
        </w:rPr>
        <w:t>45.投标人资格审查</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45.1资格审查采用电子化审查方式进行，评标委员会利用计算机系统对投标人递交的资格审查文件进行独立评审。</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45.2《资格审查表》中序号2-5项（除广东省建筑施工企业管理人员安全生产考核信息系统安全生产管理人员证书信息的打印页、《信息公开证明》打印页外）评审内容的信息取自投标人在广州公共资源交易中心企业库、广州公共资源交易中心城市园林绿化企业工程业绩库中的资料。评标委员会对该部分内容的审查，以开标当天中午12时在广州公共资源交易中心企业库、广州公共资源交易中心城市园林绿化企业工程业绩库中的资料为依据。</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45.3资格审查文件中全部符合《资格审查表》中情形的，为资格审查合格。否则为资格审查不合格，经评标委员会认定后，其投标文件不进入下一轮评审。如评标委员会成员的评审意见不一致时，可公开要求投标人进行澄清，并记录及由评标委员会、作出澄清的投标人签字确认，以评标委员会过半数成员的意见作为评标委员会对该情形的认定结论。</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45.4汇总资格审查情况，编写资格审查报告。</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45.5资格审查不合格及存在42.4条款情形的投标文件不参加评标，不参与评标参考价的计算。</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45.6资格审查时，投标企业名称已经工商变更的，但企业及个人的资料未完成企业名称变更，仍然承认其有效；投标企业未及时办理变更手续的，招标人或招标代理机构应通报发证部门。</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特别声明：资审合格后，投标人的资格发生变化而不满足投标人资格条件，在发出中标通知书前，资格问题仍未解决的，招标人将取消其中标资格。</w:t>
      </w:r>
    </w:p>
    <w:p>
      <w:pPr>
        <w:pStyle w:val="9"/>
        <w:tabs>
          <w:tab w:val="left" w:pos="7380"/>
        </w:tabs>
        <w:spacing w:after="0" w:line="360" w:lineRule="auto"/>
        <w:ind w:firstLine="0"/>
        <w:rPr>
          <w:rFonts w:hint="eastAsia" w:ascii="宋体" w:hAnsi="宋体" w:eastAsia="宋体" w:cs="宋体"/>
          <w:b/>
          <w:strike/>
          <w:dstrike w:val="0"/>
          <w:sz w:val="24"/>
          <w:szCs w:val="24"/>
          <w:highlight w:val="none"/>
        </w:rPr>
      </w:pPr>
      <w:r>
        <w:rPr>
          <w:rFonts w:hint="eastAsia" w:ascii="宋体" w:hAnsi="宋体" w:eastAsia="宋体" w:cs="宋体"/>
          <w:strike/>
          <w:dstrike w:val="0"/>
          <w:sz w:val="24"/>
          <w:szCs w:val="24"/>
          <w:highlight w:val="none"/>
        </w:rPr>
        <w:t xml:space="preserve">   </w:t>
      </w:r>
      <w:r>
        <w:rPr>
          <w:rFonts w:hint="eastAsia" w:ascii="宋体" w:hAnsi="宋体" w:eastAsia="宋体" w:cs="宋体"/>
          <w:b/>
          <w:strike/>
          <w:dstrike w:val="0"/>
          <w:sz w:val="24"/>
          <w:szCs w:val="24"/>
          <w:highlight w:val="none"/>
        </w:rPr>
        <w:t xml:space="preserve"> 46.第一阶段评标程序</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资格审查合格的投标人大于等于3家小于等于12家的，不进行第一阶段评标，全部进入第二评标阶段。</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46.1计算第一阶段投标人的报价得分</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46.1.1在通过资格审查的投标人中确定第一阶段评标参考价。</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46.1.2若位于[最高投标限价×80%，最高投标限价]区间的投标报价大于等于1个少于等于4个时，则取全部位于[最高投标限价×80%，最高投标限价]区间内的报价计算算术平均值，该算术平均值为第一评标阶段参考价。</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46.1.3 若位于[最高投标限价×80%，最高投标限价]区间的投标报价大于4个时，将区间内的投标人报价进行由低到高排序。按顺序计算每一报价与下一报价的绝对差值为该报价（相对报价低者）的报价差，最后一名报价的报价差记为0，按报价差由高到低的顺序进行排序，按顺序取前三名的报价计算平均值为第一阶段评标参考价（若出现投标报价的报价差相同时，所有涉及计算该报价差的投标报价均不参与评标参考价的计算。剔除以上投标报价后，可参与计算的投标人不足三名的，则取剩余所有的报价计算平均值为第一阶段评标参考价。剔除以上报价后，无可参与计算的投标人的，招标失败。）。评标委员会应对报价或报价差相同的投标文件进行报价分析，确定是否串标，并及时向监督机构报告。</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46.1.4若没有报价位于[最高投标限价×80%，最高投标限价]区间的，招标人应重新招标。</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46.2投标报价以数字和文字两种方式表述的，取文字表述的投标报价进行计算。</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46.3投标人的投标报价、投标报价平均值、第一阶段评标参考价均精确到“分”。</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46.4当报价等于第一阶段评标参考价时得100分，报价每高于评标参考价1%，扣1.5分；每低于评标参考价1%，扣1分，扣至0分为止，得分按四舍五入的原则保留两位小数。</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46.5计算投标人的业绩得分。</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46.6计算投标人第一阶段的总得分（满分为100分）</w:t>
      </w:r>
    </w:p>
    <w:p>
      <w:pPr>
        <w:pStyle w:val="9"/>
        <w:tabs>
          <w:tab w:val="left" w:pos="7380"/>
        </w:tabs>
        <w:spacing w:after="0" w:line="360" w:lineRule="auto"/>
        <w:ind w:left="479" w:leftChars="228" w:firstLine="40" w:firstLineChars="17"/>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46.6.1权重分配：业绩得分3分，报价得分权重</w:t>
      </w:r>
      <w:r>
        <w:rPr>
          <w:rFonts w:hint="eastAsia" w:ascii="宋体" w:hAnsi="宋体" w:eastAsia="宋体" w:cs="宋体"/>
          <w:strike/>
          <w:dstrike w:val="0"/>
          <w:sz w:val="24"/>
          <w:szCs w:val="24"/>
          <w:highlight w:val="none"/>
          <w:u w:val="single"/>
        </w:rPr>
        <w:t xml:space="preserve">   </w:t>
      </w:r>
      <w:r>
        <w:rPr>
          <w:rFonts w:hint="eastAsia" w:ascii="宋体" w:hAnsi="宋体" w:eastAsia="宋体" w:cs="宋体"/>
          <w:strike/>
          <w:dstrike w:val="0"/>
          <w:sz w:val="24"/>
          <w:szCs w:val="24"/>
          <w:highlight w:val="none"/>
        </w:rPr>
        <w:t>%，诚信综合评价得分权重</w:t>
      </w:r>
      <w:r>
        <w:rPr>
          <w:rFonts w:hint="eastAsia" w:ascii="宋体" w:hAnsi="宋体" w:eastAsia="宋体" w:cs="宋体"/>
          <w:strike/>
          <w:dstrike w:val="0"/>
          <w:sz w:val="24"/>
          <w:szCs w:val="24"/>
          <w:highlight w:val="none"/>
          <w:u w:val="single"/>
        </w:rPr>
        <w:t xml:space="preserve">   </w:t>
      </w:r>
      <w:r>
        <w:rPr>
          <w:rFonts w:hint="eastAsia" w:ascii="宋体" w:hAnsi="宋体" w:eastAsia="宋体" w:cs="宋体"/>
          <w:strike/>
          <w:dstrike w:val="0"/>
          <w:sz w:val="24"/>
          <w:szCs w:val="24"/>
          <w:highlight w:val="none"/>
        </w:rPr>
        <w:t>%。注：诚信综合评价得分权重占0-10%，报价得分权重=100-业绩得分-诚信综合评价</w:t>
      </w:r>
    </w:p>
    <w:p>
      <w:pPr>
        <w:pStyle w:val="9"/>
        <w:tabs>
          <w:tab w:val="left" w:pos="7380"/>
        </w:tabs>
        <w:spacing w:after="0" w:line="360" w:lineRule="auto"/>
        <w:ind w:firstLine="0"/>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得分权重。企业诚信综合评价得分，以开标当天广州公共资源交易中心网站上公布的广州市园林绿化企业诚信综合评价体系得分为准。</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46.6.2投标人第一阶段评标总得分=报价得分×报价得分权重+业绩得分+诚信综合评价得分×诚信综合评价得分权重。</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46.6.3按照投标人总得分从高至低依次进行排序，总得分相同的以业绩分高的排前，仍相同的再以诚信综合得分高的排前。</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46.6.4第一阶段总得分由高至低排序确定后，选取中间分数。当投标家数N为偶数时，排在第</w:t>
      </w:r>
      <w:r>
        <w:rPr>
          <w:rFonts w:hint="eastAsia" w:ascii="宋体" w:hAnsi="宋体" w:eastAsia="宋体" w:cs="宋体"/>
          <w:strike/>
          <w:dstrike w:val="0"/>
          <w:position w:val="-24"/>
          <w:sz w:val="24"/>
          <w:szCs w:val="24"/>
          <w:highlight w:val="none"/>
        </w:rPr>
        <w:object>
          <v:shape id="_x0000_i1025" o:spt="75" type="#_x0000_t75" style="height:31pt;width:16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宋体" w:hAnsi="宋体" w:eastAsia="宋体" w:cs="宋体"/>
          <w:strike/>
          <w:dstrike w:val="0"/>
          <w:sz w:val="24"/>
          <w:szCs w:val="24"/>
          <w:highlight w:val="none"/>
        </w:rPr>
        <w:t>位的分数为中间分数，当</w:t>
      </w:r>
      <w:r>
        <w:rPr>
          <w:rFonts w:hint="eastAsia" w:ascii="宋体" w:hAnsi="宋体" w:eastAsia="宋体" w:cs="宋体"/>
          <w:strike/>
          <w:dstrike w:val="0"/>
          <w:position w:val="-24"/>
          <w:sz w:val="24"/>
          <w:szCs w:val="24"/>
          <w:highlight w:val="none"/>
        </w:rPr>
        <w:object>
          <v:shape id="_x0000_i1026" o:spt="75" type="#_x0000_t75" style="height:31pt;width:16pt;" o:ole="t" filled="f" o:preferrelative="t" stroked="f" coordsize="21600,21600">
            <v:path/>
            <v:fill on="f" focussize="0,0"/>
            <v:stroke on="f"/>
            <v:imagedata r:id="rId6" o:title=""/>
            <o:lock v:ext="edit" aspectratio="t"/>
            <w10:wrap type="none"/>
            <w10:anchorlock/>
          </v:shape>
          <o:OLEObject Type="Embed" ProgID="Equation.KSEE3" ShapeID="_x0000_i1026" DrawAspect="Content" ObjectID="_1468075726" r:id="rId7">
            <o:LockedField>false</o:LockedField>
          </o:OLEObject>
        </w:object>
      </w:r>
      <w:r>
        <w:rPr>
          <w:rFonts w:hint="eastAsia" w:ascii="宋体" w:hAnsi="宋体" w:eastAsia="宋体" w:cs="宋体"/>
          <w:strike/>
          <w:dstrike w:val="0"/>
          <w:sz w:val="24"/>
          <w:szCs w:val="24"/>
          <w:highlight w:val="none"/>
        </w:rPr>
        <w:t>≥100时，排在第100位的分数为中间分数；投标家数为奇数时，排在第</w:t>
      </w:r>
      <w:r>
        <w:rPr>
          <w:rFonts w:hint="eastAsia" w:ascii="宋体" w:hAnsi="宋体" w:eastAsia="宋体" w:cs="宋体"/>
          <w:strike/>
          <w:dstrike w:val="0"/>
          <w:position w:val="-24"/>
          <w:sz w:val="24"/>
          <w:szCs w:val="24"/>
          <w:highlight w:val="none"/>
        </w:rPr>
        <w:object>
          <v:shape id="_x0000_i1027" o:spt="75" type="#_x0000_t75" style="height:31pt;width:31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r>
        <w:rPr>
          <w:rFonts w:hint="eastAsia" w:ascii="宋体" w:hAnsi="宋体" w:eastAsia="宋体" w:cs="宋体"/>
          <w:strike/>
          <w:dstrike w:val="0"/>
          <w:sz w:val="24"/>
          <w:szCs w:val="24"/>
          <w:highlight w:val="none"/>
        </w:rPr>
        <w:t>位的分数为中间分数，当</w:t>
      </w:r>
      <w:r>
        <w:rPr>
          <w:rFonts w:hint="eastAsia" w:ascii="宋体" w:hAnsi="宋体" w:eastAsia="宋体" w:cs="宋体"/>
          <w:strike/>
          <w:dstrike w:val="0"/>
          <w:position w:val="-24"/>
          <w:sz w:val="24"/>
          <w:szCs w:val="24"/>
          <w:highlight w:val="none"/>
        </w:rPr>
        <w:object>
          <v:shape id="_x0000_i1028" o:spt="75" type="#_x0000_t75" style="height:31pt;width:31pt;" o:ole="t" filled="f" o:preferrelative="t" stroked="f" coordsize="21600,21600">
            <v:path/>
            <v:fill on="f" focussize="0,0"/>
            <v:stroke on="f"/>
            <v:imagedata r:id="rId9" o:title=""/>
            <o:lock v:ext="edit" aspectratio="t"/>
            <w10:wrap type="none"/>
            <w10:anchorlock/>
          </v:shape>
          <o:OLEObject Type="Embed" ProgID="Equation.KSEE3" ShapeID="_x0000_i1028" DrawAspect="Content" ObjectID="_1468075728" r:id="rId10">
            <o:LockedField>false</o:LockedField>
          </o:OLEObject>
        </w:object>
      </w:r>
      <w:r>
        <w:rPr>
          <w:rFonts w:hint="eastAsia" w:ascii="宋体" w:hAnsi="宋体" w:eastAsia="宋体" w:cs="宋体"/>
          <w:strike/>
          <w:dstrike w:val="0"/>
          <w:sz w:val="24"/>
          <w:szCs w:val="24"/>
          <w:highlight w:val="none"/>
        </w:rPr>
        <w:t>大于等于100时，取排在第100位的分数为中间分数。</w:t>
      </w:r>
    </w:p>
    <w:p>
      <w:pPr>
        <w:pStyle w:val="9"/>
        <w:tabs>
          <w:tab w:val="left" w:pos="7380"/>
        </w:tabs>
        <w:spacing w:after="0" w:line="360" w:lineRule="auto"/>
        <w:ind w:firstLine="525" w:firstLineChars="218"/>
        <w:rPr>
          <w:rFonts w:hint="eastAsia" w:ascii="宋体" w:hAnsi="宋体" w:eastAsia="宋体" w:cs="宋体"/>
          <w:b/>
          <w:strike/>
          <w:dstrike w:val="0"/>
          <w:sz w:val="24"/>
          <w:szCs w:val="24"/>
          <w:highlight w:val="none"/>
        </w:rPr>
      </w:pPr>
      <w:r>
        <w:rPr>
          <w:rFonts w:hint="eastAsia" w:ascii="宋体" w:hAnsi="宋体" w:eastAsia="宋体" w:cs="宋体"/>
          <w:b/>
          <w:strike/>
          <w:dstrike w:val="0"/>
          <w:sz w:val="24"/>
          <w:szCs w:val="24"/>
          <w:highlight w:val="none"/>
        </w:rPr>
        <w:t>47.确定进入第二阶段评标的投标人</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47.1资格审查合格的投标人大于等于3家小于等于12家的，全部进入第二评标阶段。</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47.2当资格审查合格的投标人大于12家时，从42.7确定的第二阶段评标的投标人起点序号开始，顺序依次选取12家高于或等于中间分数的投标人（至最大序号不够12家时按序号循环）进入第二阶段评标。</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高于或等于中间分数的单位不超过12家的，按第一阶段评标分数高低补足至12家，其余的按第一阶段评标分数高低依次作为备选单位。</w:t>
      </w:r>
    </w:p>
    <w:p>
      <w:pPr>
        <w:snapToGrid w:val="0"/>
        <w:spacing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高于或等于中间分数的投标人大于12家的，取完12家后，继续按原顺序先取大于等于中间分数的依次作为备选单位，选取完大于等于中间分数的投标人后，再按第一阶段评标分数高低次序作为备选单位。</w:t>
      </w:r>
    </w:p>
    <w:p>
      <w:pPr>
        <w:pStyle w:val="9"/>
        <w:tabs>
          <w:tab w:val="left" w:pos="7380"/>
        </w:tabs>
        <w:spacing w:after="0" w:line="360" w:lineRule="auto"/>
        <w:ind w:firstLine="525" w:firstLineChars="218"/>
        <w:rPr>
          <w:rFonts w:hint="eastAsia" w:ascii="宋体" w:hAnsi="宋体" w:eastAsia="宋体" w:cs="宋体"/>
          <w:b/>
          <w:strike/>
          <w:dstrike w:val="0"/>
          <w:sz w:val="24"/>
          <w:szCs w:val="24"/>
          <w:highlight w:val="none"/>
        </w:rPr>
      </w:pPr>
      <w:r>
        <w:rPr>
          <w:rFonts w:hint="eastAsia" w:ascii="宋体" w:hAnsi="宋体" w:eastAsia="宋体" w:cs="宋体"/>
          <w:b/>
          <w:strike/>
          <w:dstrike w:val="0"/>
          <w:sz w:val="24"/>
          <w:szCs w:val="24"/>
          <w:highlight w:val="none"/>
        </w:rPr>
        <w:t>48.第二阶段评标阶段</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48.1投标文件否决性条款审查</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48.1.1对进入第二阶段评标阶段的投标人进行否决性条款审查，包括串通投标情形的核查、澄清及认定（如有）。投标文件中出现《投标文件否决性条款审查表》中任何一种情形的，评标委员会应否决其投标。如评标委员会成员的评审意见不一致时，以评标委员会过半数成员的意见作为评标委员会对该情形的认定结论。资格审查合格的单位大于12家时，当有单位不通过否决性条款的按备选单位的顺序依次递补，直至补足12家后按47.2条程序进行后续评标；全部资格审查合格单位依次递补后仍然不足12家的，按47.2条程序进行后续评标。</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如投标文件评审过程中，投标文件属于串通投标情形之一的（见《投标人串通投标评审表》），评标委员会应参考投标人的澄清，按招标文件评标办法中《投标人串通投标评审表》的规定进行评审。</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48.1.2投标报价算术复核。评标委员会将对进行否决性条款审查的投标文件投标报价按照就低不就高的原则进行算术复核，具体标准如下：</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48.1.2.1数字表述的金额和用文字表述的金额不一致时，应以文字表述的金额为准。</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48.1.2.2经算术复核的投标人报价与其投标报价不一致时，按就低不就高原则确定其最终报价。</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48.1.2.4当合价、金额累加错误时，按就低不就高原则，如果累加修正值小于原累加值，则按累加修正值；如果累加修正值大于原累加值，则按原累加值。</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48.1.2.5如果投标人的有关规费、所有暂列金额、暂估价等未按招标文件规定的金额填写的，由评标委员会按照招标文件规定的金额进行修正。</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48.1.2.7按就低不就高原则，当修正后报价小于原报价，总价按修正后报价；当修正后报价大于原报价，总价按原报价，并在签订合同时载明在结算价中扣除修正报价与原报价的差额。</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48.1.2.8按上述修正错误的原则及方法调整或修正投标文件的投标报价，调整后的投标报价对投标人起约束作用。如果投标人不接受修正后的报价，则取消其投标资格，并且其投标保证金也将不予退还。以上修正不影响修正前按步骤确定的投标人排序。</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48.1.2.9在评标过程中，评标委员会发现投标人的报价明显低于其他投标报价或者在设有成本警示价时明显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48.2计算通过否决性条款审查的投标人的投标报价（投标报价是指算术复核后的报价）算术平均值，按42.3抽取的计算第二阶段评标参考价的下浮率，计算评标参考价。当报价等于评标参考价时得100分，报价每高于评标参考价1%，扣1.5分；每低于评标参考价1%，扣1分，扣至0分为止，得分按四舍五入的原则保留两位小数。投标人的投标报价、投标报价平均值、评标参考价均精确到“分”。</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48.3评标委员会按照投标人报价得分从高到低排列先后次序。报价得分相同的投标文件，投标报价低的单位排序靠前；报价得分与投标报价均相同的投标文件，以诚信综合评价排名靠前的排前；如仍存在相同情况，则对具有相同情况的投标人，按中标候选人数量规定，由评标委员会采用随机抽取方式，确定中标候选人的排序。</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48.4评标结束后，评标委员会按照第41条要求向招标人推荐中标候选人，并编制评标报告。评标报告由评标委员会全体签名，对评标结论有异议的评标委员会成员可以书面阐述其不同意见和理由。评标委员会在评标报告提交后随即解散，评标过程中使用的文件、表格以及其他资料应当及时归还招标人（或招标代理）。</w:t>
      </w:r>
    </w:p>
    <w:p>
      <w:pPr>
        <w:pStyle w:val="9"/>
        <w:tabs>
          <w:tab w:val="left" w:pos="7380"/>
        </w:tabs>
        <w:spacing w:after="0" w:line="360" w:lineRule="auto"/>
        <w:ind w:firstLine="523" w:firstLineChars="218"/>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48.5资格审查合格的投标申请人或通过否决定性条款审查的投标人少于3个的，应修正招标方案，重新招标（当N个标段同时招标且不允许兼中时，资格审查合格的投标申请人或有效投标人少于N+2个的，应修正招标方案，重新招标）。</w:t>
      </w:r>
    </w:p>
    <w:p>
      <w:pPr>
        <w:pStyle w:val="9"/>
        <w:tabs>
          <w:tab w:val="left" w:pos="7380"/>
        </w:tabs>
        <w:spacing w:after="0" w:line="360" w:lineRule="auto"/>
        <w:ind w:firstLine="523" w:firstLineChars="218"/>
        <w:rPr>
          <w:rFonts w:hint="eastAsia" w:ascii="宋体" w:hAnsi="宋体" w:eastAsia="宋体" w:cs="宋体"/>
          <w:sz w:val="24"/>
          <w:szCs w:val="24"/>
          <w:highlight w:val="none"/>
        </w:rPr>
      </w:pPr>
    </w:p>
    <w:p>
      <w:pPr>
        <w:pStyle w:val="4"/>
        <w:spacing w:before="120"/>
        <w:rPr>
          <w:rFonts w:hint="eastAsia" w:ascii="宋体" w:hAnsi="宋体" w:eastAsia="宋体" w:cs="宋体"/>
          <w:strike w:val="0"/>
          <w:dstrike w:val="0"/>
          <w:highlight w:val="none"/>
        </w:rPr>
      </w:pPr>
      <w:bookmarkStart w:id="164" w:name="_可选办法二_综合评分法"/>
      <w:bookmarkEnd w:id="164"/>
      <w:bookmarkStart w:id="165" w:name="_Toc25194"/>
      <w:bookmarkStart w:id="166" w:name="_Toc23249"/>
      <w:bookmarkStart w:id="167" w:name="_Toc16088"/>
      <w:bookmarkStart w:id="168" w:name="_Toc3304"/>
      <w:bookmarkStart w:id="169" w:name="_Toc22091"/>
      <w:bookmarkStart w:id="170" w:name="_Toc19120"/>
      <w:bookmarkStart w:id="171" w:name="_Toc278"/>
      <w:bookmarkStart w:id="172" w:name="_Toc22847"/>
      <w:r>
        <w:rPr>
          <w:rFonts w:hint="eastAsia" w:ascii="宋体" w:hAnsi="宋体" w:eastAsia="宋体" w:cs="宋体"/>
          <w:strike w:val="0"/>
          <w:dstrike w:val="0"/>
          <w:highlight w:val="none"/>
        </w:rPr>
        <w:t>可选办法二 综合评分法</w:t>
      </w:r>
      <w:bookmarkEnd w:id="165"/>
      <w:bookmarkEnd w:id="166"/>
      <w:bookmarkEnd w:id="167"/>
      <w:bookmarkEnd w:id="168"/>
      <w:bookmarkEnd w:id="169"/>
      <w:bookmarkEnd w:id="170"/>
      <w:bookmarkEnd w:id="171"/>
      <w:bookmarkEnd w:id="172"/>
    </w:p>
    <w:p>
      <w:pPr>
        <w:snapToGrid w:val="0"/>
        <w:spacing w:line="360" w:lineRule="auto"/>
        <w:ind w:firstLine="525" w:firstLineChars="218"/>
        <w:rPr>
          <w:rFonts w:hint="eastAsia" w:ascii="宋体" w:hAnsi="宋体" w:eastAsia="宋体" w:cs="宋体"/>
          <w:b/>
          <w:strike w:val="0"/>
          <w:dstrike w:val="0"/>
          <w:sz w:val="24"/>
          <w:szCs w:val="24"/>
          <w:highlight w:val="none"/>
        </w:rPr>
      </w:pPr>
      <w:r>
        <w:rPr>
          <w:rFonts w:hint="eastAsia" w:ascii="宋体" w:hAnsi="宋体" w:eastAsia="宋体" w:cs="宋体"/>
          <w:b/>
          <w:strike w:val="0"/>
          <w:dstrike w:val="0"/>
          <w:sz w:val="24"/>
          <w:szCs w:val="24"/>
          <w:highlight w:val="none"/>
        </w:rPr>
        <w:t>42.开标和评标程序</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42.1投标人在递交投标文件截止时间到达后的1小时内，使用制作该投标文件的机构业务数字证书对其投标文件进行解密。</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42.2公布投标人名单，将显示出所有投标人信息及投标人投标文件递交情况以及解密情况。</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u w:val="thick"/>
        </w:rPr>
      </w:pPr>
      <w:r>
        <w:rPr>
          <w:rFonts w:hint="eastAsia" w:ascii="宋体" w:hAnsi="宋体" w:eastAsia="宋体" w:cs="宋体"/>
          <w:strike w:val="0"/>
          <w:dstrike w:val="0"/>
          <w:sz w:val="24"/>
          <w:szCs w:val="24"/>
          <w:highlight w:val="none"/>
        </w:rPr>
        <w:t>42.3随机抽取确定该工程计算评标参考价的下浮率X，从0.5%、1%、1.5%、2%、2.5%、3%、3.5%中抽取其中之一。</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42.4开标时，出现下列情形之一的投标人，不参与资格审查和评标，其投标文件作无效处理：</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42.4.1未成功递交或因投标人原因未成功导入投标文件的；</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42.4.2因投标人原因造成投标文件未解密的；</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42.4.3投标人未按要求递交投标保证金的；</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42.4.4两个（含两个）以上的投标人制作投标文件电脑机器特征码一致的；</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42.4.5项目负责人和安全员为同一人的。</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42.5招标人使用制作该招标文件的机构业务数字证书对已完成投标人解密的电子投标文件进行招标人解密。</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42.6将所有解密成功的电子投标文件导入系统并公开开标。</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文件开标时不得开启，在评标时由评标系统随机编号后开启，交由评标委员会进行评审。</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42.7由评标委员会对所有已公开开标的投标人进行资格审查。</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42.8投标文件否决性条款审查（含投标报价算术复核）。</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42.9对通过否决性条款审查的投标文件进行</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文件审查评分（暗标）。</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42.10揭晓</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文件评审结果。</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42.11对通过否决性条款审查的投标文件进行技术部分</w:t>
      </w:r>
      <w:r>
        <w:rPr>
          <w:rFonts w:hint="eastAsia" w:ascii="宋体" w:hAnsi="宋体" w:eastAsia="宋体" w:cs="宋体"/>
          <w:strike w:val="0"/>
          <w:dstrike w:val="0"/>
          <w:sz w:val="24"/>
          <w:szCs w:val="24"/>
          <w:highlight w:val="none"/>
          <w:lang w:eastAsia="zh-CN"/>
        </w:rPr>
        <w:t>技术部分（项目实施能力）</w:t>
      </w:r>
      <w:r>
        <w:rPr>
          <w:rFonts w:hint="eastAsia" w:ascii="宋体" w:hAnsi="宋体" w:eastAsia="宋体" w:cs="宋体"/>
          <w:strike w:val="0"/>
          <w:dstrike w:val="0"/>
          <w:sz w:val="24"/>
          <w:szCs w:val="24"/>
          <w:highlight w:val="none"/>
        </w:rPr>
        <w:t>文件审查评分。</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42.12对通过否决性条款审查的投标文件的投标报价进行评分。</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42.13按照“综合得分=</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得分×</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得分权重+</w:t>
      </w:r>
      <w:r>
        <w:rPr>
          <w:rFonts w:hint="eastAsia" w:ascii="宋体" w:hAnsi="宋体" w:eastAsia="宋体" w:cs="宋体"/>
          <w:strike w:val="0"/>
          <w:dstrike w:val="0"/>
          <w:sz w:val="24"/>
          <w:szCs w:val="24"/>
          <w:highlight w:val="none"/>
          <w:lang w:eastAsia="zh-CN"/>
        </w:rPr>
        <w:t>技术部分（项目实施能力）</w:t>
      </w:r>
      <w:r>
        <w:rPr>
          <w:rFonts w:hint="eastAsia" w:ascii="宋体" w:hAnsi="宋体" w:eastAsia="宋体" w:cs="宋体"/>
          <w:strike w:val="0"/>
          <w:dstrike w:val="0"/>
          <w:sz w:val="24"/>
          <w:szCs w:val="24"/>
          <w:highlight w:val="none"/>
        </w:rPr>
        <w:t>得分×</w:t>
      </w:r>
      <w:r>
        <w:rPr>
          <w:rFonts w:hint="eastAsia" w:ascii="宋体" w:hAnsi="宋体" w:eastAsia="宋体" w:cs="宋体"/>
          <w:strike w:val="0"/>
          <w:dstrike w:val="0"/>
          <w:sz w:val="24"/>
          <w:szCs w:val="24"/>
          <w:highlight w:val="none"/>
          <w:lang w:eastAsia="zh-CN"/>
        </w:rPr>
        <w:t>技术部分（项目实施能力）</w:t>
      </w:r>
      <w:r>
        <w:rPr>
          <w:rFonts w:hint="eastAsia" w:ascii="宋体" w:hAnsi="宋体" w:eastAsia="宋体" w:cs="宋体"/>
          <w:strike w:val="0"/>
          <w:dstrike w:val="0"/>
          <w:sz w:val="24"/>
          <w:szCs w:val="24"/>
          <w:highlight w:val="none"/>
        </w:rPr>
        <w:t>得分权重+报价得分×报价得分权重+诚信综合评价排名得分×诚信综合评价排名得分权重”的公式，计算各有效投标文件的综合得分，并按照综合得分高低排序。</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42.14评标委员会向招标人推荐中标候选人名单，并递交资格审查报告及评标报告。</w:t>
      </w:r>
    </w:p>
    <w:p>
      <w:pPr>
        <w:snapToGrid w:val="0"/>
        <w:spacing w:line="360" w:lineRule="auto"/>
        <w:ind w:firstLine="525" w:firstLineChars="218"/>
        <w:rPr>
          <w:rFonts w:hint="eastAsia" w:ascii="宋体" w:hAnsi="宋体" w:eastAsia="宋体" w:cs="宋体"/>
          <w:b/>
          <w:strike w:val="0"/>
          <w:dstrike w:val="0"/>
          <w:sz w:val="24"/>
          <w:szCs w:val="24"/>
          <w:highlight w:val="none"/>
        </w:rPr>
      </w:pPr>
      <w:r>
        <w:rPr>
          <w:rFonts w:hint="eastAsia" w:ascii="宋体" w:hAnsi="宋体" w:eastAsia="宋体" w:cs="宋体"/>
          <w:b/>
          <w:strike w:val="0"/>
          <w:dstrike w:val="0"/>
          <w:sz w:val="24"/>
          <w:szCs w:val="24"/>
          <w:highlight w:val="none"/>
        </w:rPr>
        <w:t>43.开标细则</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43.1开标由招标人或其委托的招标代理机构主持；</w:t>
      </w:r>
    </w:p>
    <w:p>
      <w:pPr>
        <w:pStyle w:val="9"/>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43.2由招标人或其推选的代表检查投标文件的投标人解密情况，也可以由招标人委托的公证机构检查并公证，之后由招标人对全部投标文件进行解密。</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43.3细则</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43.3.1递交投标文件截止时间前，各投标人将投标文件完整上传并保存在广州公共资源交易中心电子评标系统。</w:t>
      </w:r>
    </w:p>
    <w:p>
      <w:pPr>
        <w:pStyle w:val="9"/>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44"/>
          <w:sz w:val="24"/>
          <w:szCs w:val="24"/>
          <w:highlight w:val="none"/>
        </w:rPr>
        <w:t>43.3.2投标人自行决定是否参加开标会。</w:t>
      </w:r>
      <w:r>
        <w:rPr>
          <w:rFonts w:hint="eastAsia" w:ascii="宋体" w:hAnsi="宋体" w:eastAsia="宋体" w:cs="宋体"/>
          <w:strike w:val="0"/>
          <w:dstrike w:val="0"/>
          <w:sz w:val="24"/>
          <w:szCs w:val="24"/>
          <w:highlight w:val="none"/>
        </w:rPr>
        <w:t>若投标人对开标过程有异议，应在开标现场提出，投标人代表提出异议时须出示本人身份证原件。招标人应当当场作出答复，并制作记录。</w:t>
      </w:r>
    </w:p>
    <w:p>
      <w:pPr>
        <w:pStyle w:val="9"/>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44"/>
          <w:sz w:val="24"/>
          <w:szCs w:val="24"/>
          <w:highlight w:val="none"/>
        </w:rPr>
        <w:t>43.4</w:t>
      </w:r>
      <w:r>
        <w:rPr>
          <w:rFonts w:hint="eastAsia" w:ascii="宋体" w:hAnsi="宋体" w:eastAsia="宋体" w:cs="宋体"/>
          <w:strike w:val="0"/>
          <w:dstrike w:val="0"/>
          <w:sz w:val="24"/>
          <w:szCs w:val="24"/>
          <w:highlight w:val="none"/>
        </w:rPr>
        <w:t>开标前，首先由招标人或招标代理机构按42.3规定,现场随机抽取确定该工程计算评标参考价的下浮率X。招标人或招标代理机构在开标时，公布以下所有内容：a、投标人名称；b、电子投标文件解密情况；c、电子投标文件的递交情况；d、法定代表人证明及授权委托；e、投标保证金；f、投标报价；g、人工费；h、绿色施工安全防护措施费；i、工期；j、质量标准；k、施工组织设计承诺书。</w:t>
      </w:r>
    </w:p>
    <w:p>
      <w:pPr>
        <w:pStyle w:val="9"/>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43.5 投标报价以数字和文字两种方式表述的，应宣读文字表述的投标报价。</w:t>
      </w:r>
    </w:p>
    <w:p>
      <w:pPr>
        <w:pStyle w:val="9"/>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43.6招标人对开标过程进行记录，并存档备查。</w:t>
      </w:r>
    </w:p>
    <w:p>
      <w:pPr>
        <w:pStyle w:val="9"/>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43.7招标人将上述符合要求的投标文件，送至评标委员会进行评审。</w:t>
      </w:r>
    </w:p>
    <w:p>
      <w:pPr>
        <w:pStyle w:val="9"/>
        <w:tabs>
          <w:tab w:val="left" w:pos="7380"/>
        </w:tabs>
        <w:spacing w:after="0" w:line="360" w:lineRule="auto"/>
        <w:ind w:firstLine="525" w:firstLineChars="218"/>
        <w:rPr>
          <w:rFonts w:hint="eastAsia" w:ascii="宋体" w:hAnsi="宋体" w:eastAsia="宋体" w:cs="宋体"/>
          <w:b/>
          <w:strike w:val="0"/>
          <w:dstrike w:val="0"/>
          <w:sz w:val="24"/>
          <w:szCs w:val="24"/>
          <w:highlight w:val="none"/>
        </w:rPr>
      </w:pPr>
      <w:r>
        <w:rPr>
          <w:rFonts w:hint="eastAsia" w:ascii="宋体" w:hAnsi="宋体" w:eastAsia="宋体" w:cs="宋体"/>
          <w:b/>
          <w:strike w:val="0"/>
          <w:dstrike w:val="0"/>
          <w:sz w:val="24"/>
          <w:szCs w:val="24"/>
          <w:highlight w:val="none"/>
        </w:rPr>
        <w:t>44.资格审查及评标细则</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44.1资格审查及评标均由招标人依法组建的评标委员会负责。</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44.2评标委员会的组成：资格审查及投标文件的评审由评标委员会负责。</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44.3资格审查、否决性条款审查</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44.3.1评标委员会按资格审查的标准对所有递交投标文件的投标人进行审查，如资格审查合格的投标人不足3个时，应重新招标。</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44.3.2如通过否决性条款审查的投标人少于3个时，应重新招标。</w:t>
      </w:r>
    </w:p>
    <w:p>
      <w:pPr>
        <w:pStyle w:val="9"/>
        <w:tabs>
          <w:tab w:val="left" w:pos="7380"/>
        </w:tabs>
        <w:spacing w:after="0" w:line="360" w:lineRule="auto"/>
        <w:ind w:firstLine="525" w:firstLineChars="218"/>
        <w:rPr>
          <w:rFonts w:hint="eastAsia" w:ascii="宋体" w:hAnsi="宋体" w:eastAsia="宋体" w:cs="宋体"/>
          <w:b/>
          <w:strike w:val="0"/>
          <w:dstrike w:val="0"/>
          <w:sz w:val="24"/>
          <w:szCs w:val="24"/>
          <w:highlight w:val="none"/>
        </w:rPr>
      </w:pPr>
      <w:r>
        <w:rPr>
          <w:rFonts w:hint="eastAsia" w:ascii="宋体" w:hAnsi="宋体" w:eastAsia="宋体" w:cs="宋体"/>
          <w:b/>
          <w:strike w:val="0"/>
          <w:dstrike w:val="0"/>
          <w:sz w:val="24"/>
          <w:szCs w:val="24"/>
          <w:highlight w:val="none"/>
        </w:rPr>
        <w:t>45.投标人资格审查</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45.1资格审查采用电子化审查方式进行，评标委员会利用计算机系统对投标人递交的资格审查文件进行独立评审。</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45.2《资格审查表》中序号2-5项（除广东省建筑施工企业管理人员安全生产考核信息系统安全生产管理人员证书信息的打印页、《信息公开证明》打印页外）评审内容的信息取自投标人在广州公共资源交易中心企业库、广州公共资源交易中心城市园林绿化企业工程业绩库中的资料。评标委员会对该部分内容的审查，以开标当天中午12时在广州公共资源交易中心企业库、广州公共资源交易中心城市园林绿化企业工程业绩库中的资料为依据。</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45.3资格审查文件中全部符合《资格审查表》中情形的，为资格审查合格。否则为资格审查不合格，经评标委员会认定后，其投标文件不进入下一轮评审。如评标委员会成员的评审意见不一致时，可公开要求投标人进行澄清，并记录及由评标委员会、作出澄清的投标人签字确认，以评标委员会过半数成员的意见作为评标委员会对该情形的认定结论。</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45.4汇总资格审查情况，编写资格审查报告。</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45.5资格审查不合格及存在42.4条款情形的投标文件不参加评标，不参与评标参考价的计算。</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45.6资格审查时，投标企业名称已经工商变更的，但企业及个人的资料未完成企业名称变更，仍然承认其有效；投标企业未及时办理变更手续的，招标人或招标代理机构应通报发证部门。</w:t>
      </w:r>
    </w:p>
    <w:p>
      <w:pPr>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特别声明：资审合格后，投标人的资格发生变化而不满足投标人资格条件，在发出中标通知书前，资格问题仍未解决的，招标人将取消其中标资格。</w:t>
      </w:r>
    </w:p>
    <w:p>
      <w:pPr>
        <w:spacing w:line="360" w:lineRule="auto"/>
        <w:ind w:firstLine="525" w:firstLineChars="218"/>
        <w:rPr>
          <w:rFonts w:hint="eastAsia" w:ascii="宋体" w:hAnsi="宋体" w:eastAsia="宋体" w:cs="宋体"/>
          <w:b/>
          <w:strike w:val="0"/>
          <w:dstrike w:val="0"/>
          <w:sz w:val="24"/>
          <w:szCs w:val="24"/>
          <w:highlight w:val="none"/>
        </w:rPr>
      </w:pPr>
      <w:r>
        <w:rPr>
          <w:rFonts w:hint="eastAsia" w:ascii="宋体" w:hAnsi="宋体" w:eastAsia="宋体" w:cs="宋体"/>
          <w:b/>
          <w:strike w:val="0"/>
          <w:dstrike w:val="0"/>
          <w:sz w:val="24"/>
          <w:szCs w:val="24"/>
          <w:highlight w:val="none"/>
        </w:rPr>
        <w:t>46.评标细则</w:t>
      </w:r>
    </w:p>
    <w:p>
      <w:pPr>
        <w:pStyle w:val="9"/>
        <w:tabs>
          <w:tab w:val="left" w:pos="7380"/>
        </w:tabs>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46.1投标文件否决性条款审查</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46.1.1投标报价算术复核。评标委员会将对进行否决性条款审查的投标文件投标报价按照就低不就高的原则进行算术复核，具体标准如下：</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46.1.1.1数字表述的金额和用文字表述的金额不一致时，应以文字表述的金额为准。</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46.1.1.2经算术复核的投标人报价与其投标报价不一致时，按就低不就高原则确定其最终报价。</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46.1.1.3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46.1.1.4当合价、金额累加错误时，按就低不就高原则，如果累加修正值小于原累加值，则按累加修正值；如果累加修正值大于原累加值，则按原累加值。</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46.1.1.5如果投标人的有关规费、所有暂列金额、暂估价等未按招标文件规定的金额填写的，由评标委员会按照招标文件规定的金额进行修正。</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46.1.1.6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46.1.1.7按就低不就高原则，当修正后报价小于原报价，总价按修正后报价；当修正后报价大于原报价，总价按原报价，并在签订合同时载明在结算价中扣除修正报价与原报价的差额。</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46.1.1.8按上述修正错误的原则及方法调整或修正投标文件的投标报价，调整后的投标报价对投标人起约束作用。如果投标人不接受修正后的报价，则取消其投标资格，并且其投标保证金也将不予退还。以上修正不影响修正前按步骤确定的投标人排序。</w:t>
      </w:r>
    </w:p>
    <w:p>
      <w:pPr>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46.1.2在评标过程中，评标委员会发现投标人的报价明显低于其他投标报价或者在设有成本警示价时明显低于成本警示价，使得其投标报价可能低于其个别成本的，应当要求该投标人作出书面说明并提供相关证明材料。投标人不能合理说明或者不能提供相关证明材料的，由评标委员会认定该投标人低于成本报价竞标，应当否决其投标。</w:t>
      </w:r>
    </w:p>
    <w:p>
      <w:pPr>
        <w:spacing w:line="360" w:lineRule="auto"/>
        <w:ind w:firstLine="480" w:firstLineChars="2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46.1.3对资格审查合格的投标人进行否决性条款审查，包括串通投标情形的核查、澄清及认定（如有）。投标文件中出现《投标文件否决性条款审查表》中任何一种情形的，评标委员会应否决其投标。如评标委员会成员的评审意见不一致时，以评标委员会过半数成员的意见作为评标委员会对该情形的认定结论。</w:t>
      </w:r>
    </w:p>
    <w:p>
      <w:pPr>
        <w:spacing w:line="360" w:lineRule="auto"/>
        <w:ind w:firstLine="480" w:firstLineChars="2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如投标文件评审过程中，投标文件属于串通投标情形之一的（见《投标人串通投标评审表》），评标委员会应参考投标人的澄清，按招标文件评标办法中《投标人串通投标评审表》的规定进行评审。</w:t>
      </w:r>
    </w:p>
    <w:p>
      <w:pPr>
        <w:spacing w:line="360" w:lineRule="auto"/>
        <w:ind w:firstLine="480" w:firstLineChars="2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46.2</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否决性审查：对投标文件否决性条款审查合格的投标人进行</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否决性审查。投标文件中出现《</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文件否决性条款审查表》中任何一种情形的，评标委员会应否决其投标。如评标委员会成员的评审意见不一致时，以评标委员会过半数成员的意见作为评标委员会对该情形的认定结论。</w:t>
      </w:r>
    </w:p>
    <w:p>
      <w:pPr>
        <w:spacing w:line="360" w:lineRule="auto"/>
        <w:ind w:firstLine="480" w:firstLineChars="2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46.3</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审查评分：评标委员会按照《</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审查评分表》的标准，对通过否决性条款审查的投标文件进行</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审查，评出</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得分。</w:t>
      </w:r>
    </w:p>
    <w:p>
      <w:pPr>
        <w:spacing w:line="360" w:lineRule="auto"/>
        <w:ind w:firstLine="480" w:firstLineChars="2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46.4在评标委员会全体成员均完成暗标评审和汇总后，由评标委员会确定投标人与暗标编号的对应关系，并在</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标号确认表上签字确认。</w:t>
      </w:r>
    </w:p>
    <w:p>
      <w:pPr>
        <w:spacing w:line="360" w:lineRule="auto"/>
        <w:ind w:firstLine="480" w:firstLineChars="2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46.5</w:t>
      </w:r>
      <w:r>
        <w:rPr>
          <w:rFonts w:hint="eastAsia" w:ascii="宋体" w:hAnsi="宋体" w:eastAsia="宋体" w:cs="宋体"/>
          <w:strike w:val="0"/>
          <w:dstrike w:val="0"/>
          <w:sz w:val="24"/>
          <w:szCs w:val="24"/>
          <w:highlight w:val="none"/>
          <w:lang w:eastAsia="zh-CN"/>
        </w:rPr>
        <w:t>技术部分（项目实施能力）</w:t>
      </w:r>
      <w:r>
        <w:rPr>
          <w:rFonts w:hint="eastAsia" w:ascii="宋体" w:hAnsi="宋体" w:eastAsia="宋体" w:cs="宋体"/>
          <w:strike w:val="0"/>
          <w:dstrike w:val="0"/>
          <w:sz w:val="24"/>
          <w:szCs w:val="24"/>
          <w:highlight w:val="none"/>
        </w:rPr>
        <w:t>审查评分：评标委员会按照《</w:t>
      </w:r>
      <w:r>
        <w:rPr>
          <w:rFonts w:hint="eastAsia" w:ascii="宋体" w:hAnsi="宋体" w:eastAsia="宋体" w:cs="宋体"/>
          <w:strike w:val="0"/>
          <w:dstrike w:val="0"/>
          <w:sz w:val="24"/>
          <w:szCs w:val="24"/>
          <w:highlight w:val="none"/>
          <w:lang w:eastAsia="zh-CN"/>
        </w:rPr>
        <w:t>技术部分（项目实施能力）</w:t>
      </w:r>
      <w:r>
        <w:rPr>
          <w:rFonts w:hint="eastAsia" w:ascii="宋体" w:hAnsi="宋体" w:eastAsia="宋体" w:cs="宋体"/>
          <w:strike w:val="0"/>
          <w:dstrike w:val="0"/>
          <w:sz w:val="24"/>
          <w:szCs w:val="24"/>
          <w:highlight w:val="none"/>
        </w:rPr>
        <w:t>审查评分表》的标准，对通过否决性条款审查的投标文件进行详细审查，评出</w:t>
      </w:r>
      <w:r>
        <w:rPr>
          <w:rFonts w:hint="eastAsia" w:ascii="宋体" w:hAnsi="宋体" w:eastAsia="宋体" w:cs="宋体"/>
          <w:strike w:val="0"/>
          <w:dstrike w:val="0"/>
          <w:sz w:val="24"/>
          <w:szCs w:val="24"/>
          <w:highlight w:val="none"/>
          <w:lang w:eastAsia="zh-CN"/>
        </w:rPr>
        <w:t>技术部分（项目实施能力）</w:t>
      </w:r>
      <w:r>
        <w:rPr>
          <w:rFonts w:hint="eastAsia" w:ascii="宋体" w:hAnsi="宋体" w:eastAsia="宋体" w:cs="宋体"/>
          <w:strike w:val="0"/>
          <w:dstrike w:val="0"/>
          <w:sz w:val="24"/>
          <w:szCs w:val="24"/>
          <w:highlight w:val="none"/>
        </w:rPr>
        <w:t>得分。</w:t>
      </w:r>
    </w:p>
    <w:p>
      <w:pPr>
        <w:spacing w:line="360" w:lineRule="auto"/>
        <w:ind w:firstLine="480" w:firstLineChars="2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46.6对通过否决性条款审查的投标人的投标报价进行评分</w:t>
      </w:r>
    </w:p>
    <w:p>
      <w:pPr>
        <w:spacing w:line="360" w:lineRule="auto"/>
        <w:ind w:firstLine="480" w:firstLineChars="2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46.6.1以通过否决性条款审查的投标人中，随机抽取一半数量（四舍五入取整数）的投标报价，取其算术平均值下浮X作为评标参考价。（例：通过否决性条款审查的投标人的报价为3家，随机抽取2家投标人报价的算术平均值下浮X作为评标参考价。）</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46.6.2当报价等于评标参考价时得100分，报价每高于评标参考价1%，扣1.5分，每低于评标参考价1%，扣1分，扣至0分为止，得出报价得分，得分按四舍五入的原则保留两位小数。</w:t>
      </w:r>
    </w:p>
    <w:p>
      <w:pPr>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46.7计算通过否决性条款审查的投标人综合得分</w:t>
      </w:r>
    </w:p>
    <w:p>
      <w:pPr>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46.7.1权重分配：</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得分权重</w:t>
      </w:r>
      <w:r>
        <w:rPr>
          <w:rFonts w:hint="eastAsia" w:ascii="宋体" w:hAnsi="宋体" w:eastAsia="宋体" w:cs="宋体"/>
          <w:strike w:val="0"/>
          <w:dstrike w:val="0"/>
          <w:sz w:val="24"/>
          <w:szCs w:val="24"/>
          <w:highlight w:val="none"/>
          <w:u w:val="single"/>
        </w:rPr>
        <w:t xml:space="preserve">   </w:t>
      </w:r>
      <w:r>
        <w:rPr>
          <w:rFonts w:hint="eastAsia" w:ascii="宋体" w:hAnsi="宋体" w:eastAsia="宋体" w:cs="宋体"/>
          <w:strike w:val="0"/>
          <w:dstrike w:val="0"/>
          <w:sz w:val="24"/>
          <w:szCs w:val="24"/>
          <w:highlight w:val="none"/>
        </w:rPr>
        <w:t>%，</w:t>
      </w:r>
      <w:r>
        <w:rPr>
          <w:rFonts w:hint="eastAsia" w:ascii="宋体" w:hAnsi="宋体" w:eastAsia="宋体" w:cs="宋体"/>
          <w:strike w:val="0"/>
          <w:dstrike w:val="0"/>
          <w:sz w:val="24"/>
          <w:szCs w:val="24"/>
          <w:highlight w:val="none"/>
          <w:lang w:eastAsia="zh-CN"/>
        </w:rPr>
        <w:t>技术部分（项目实施能力）</w:t>
      </w:r>
      <w:r>
        <w:rPr>
          <w:rFonts w:hint="eastAsia" w:ascii="宋体" w:hAnsi="宋体" w:eastAsia="宋体" w:cs="宋体"/>
          <w:strike w:val="0"/>
          <w:dstrike w:val="0"/>
          <w:sz w:val="24"/>
          <w:szCs w:val="24"/>
          <w:highlight w:val="none"/>
        </w:rPr>
        <w:t>得分权重</w:t>
      </w:r>
      <w:r>
        <w:rPr>
          <w:rFonts w:hint="eastAsia" w:ascii="宋体" w:hAnsi="宋体" w:eastAsia="宋体" w:cs="宋体"/>
          <w:strike w:val="0"/>
          <w:dstrike w:val="0"/>
          <w:sz w:val="24"/>
          <w:szCs w:val="24"/>
          <w:highlight w:val="none"/>
          <w:u w:val="single"/>
        </w:rPr>
        <w:t xml:space="preserve">   </w:t>
      </w:r>
      <w:r>
        <w:rPr>
          <w:rFonts w:hint="eastAsia" w:ascii="宋体" w:hAnsi="宋体" w:eastAsia="宋体" w:cs="宋体"/>
          <w:strike w:val="0"/>
          <w:dstrike w:val="0"/>
          <w:sz w:val="24"/>
          <w:szCs w:val="24"/>
          <w:highlight w:val="none"/>
        </w:rPr>
        <w:t>%，报价得分权重</w:t>
      </w:r>
      <w:r>
        <w:rPr>
          <w:rFonts w:hint="eastAsia" w:ascii="宋体" w:hAnsi="宋体" w:eastAsia="宋体" w:cs="宋体"/>
          <w:strike w:val="0"/>
          <w:dstrike w:val="0"/>
          <w:sz w:val="24"/>
          <w:szCs w:val="24"/>
          <w:highlight w:val="none"/>
          <w:u w:val="single"/>
        </w:rPr>
        <w:t xml:space="preserve">   </w:t>
      </w:r>
      <w:r>
        <w:rPr>
          <w:rFonts w:hint="eastAsia" w:ascii="宋体" w:hAnsi="宋体" w:eastAsia="宋体" w:cs="宋体"/>
          <w:strike w:val="0"/>
          <w:dstrike w:val="0"/>
          <w:sz w:val="24"/>
          <w:szCs w:val="24"/>
          <w:highlight w:val="none"/>
        </w:rPr>
        <w:t>%，诚信综合评价得分权重</w:t>
      </w:r>
      <w:r>
        <w:rPr>
          <w:rFonts w:hint="eastAsia" w:ascii="宋体" w:hAnsi="宋体" w:eastAsia="宋体" w:cs="宋体"/>
          <w:strike w:val="0"/>
          <w:dstrike w:val="0"/>
          <w:sz w:val="24"/>
          <w:szCs w:val="24"/>
          <w:highlight w:val="none"/>
          <w:u w:val="single"/>
        </w:rPr>
        <w:t xml:space="preserve">   </w:t>
      </w:r>
      <w:r>
        <w:rPr>
          <w:rFonts w:hint="eastAsia" w:ascii="宋体" w:hAnsi="宋体" w:eastAsia="宋体" w:cs="宋体"/>
          <w:strike w:val="0"/>
          <w:dstrike w:val="0"/>
          <w:sz w:val="24"/>
          <w:szCs w:val="24"/>
          <w:highlight w:val="none"/>
        </w:rPr>
        <w:t>%。</w:t>
      </w:r>
    </w:p>
    <w:p>
      <w:pPr>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注：特殊性工程、复杂和大型工程，</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得分权重不少于10%，报价得分权重不少于60%，诚信综合评价得分权重占0%-25%；其他工程，</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得分权重不少于5%，报价得分权重不少于80%，诚信综合评价得分权重占0-10%。</w:t>
      </w:r>
      <w:r>
        <w:rPr>
          <w:rFonts w:hint="eastAsia" w:ascii="宋体" w:hAnsi="宋体" w:eastAsia="宋体" w:cs="宋体"/>
          <w:strike w:val="0"/>
          <w:dstrike w:val="0"/>
          <w:sz w:val="24"/>
          <w:szCs w:val="24"/>
          <w:highlight w:val="none"/>
          <w:lang w:eastAsia="zh-CN"/>
        </w:rPr>
        <w:t>技术部分（项目实施能力）</w:t>
      </w:r>
      <w:r>
        <w:rPr>
          <w:rFonts w:hint="eastAsia" w:ascii="宋体" w:hAnsi="宋体" w:eastAsia="宋体" w:cs="宋体"/>
          <w:strike w:val="0"/>
          <w:dstrike w:val="0"/>
          <w:sz w:val="24"/>
          <w:szCs w:val="24"/>
          <w:highlight w:val="none"/>
        </w:rPr>
        <w:t>权重=100-</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得分权重-报价得分权重-诚信综合评价得分权重。企业诚信综合评价得分，以开标当天广州公共资源交易中心网站上公布的广州市园林绿化企业诚信综合评价体系得分为准。</w:t>
      </w:r>
    </w:p>
    <w:p>
      <w:pPr>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46.7.2投标人综合得分=</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得分×</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得分权重+</w:t>
      </w:r>
      <w:r>
        <w:rPr>
          <w:rFonts w:hint="eastAsia" w:ascii="宋体" w:hAnsi="宋体" w:eastAsia="宋体" w:cs="宋体"/>
          <w:strike w:val="0"/>
          <w:dstrike w:val="0"/>
          <w:sz w:val="24"/>
          <w:szCs w:val="24"/>
          <w:highlight w:val="none"/>
          <w:lang w:eastAsia="zh-CN"/>
        </w:rPr>
        <w:t>技术部分（项目实施能力）</w:t>
      </w:r>
      <w:r>
        <w:rPr>
          <w:rFonts w:hint="eastAsia" w:ascii="宋体" w:hAnsi="宋体" w:eastAsia="宋体" w:cs="宋体"/>
          <w:strike w:val="0"/>
          <w:dstrike w:val="0"/>
          <w:sz w:val="24"/>
          <w:szCs w:val="24"/>
          <w:highlight w:val="none"/>
        </w:rPr>
        <w:t>得分×</w:t>
      </w:r>
      <w:r>
        <w:rPr>
          <w:rFonts w:hint="eastAsia" w:ascii="宋体" w:hAnsi="宋体" w:eastAsia="宋体" w:cs="宋体"/>
          <w:strike w:val="0"/>
          <w:dstrike w:val="0"/>
          <w:sz w:val="24"/>
          <w:szCs w:val="24"/>
          <w:highlight w:val="none"/>
          <w:lang w:eastAsia="zh-CN"/>
        </w:rPr>
        <w:t>技术部分（项目实施能力）</w:t>
      </w:r>
      <w:r>
        <w:rPr>
          <w:rFonts w:hint="eastAsia" w:ascii="宋体" w:hAnsi="宋体" w:eastAsia="宋体" w:cs="宋体"/>
          <w:strike w:val="0"/>
          <w:dstrike w:val="0"/>
          <w:sz w:val="24"/>
          <w:szCs w:val="24"/>
          <w:highlight w:val="none"/>
        </w:rPr>
        <w:t>得分权重+报价得分×报价得分权重+诚信综合评价排名得分×诚信综合评价排名得分权重。投标人综合得分、</w:t>
      </w:r>
      <w:r>
        <w:rPr>
          <w:rFonts w:hint="eastAsia" w:ascii="宋体" w:hAnsi="宋体" w:eastAsia="宋体" w:cs="宋体"/>
          <w:strike w:val="0"/>
          <w:dstrike w:val="0"/>
          <w:sz w:val="24"/>
          <w:szCs w:val="24"/>
          <w:highlight w:val="none"/>
          <w:lang w:eastAsia="zh-CN"/>
        </w:rPr>
        <w:t>技术部分（施工组织方案）</w:t>
      </w:r>
      <w:r>
        <w:rPr>
          <w:rFonts w:hint="eastAsia" w:ascii="宋体" w:hAnsi="宋体" w:eastAsia="宋体" w:cs="宋体"/>
          <w:strike w:val="0"/>
          <w:dstrike w:val="0"/>
          <w:sz w:val="24"/>
          <w:szCs w:val="24"/>
          <w:highlight w:val="none"/>
        </w:rPr>
        <w:t>得分、</w:t>
      </w:r>
      <w:r>
        <w:rPr>
          <w:rFonts w:hint="eastAsia" w:ascii="宋体" w:hAnsi="宋体" w:eastAsia="宋体" w:cs="宋体"/>
          <w:strike w:val="0"/>
          <w:dstrike w:val="0"/>
          <w:sz w:val="24"/>
          <w:szCs w:val="24"/>
          <w:highlight w:val="none"/>
          <w:lang w:eastAsia="zh-CN"/>
        </w:rPr>
        <w:t>技术部分（项目实施能力）</w:t>
      </w:r>
      <w:r>
        <w:rPr>
          <w:rFonts w:hint="eastAsia" w:ascii="宋体" w:hAnsi="宋体" w:eastAsia="宋体" w:cs="宋体"/>
          <w:strike w:val="0"/>
          <w:dstrike w:val="0"/>
          <w:sz w:val="24"/>
          <w:szCs w:val="24"/>
          <w:highlight w:val="none"/>
        </w:rPr>
        <w:t>得分、报价得分和诚信综合评价排名得分满分为100分。</w:t>
      </w:r>
    </w:p>
    <w:p>
      <w:pPr>
        <w:snapToGrid w:val="0"/>
        <w:spacing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46.8评标委员会按照各有效投标人的综合得分从高到低排列先后次序。综合得分相同的，以诚信综合评价排名靠前的排前；如仍存在相同情况，则对具有相同情况的投标人，按中标候选人数量规定，由评标委员会采用随机抽取方式，确定中标候选人的排序。</w:t>
      </w:r>
    </w:p>
    <w:p>
      <w:pPr>
        <w:pStyle w:val="9"/>
        <w:tabs>
          <w:tab w:val="left" w:pos="7380"/>
        </w:tabs>
        <w:spacing w:after="0" w:line="360" w:lineRule="auto"/>
        <w:ind w:firstLine="523" w:firstLineChars="218"/>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46.9评标结束后，评标委员会按照第41条要求向招标人推荐中标候选人，并编制评标报告。评标报告由评标委员会全体签名，对评标结论有异议的评标委员会成员可以书面阐述其不同意见和理由。评标委员会在评标报告提交后随即解散，评标过程中使用的文件、表格以及其他资料应当及时归还招标人（或招标代理）。</w:t>
      </w:r>
    </w:p>
    <w:p>
      <w:pPr>
        <w:spacing w:line="360" w:lineRule="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 xml:space="preserve">    46.10资格审查合格的投标申请人或通过否决定性条款审查的投标人少于3个的，应修正招标方案，重新招标（当N个标段同时招标且不允许兼中时，资格审查合格的投标申请人或有效投标人少于N+2个的，应修正招标方案，重新招标）。</w:t>
      </w:r>
    </w:p>
    <w:p>
      <w:pPr>
        <w:spacing w:line="360" w:lineRule="auto"/>
        <w:ind w:firstLine="523" w:firstLineChars="218"/>
        <w:rPr>
          <w:rFonts w:hint="eastAsia" w:ascii="宋体" w:hAnsi="宋体" w:eastAsia="宋体" w:cs="宋体"/>
          <w:strike w:val="0"/>
          <w:dstrike w:val="0"/>
          <w:sz w:val="24"/>
          <w:szCs w:val="24"/>
          <w:highlight w:val="none"/>
        </w:rPr>
        <w:sectPr>
          <w:footerReference r:id="rId3" w:type="default"/>
          <w:endnotePr>
            <w:numFmt w:val="decimal"/>
          </w:endnotePr>
          <w:pgSz w:w="11850" w:h="16783"/>
          <w:pgMar w:top="1440" w:right="1080" w:bottom="1440" w:left="1080" w:header="851" w:footer="907" w:gutter="0"/>
          <w:pgNumType w:fmt="decimal" w:start="1"/>
          <w:cols w:space="720" w:num="1"/>
        </w:sectPr>
      </w:pPr>
    </w:p>
    <w:p>
      <w:pPr>
        <w:spacing w:line="360" w:lineRule="auto"/>
        <w:outlineLvl w:val="2"/>
        <w:rPr>
          <w:rFonts w:hint="eastAsia" w:ascii="宋体" w:hAnsi="宋体" w:eastAsia="宋体" w:cs="宋体"/>
          <w:sz w:val="24"/>
          <w:szCs w:val="24"/>
          <w:highlight w:val="none"/>
        </w:rPr>
      </w:pPr>
      <w:bookmarkStart w:id="173" w:name="_Toc10355"/>
      <w:r>
        <w:rPr>
          <w:rFonts w:hint="eastAsia" w:ascii="宋体" w:hAnsi="宋体" w:eastAsia="宋体" w:cs="宋体"/>
          <w:sz w:val="24"/>
          <w:szCs w:val="24"/>
          <w:highlight w:val="none"/>
        </w:rPr>
        <w:t>附件1</w:t>
      </w:r>
      <w:bookmarkEnd w:id="173"/>
    </w:p>
    <w:p>
      <w:pPr>
        <w:ind w:right="-437" w:rightChars="-208"/>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开标记录表</w:t>
      </w:r>
    </w:p>
    <w:p>
      <w:pPr>
        <w:jc w:val="center"/>
        <w:rPr>
          <w:rFonts w:hint="eastAsia" w:ascii="宋体" w:hAnsi="宋体" w:eastAsia="宋体" w:cs="宋体"/>
          <w:b/>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开标地点：                                                                        开标时间：   年   月   日   时   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评标参考价下浮点数：   %                                                          最高投标限价：          （元）</w:t>
      </w:r>
    </w:p>
    <w:p>
      <w:pPr>
        <w:spacing w:line="360" w:lineRule="auto"/>
        <w:rPr>
          <w:rFonts w:hint="eastAsia" w:ascii="宋体" w:hAnsi="宋体" w:eastAsia="宋体" w:cs="宋体"/>
          <w:szCs w:val="21"/>
          <w:highlight w:val="none"/>
        </w:rPr>
      </w:pPr>
    </w:p>
    <w:tbl>
      <w:tblPr>
        <w:tblStyle w:val="10"/>
        <w:tblW w:w="0" w:type="auto"/>
        <w:tblInd w:w="0" w:type="dxa"/>
        <w:tblLayout w:type="fixed"/>
        <w:tblCellMar>
          <w:top w:w="0" w:type="dxa"/>
          <w:left w:w="0" w:type="dxa"/>
          <w:bottom w:w="0" w:type="dxa"/>
          <w:right w:w="0" w:type="dxa"/>
        </w:tblCellMar>
      </w:tblPr>
      <w:tblGrid>
        <w:gridCol w:w="706"/>
        <w:gridCol w:w="803"/>
        <w:gridCol w:w="1101"/>
        <w:gridCol w:w="870"/>
        <w:gridCol w:w="870"/>
        <w:gridCol w:w="769"/>
        <w:gridCol w:w="803"/>
        <w:gridCol w:w="627"/>
        <w:gridCol w:w="611"/>
        <w:gridCol w:w="767"/>
        <w:gridCol w:w="855"/>
        <w:gridCol w:w="1116"/>
        <w:gridCol w:w="768"/>
        <w:gridCol w:w="785"/>
        <w:gridCol w:w="942"/>
        <w:gridCol w:w="784"/>
        <w:gridCol w:w="768"/>
        <w:gridCol w:w="959"/>
      </w:tblGrid>
      <w:tr>
        <w:tblPrEx>
          <w:tblCellMar>
            <w:top w:w="0" w:type="dxa"/>
            <w:left w:w="0" w:type="dxa"/>
            <w:bottom w:w="0" w:type="dxa"/>
            <w:right w:w="0" w:type="dxa"/>
          </w:tblCellMar>
        </w:tblPrEx>
        <w:trPr>
          <w:trHeight w:val="780" w:hRule="atLeast"/>
        </w:trPr>
        <w:tc>
          <w:tcPr>
            <w:tcW w:w="7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投标人名称</w:t>
            </w:r>
          </w:p>
        </w:tc>
        <w:tc>
          <w:tcPr>
            <w:tcW w:w="11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投标文件是否解密</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电子标书递交是否成功</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法定代表人证明书及授权委托书</w:t>
            </w:r>
          </w:p>
        </w:tc>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项目负责人</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专职安全员</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投标保证金（元）</w:t>
            </w:r>
          </w:p>
        </w:tc>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投标总报价（元）</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其中：人工费（元）</w:t>
            </w:r>
          </w:p>
        </w:tc>
        <w:tc>
          <w:tcPr>
            <w:tcW w:w="11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其中：绿色施工安全防护措施费（元）</w:t>
            </w:r>
          </w:p>
        </w:tc>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总工期</w:t>
            </w:r>
          </w:p>
        </w:tc>
        <w:tc>
          <w:tcPr>
            <w:tcW w:w="7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工程质量标准</w:t>
            </w:r>
          </w:p>
        </w:tc>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施工组织设计承诺书</w:t>
            </w:r>
          </w:p>
        </w:tc>
        <w:tc>
          <w:tcPr>
            <w:tcW w:w="7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是否废标</w:t>
            </w:r>
          </w:p>
        </w:tc>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废标原因</w:t>
            </w:r>
          </w:p>
        </w:tc>
        <w:tc>
          <w:tcPr>
            <w:tcW w:w="9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投标人签名确认</w:t>
            </w:r>
          </w:p>
        </w:tc>
      </w:tr>
      <w:tr>
        <w:tblPrEx>
          <w:tblCellMar>
            <w:top w:w="0" w:type="dxa"/>
            <w:left w:w="0" w:type="dxa"/>
            <w:bottom w:w="0" w:type="dxa"/>
            <w:right w:w="0" w:type="dxa"/>
          </w:tblCellMar>
        </w:tblPrEx>
        <w:trPr>
          <w:trHeight w:val="1020" w:hRule="atLeast"/>
        </w:trPr>
        <w:tc>
          <w:tcPr>
            <w:tcW w:w="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缴纳方式</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金额</w:t>
            </w:r>
          </w:p>
        </w:tc>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bl>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注：本表部分信息源自《广州园林绿化工程施工招标投标书》。</w:t>
      </w: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 xml:space="preserve">招标人代表：                                                       招标代理机构代表： </w:t>
      </w:r>
    </w:p>
    <w:p>
      <w:pPr>
        <w:pStyle w:val="9"/>
        <w:tabs>
          <w:tab w:val="left" w:pos="7380"/>
        </w:tabs>
        <w:spacing w:after="0" w:line="360" w:lineRule="auto"/>
        <w:ind w:firstLine="0"/>
        <w:rPr>
          <w:rFonts w:hint="eastAsia" w:ascii="宋体" w:hAnsi="宋体" w:eastAsia="宋体" w:cs="宋体"/>
          <w:szCs w:val="21"/>
          <w:highlight w:val="none"/>
        </w:rPr>
      </w:pPr>
    </w:p>
    <w:p>
      <w:pPr>
        <w:pStyle w:val="9"/>
        <w:tabs>
          <w:tab w:val="left" w:pos="7380"/>
        </w:tabs>
        <w:spacing w:after="0" w:line="360" w:lineRule="auto"/>
        <w:ind w:firstLine="0"/>
        <w:rPr>
          <w:rFonts w:hint="eastAsia" w:ascii="宋体" w:hAnsi="宋体" w:eastAsia="宋体" w:cs="宋体"/>
          <w:szCs w:val="21"/>
          <w:highlight w:val="none"/>
        </w:rPr>
      </w:pPr>
    </w:p>
    <w:p>
      <w:pPr>
        <w:pStyle w:val="9"/>
        <w:tabs>
          <w:tab w:val="left" w:pos="7380"/>
        </w:tabs>
        <w:spacing w:after="0" w:line="360" w:lineRule="auto"/>
        <w:ind w:firstLine="0"/>
        <w:rPr>
          <w:rFonts w:hint="eastAsia" w:ascii="宋体" w:hAnsi="宋体" w:eastAsia="宋体" w:cs="宋体"/>
          <w:szCs w:val="21"/>
          <w:highlight w:val="none"/>
        </w:rPr>
      </w:pPr>
    </w:p>
    <w:p>
      <w:pPr>
        <w:pStyle w:val="9"/>
        <w:tabs>
          <w:tab w:val="left" w:pos="7380"/>
        </w:tabs>
        <w:spacing w:after="0" w:line="360" w:lineRule="auto"/>
        <w:ind w:firstLine="0"/>
        <w:rPr>
          <w:rFonts w:hint="eastAsia" w:ascii="宋体" w:hAnsi="宋体" w:eastAsia="宋体" w:cs="宋体"/>
          <w:szCs w:val="21"/>
          <w:highlight w:val="none"/>
        </w:rPr>
      </w:pPr>
    </w:p>
    <w:p>
      <w:pPr>
        <w:pStyle w:val="9"/>
        <w:tabs>
          <w:tab w:val="left" w:pos="7380"/>
        </w:tabs>
        <w:spacing w:after="0" w:line="360" w:lineRule="auto"/>
        <w:ind w:firstLine="0"/>
        <w:rPr>
          <w:rFonts w:hint="eastAsia" w:ascii="宋体" w:hAnsi="宋体" w:eastAsia="宋体" w:cs="宋体"/>
          <w:szCs w:val="21"/>
          <w:highlight w:val="none"/>
        </w:rPr>
      </w:pPr>
    </w:p>
    <w:p>
      <w:pPr>
        <w:pStyle w:val="9"/>
        <w:tabs>
          <w:tab w:val="left" w:pos="7380"/>
        </w:tabs>
        <w:spacing w:after="0" w:line="360" w:lineRule="auto"/>
        <w:ind w:firstLine="0"/>
        <w:rPr>
          <w:rFonts w:hint="eastAsia" w:ascii="宋体" w:hAnsi="宋体" w:eastAsia="宋体" w:cs="宋体"/>
          <w:szCs w:val="21"/>
          <w:highlight w:val="none"/>
        </w:rPr>
      </w:pPr>
    </w:p>
    <w:p>
      <w:pPr>
        <w:spacing w:line="360" w:lineRule="auto"/>
        <w:outlineLvl w:val="2"/>
        <w:rPr>
          <w:rFonts w:hint="eastAsia" w:ascii="宋体" w:hAnsi="宋体" w:eastAsia="宋体" w:cs="宋体"/>
          <w:sz w:val="24"/>
          <w:szCs w:val="24"/>
          <w:highlight w:val="none"/>
        </w:rPr>
      </w:pPr>
      <w:bookmarkStart w:id="174" w:name="_Toc18570"/>
      <w:r>
        <w:rPr>
          <w:rFonts w:hint="eastAsia" w:ascii="宋体" w:hAnsi="宋体" w:eastAsia="宋体" w:cs="宋体"/>
          <w:sz w:val="24"/>
          <w:szCs w:val="24"/>
          <w:highlight w:val="none"/>
        </w:rPr>
        <w:t>附件2</w:t>
      </w:r>
      <w:bookmarkEnd w:id="174"/>
    </w:p>
    <w:p>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资格审查表</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工程名称：</w:t>
      </w:r>
    </w:p>
    <w:tbl>
      <w:tblPr>
        <w:tblStyle w:val="10"/>
        <w:tblW w:w="0" w:type="auto"/>
        <w:tblInd w:w="-72" w:type="dxa"/>
        <w:tblLayout w:type="fixed"/>
        <w:tblCellMar>
          <w:top w:w="0" w:type="dxa"/>
          <w:left w:w="108" w:type="dxa"/>
          <w:bottom w:w="0" w:type="dxa"/>
          <w:right w:w="108" w:type="dxa"/>
        </w:tblCellMar>
      </w:tblPr>
      <w:tblGrid>
        <w:gridCol w:w="540"/>
        <w:gridCol w:w="7200"/>
        <w:gridCol w:w="1440"/>
        <w:gridCol w:w="1440"/>
        <w:gridCol w:w="1440"/>
        <w:gridCol w:w="1440"/>
        <w:gridCol w:w="1440"/>
      </w:tblGrid>
      <w:tr>
        <w:tblPrEx>
          <w:tblCellMar>
            <w:top w:w="0" w:type="dxa"/>
            <w:left w:w="108" w:type="dxa"/>
            <w:bottom w:w="0" w:type="dxa"/>
            <w:right w:w="108" w:type="dxa"/>
          </w:tblCellMar>
        </w:tblPrEx>
        <w:trPr>
          <w:trHeight w:val="67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7200"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rPr>
                <w:rFonts w:hint="eastAsia" w:ascii="宋体" w:hAnsi="宋体" w:eastAsia="宋体" w:cs="宋体"/>
                <w:b/>
                <w:szCs w:val="21"/>
                <w:highlight w:val="none"/>
              </w:rPr>
            </w:pPr>
            <w:r>
              <w:rPr>
                <w:rFonts w:hint="eastAsia" w:ascii="宋体" w:hAnsi="宋体" w:eastAsia="宋体" w:cs="宋体"/>
                <w:b/>
                <w:szCs w:val="21"/>
                <w:highlight w:val="none"/>
              </w:rPr>
              <w:t xml:space="preserve">                                            投标人</w:t>
            </w:r>
          </w:p>
          <w:p>
            <w:pPr>
              <w:ind w:firstLine="211" w:firstLineChars="100"/>
              <w:rPr>
                <w:rFonts w:hint="eastAsia" w:ascii="宋体" w:hAnsi="宋体" w:eastAsia="宋体" w:cs="宋体"/>
                <w:b/>
                <w:szCs w:val="21"/>
                <w:highlight w:val="none"/>
              </w:rPr>
            </w:pPr>
            <w:r>
              <w:rPr>
                <w:rFonts w:hint="eastAsia" w:ascii="宋体" w:hAnsi="宋体" w:eastAsia="宋体" w:cs="宋体"/>
                <w:b/>
                <w:szCs w:val="21"/>
                <w:highlight w:val="none"/>
              </w:rPr>
              <w:t>评审内容</w:t>
            </w: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投标文件中有法定代表人证明书，如投标文件为委托代理人签署应同时附上法定代表人证明书和法定代表人授权书。</w:t>
            </w: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投标人持有工商行政管理部门核发的营业执照满足公告要求。</w:t>
            </w: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投标人拟担任本工程项目负责人的专业和资格满足公告要求。</w:t>
            </w: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投标人完成过质量合格的类似工程业绩及其资料满足公告要求。</w:t>
            </w: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专职安全人员具有安全生产考核合格证（C类）或提供了广东省建筑施工企业管理人员安全生产考核信息系统安全生产管理人员证书信息的打印页。</w:t>
            </w: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投标人按规定的格式及内容要求签署《投标人声明》。</w:t>
            </w: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dstrike w:val="0"/>
                <w:szCs w:val="21"/>
                <w:highlight w:val="none"/>
              </w:rPr>
            </w:pPr>
            <w:r>
              <w:rPr>
                <w:rFonts w:hint="eastAsia" w:ascii="宋体" w:hAnsi="宋体" w:eastAsia="宋体" w:cs="宋体"/>
                <w:strike/>
                <w:dstrike w:val="0"/>
                <w:szCs w:val="21"/>
                <w:highlight w:val="none"/>
              </w:rPr>
              <w:t>7</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dstrike w:val="0"/>
                <w:szCs w:val="21"/>
                <w:highlight w:val="none"/>
              </w:rPr>
            </w:pPr>
            <w:r>
              <w:rPr>
                <w:rFonts w:hint="eastAsia" w:ascii="宋体" w:hAnsi="宋体" w:eastAsia="宋体" w:cs="宋体"/>
                <w:strike/>
                <w:dstrike w:val="0"/>
                <w:szCs w:val="21"/>
                <w:highlight w:val="none"/>
              </w:rPr>
              <w:t>按招标文件要求签订了联合体工作协议，且协议中明确约定了各方拟承担的工作和责任（适用于以联合体投标的需递交）。</w:t>
            </w: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7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未被</w:t>
            </w:r>
            <w:r>
              <w:rPr>
                <w:rFonts w:hint="eastAsia" w:ascii="宋体" w:hAnsi="宋体" w:eastAsia="宋体" w:cs="宋体"/>
                <w:szCs w:val="21"/>
                <w:highlight w:val="none"/>
                <w:lang w:eastAsia="zh-CN"/>
              </w:rPr>
              <w:t>列入</w:t>
            </w:r>
            <w:r>
              <w:rPr>
                <w:rFonts w:hint="eastAsia" w:ascii="宋体" w:hAnsi="宋体" w:eastAsia="宋体" w:cs="宋体"/>
                <w:szCs w:val="21"/>
                <w:highlight w:val="none"/>
              </w:rPr>
              <w:t>国家、省、市失信联合惩戒名单或被本项目所在地行政主管部门限制参与工程建设项目投标。</w:t>
            </w: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r>
    </w:tbl>
    <w:p>
      <w:pPr>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注：1.本表评审内容的信息取自投标申请人在广州公共资源交易中心企业库、广州公共资源交易中心城市园林绿化企业工程业绩库登记的信息，投标申请人在广州公共资源交易中心企业库、广州公共资源交易中心城市园林绿化企业工程业绩库登记的信息将视为其递交资格审查文件的一部分。评标委员会对该部分内容的审查，以开标当天中午12时在广州公共资源交易中心企业库、广州公共资源交易中心城市园林绿化企业工程业绩库记录的信息为依据。</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2.使用GZYLZB2020-1招标文件范本，与范本内容不同之处均以下划线标明。</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3.凡不满足《资格审查表》中任何一项情形，结论均为无效，否则视为有效。</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4.如对本表中某种情形的评审意见不一致时，以评标委员会过半数成员的意见作为评标委员会对该情形的认定结论。</w:t>
      </w:r>
    </w:p>
    <w:p>
      <w:pPr>
        <w:ind w:firstLine="420" w:firstLineChars="200"/>
        <w:rPr>
          <w:rFonts w:hint="eastAsia" w:ascii="宋体" w:hAnsi="宋体" w:eastAsia="宋体" w:cs="宋体"/>
          <w:szCs w:val="21"/>
          <w:highlight w:val="none"/>
        </w:rPr>
      </w:pPr>
    </w:p>
    <w:p>
      <w:pPr>
        <w:pStyle w:val="9"/>
        <w:tabs>
          <w:tab w:val="left" w:pos="7380"/>
        </w:tabs>
        <w:spacing w:after="0" w:line="360" w:lineRule="auto"/>
        <w:ind w:firstLine="0"/>
        <w:rPr>
          <w:rFonts w:hint="eastAsia" w:ascii="宋体" w:hAnsi="宋体" w:eastAsia="宋体" w:cs="宋体"/>
          <w:b/>
          <w:szCs w:val="21"/>
          <w:highlight w:val="none"/>
        </w:rPr>
      </w:pPr>
      <w:r>
        <w:rPr>
          <w:rFonts w:hint="eastAsia" w:ascii="宋体" w:hAnsi="宋体" w:eastAsia="宋体" w:cs="宋体"/>
          <w:b/>
          <w:szCs w:val="21"/>
          <w:highlight w:val="none"/>
        </w:rPr>
        <w:t xml:space="preserve">评委签名：  </w:t>
      </w:r>
      <w:r>
        <w:rPr>
          <w:rFonts w:hint="eastAsia" w:ascii="宋体" w:hAnsi="宋体" w:eastAsia="宋体" w:cs="宋体"/>
          <w:szCs w:val="21"/>
          <w:highlight w:val="none"/>
        </w:rPr>
        <w:t xml:space="preserve">                                                                                         </w:t>
      </w:r>
      <w:r>
        <w:rPr>
          <w:rFonts w:hint="eastAsia" w:ascii="宋体" w:hAnsi="宋体" w:eastAsia="宋体" w:cs="宋体"/>
          <w:b/>
          <w:szCs w:val="21"/>
          <w:highlight w:val="none"/>
        </w:rPr>
        <w:t>日期：</w:t>
      </w:r>
    </w:p>
    <w:p>
      <w:pPr>
        <w:pStyle w:val="9"/>
        <w:tabs>
          <w:tab w:val="left" w:pos="7380"/>
        </w:tabs>
        <w:spacing w:after="0" w:line="360" w:lineRule="auto"/>
        <w:ind w:firstLine="0"/>
        <w:rPr>
          <w:rFonts w:hint="eastAsia" w:ascii="宋体" w:hAnsi="宋体" w:eastAsia="宋体" w:cs="宋体"/>
          <w:b/>
          <w:szCs w:val="21"/>
          <w:highlight w:val="none"/>
        </w:rPr>
      </w:pPr>
    </w:p>
    <w:p>
      <w:pPr>
        <w:spacing w:line="360" w:lineRule="auto"/>
        <w:outlineLvl w:val="2"/>
        <w:rPr>
          <w:rFonts w:hint="eastAsia" w:ascii="宋体" w:hAnsi="宋体" w:eastAsia="宋体" w:cs="宋体"/>
          <w:bCs/>
          <w:sz w:val="24"/>
          <w:szCs w:val="24"/>
          <w:highlight w:val="none"/>
        </w:rPr>
      </w:pPr>
      <w:bookmarkStart w:id="175" w:name="_Toc30697"/>
      <w:r>
        <w:rPr>
          <w:rFonts w:hint="eastAsia" w:ascii="宋体" w:hAnsi="宋体" w:eastAsia="宋体" w:cs="宋体"/>
          <w:bCs/>
          <w:sz w:val="24"/>
          <w:szCs w:val="24"/>
          <w:highlight w:val="none"/>
        </w:rPr>
        <w:t>附件3</w:t>
      </w:r>
      <w:bookmarkEnd w:id="175"/>
    </w:p>
    <w:p>
      <w:pPr>
        <w:spacing w:line="360" w:lineRule="auto"/>
        <w:jc w:val="center"/>
        <w:rPr>
          <w:rFonts w:hint="eastAsia" w:ascii="宋体" w:hAnsi="宋体" w:eastAsia="宋体" w:cs="宋体"/>
          <w:b/>
          <w:sz w:val="24"/>
          <w:highlight w:val="none"/>
        </w:rPr>
      </w:pPr>
      <w:r>
        <w:rPr>
          <w:rFonts w:hint="eastAsia" w:ascii="宋体" w:hAnsi="宋体" w:eastAsia="宋体" w:cs="宋体"/>
          <w:b/>
          <w:bCs/>
          <w:kern w:val="0"/>
          <w:sz w:val="32"/>
          <w:szCs w:val="32"/>
          <w:highlight w:val="none"/>
        </w:rPr>
        <w:t>算术复核表</w:t>
      </w:r>
    </w:p>
    <w:p>
      <w:pPr>
        <w:widowControl/>
        <w:jc w:val="left"/>
        <w:rPr>
          <w:rFonts w:hint="eastAsia" w:ascii="宋体" w:hAnsi="宋体" w:eastAsia="宋体" w:cs="宋体"/>
          <w:b/>
          <w:bCs/>
          <w:kern w:val="0"/>
          <w:sz w:val="24"/>
          <w:szCs w:val="24"/>
          <w:highlight w:val="none"/>
        </w:rPr>
      </w:pPr>
    </w:p>
    <w:p>
      <w:pPr>
        <w:widowControl/>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工程名称：                                           投标人:                                               单位：元</w:t>
      </w:r>
    </w:p>
    <w:tbl>
      <w:tblPr>
        <w:tblStyle w:val="10"/>
        <w:tblW w:w="0" w:type="auto"/>
        <w:tblInd w:w="93" w:type="dxa"/>
        <w:tblLayout w:type="fixed"/>
        <w:tblCellMar>
          <w:top w:w="0" w:type="dxa"/>
          <w:left w:w="108" w:type="dxa"/>
          <w:bottom w:w="0" w:type="dxa"/>
          <w:right w:w="108" w:type="dxa"/>
        </w:tblCellMar>
      </w:tblPr>
      <w:tblGrid>
        <w:gridCol w:w="645"/>
        <w:gridCol w:w="4488"/>
        <w:gridCol w:w="1602"/>
        <w:gridCol w:w="1575"/>
        <w:gridCol w:w="1575"/>
        <w:gridCol w:w="1680"/>
        <w:gridCol w:w="304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编号</w:t>
            </w:r>
          </w:p>
        </w:tc>
        <w:tc>
          <w:tcPr>
            <w:tcW w:w="44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算术复核项目</w:t>
            </w:r>
          </w:p>
        </w:tc>
        <w:tc>
          <w:tcPr>
            <w:tcW w:w="16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修正前投标</w:t>
            </w:r>
          </w:p>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报价A</w:t>
            </w:r>
          </w:p>
        </w:tc>
        <w:tc>
          <w:tcPr>
            <w:tcW w:w="1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修正后投标</w:t>
            </w:r>
          </w:p>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报价B</w:t>
            </w:r>
          </w:p>
        </w:tc>
        <w:tc>
          <w:tcPr>
            <w:tcW w:w="1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修正率</w:t>
            </w:r>
          </w:p>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r=|A-B|/A*100%</w:t>
            </w:r>
          </w:p>
        </w:tc>
        <w:tc>
          <w:tcPr>
            <w:tcW w:w="1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经评审的最终投标报价</w:t>
            </w:r>
          </w:p>
        </w:tc>
        <w:tc>
          <w:tcPr>
            <w:tcW w:w="304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当B&gt;A时，修正后报价与原报价的差额；当B≤A,R=0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w:t>
            </w:r>
          </w:p>
        </w:tc>
        <w:tc>
          <w:tcPr>
            <w:tcW w:w="448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[单位工程1]</w:t>
            </w:r>
          </w:p>
        </w:tc>
        <w:tc>
          <w:tcPr>
            <w:tcW w:w="160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w:t>
            </w:r>
          </w:p>
        </w:tc>
        <w:tc>
          <w:tcPr>
            <w:tcW w:w="448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[单位工程2]</w:t>
            </w:r>
          </w:p>
        </w:tc>
        <w:tc>
          <w:tcPr>
            <w:tcW w:w="160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w:t>
            </w:r>
          </w:p>
        </w:tc>
        <w:tc>
          <w:tcPr>
            <w:tcW w:w="448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w:t>
            </w:r>
          </w:p>
        </w:tc>
        <w:tc>
          <w:tcPr>
            <w:tcW w:w="160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w:t>
            </w:r>
          </w:p>
        </w:tc>
        <w:tc>
          <w:tcPr>
            <w:tcW w:w="448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w:t>
            </w:r>
          </w:p>
        </w:tc>
        <w:tc>
          <w:tcPr>
            <w:tcW w:w="160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w:t>
            </w:r>
          </w:p>
        </w:tc>
        <w:tc>
          <w:tcPr>
            <w:tcW w:w="448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w:t>
            </w:r>
          </w:p>
        </w:tc>
        <w:tc>
          <w:tcPr>
            <w:tcW w:w="160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w:t>
            </w:r>
          </w:p>
        </w:tc>
        <w:tc>
          <w:tcPr>
            <w:tcW w:w="448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w:t>
            </w:r>
          </w:p>
        </w:tc>
        <w:tc>
          <w:tcPr>
            <w:tcW w:w="160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n</w:t>
            </w:r>
          </w:p>
        </w:tc>
        <w:tc>
          <w:tcPr>
            <w:tcW w:w="448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[单位工程n]</w:t>
            </w:r>
          </w:p>
        </w:tc>
        <w:tc>
          <w:tcPr>
            <w:tcW w:w="160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w:t>
            </w:r>
          </w:p>
        </w:tc>
        <w:tc>
          <w:tcPr>
            <w:tcW w:w="448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投标报价</w:t>
            </w:r>
          </w:p>
        </w:tc>
        <w:tc>
          <w:tcPr>
            <w:tcW w:w="160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5" w:type="dxa"/>
            <w:tcBorders>
              <w:top w:val="nil"/>
              <w:left w:val="nil"/>
              <w:bottom w:val="single" w:color="auto" w:sz="4" w:space="0"/>
              <w:right w:val="single" w:color="auto" w:sz="4" w:space="0"/>
              <w:tr2bl w:val="single" w:color="auto" w:sz="4"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∑A=A</w:t>
            </w:r>
            <w:r>
              <w:rPr>
                <w:rFonts w:hint="eastAsia" w:ascii="宋体" w:hAnsi="宋体" w:eastAsia="宋体" w:cs="宋体"/>
                <w:kern w:val="0"/>
                <w:sz w:val="24"/>
                <w:szCs w:val="24"/>
                <w:highlight w:val="none"/>
                <w:vertAlign w:val="subscript"/>
              </w:rPr>
              <w:t>1</w:t>
            </w:r>
            <w:r>
              <w:rPr>
                <w:rFonts w:hint="eastAsia" w:ascii="宋体" w:hAnsi="宋体" w:eastAsia="宋体" w:cs="宋体"/>
                <w:kern w:val="0"/>
                <w:sz w:val="24"/>
                <w:szCs w:val="24"/>
                <w:highlight w:val="none"/>
              </w:rPr>
              <w:t>+A</w:t>
            </w:r>
            <w:r>
              <w:rPr>
                <w:rFonts w:hint="eastAsia" w:ascii="宋体" w:hAnsi="宋体" w:eastAsia="宋体" w:cs="宋体"/>
                <w:kern w:val="0"/>
                <w:sz w:val="24"/>
                <w:szCs w:val="24"/>
                <w:highlight w:val="none"/>
                <w:vertAlign w:val="subscript"/>
              </w:rPr>
              <w:t>2</w:t>
            </w:r>
            <w:r>
              <w:rPr>
                <w:rFonts w:hint="eastAsia" w:ascii="宋体" w:hAnsi="宋体" w:eastAsia="宋体" w:cs="宋体"/>
                <w:kern w:val="0"/>
                <w:sz w:val="24"/>
                <w:szCs w:val="24"/>
                <w:highlight w:val="none"/>
              </w:rPr>
              <w:t>+…An；∑B=B</w:t>
            </w:r>
            <w:r>
              <w:rPr>
                <w:rFonts w:hint="eastAsia" w:ascii="宋体" w:hAnsi="宋体" w:eastAsia="宋体" w:cs="宋体"/>
                <w:kern w:val="0"/>
                <w:sz w:val="24"/>
                <w:szCs w:val="24"/>
                <w:highlight w:val="none"/>
                <w:vertAlign w:val="subscript"/>
              </w:rPr>
              <w:t>1</w:t>
            </w:r>
            <w:r>
              <w:rPr>
                <w:rFonts w:hint="eastAsia" w:ascii="宋体" w:hAnsi="宋体" w:eastAsia="宋体" w:cs="宋体"/>
                <w:kern w:val="0"/>
                <w:sz w:val="24"/>
                <w:szCs w:val="24"/>
                <w:highlight w:val="none"/>
              </w:rPr>
              <w:t>+B</w:t>
            </w:r>
            <w:r>
              <w:rPr>
                <w:rFonts w:hint="eastAsia" w:ascii="宋体" w:hAnsi="宋体" w:eastAsia="宋体" w:cs="宋体"/>
                <w:kern w:val="0"/>
                <w:sz w:val="24"/>
                <w:szCs w:val="24"/>
                <w:highlight w:val="none"/>
                <w:vertAlign w:val="subscript"/>
              </w:rPr>
              <w:t>2</w:t>
            </w:r>
            <w:r>
              <w:rPr>
                <w:rFonts w:hint="eastAsia" w:ascii="宋体" w:hAnsi="宋体" w:eastAsia="宋体" w:cs="宋体"/>
                <w:kern w:val="0"/>
                <w:sz w:val="24"/>
                <w:szCs w:val="24"/>
                <w:highlight w:val="none"/>
              </w:rPr>
              <w:t>+…Bn</w:t>
            </w:r>
          </w:p>
        </w:tc>
      </w:tr>
    </w:tbl>
    <w:p>
      <w:pPr>
        <w:widowControl/>
        <w:tabs>
          <w:tab w:val="left" w:pos="5226"/>
          <w:tab w:val="left" w:pos="6828"/>
          <w:tab w:val="left" w:pos="8403"/>
          <w:tab w:val="left" w:pos="9978"/>
        </w:tabs>
        <w:ind w:left="1142" w:leftChars="44" w:hanging="1050" w:hangingChars="500"/>
        <w:jc w:val="left"/>
        <w:rPr>
          <w:rFonts w:hint="eastAsia" w:ascii="宋体" w:hAnsi="宋体" w:eastAsia="宋体" w:cs="宋体"/>
          <w:szCs w:val="21"/>
          <w:highlight w:val="none"/>
        </w:rPr>
      </w:pPr>
      <w:r>
        <w:rPr>
          <w:rFonts w:hint="eastAsia" w:ascii="宋体" w:hAnsi="宋体" w:eastAsia="宋体" w:cs="宋体"/>
          <w:kern w:val="0"/>
          <w:szCs w:val="21"/>
          <w:highlight w:val="none"/>
        </w:rPr>
        <w:t>修正原则：</w:t>
      </w:r>
      <w:r>
        <w:rPr>
          <w:rFonts w:hint="eastAsia" w:ascii="宋体" w:hAnsi="宋体" w:eastAsia="宋体" w:cs="宋体"/>
          <w:szCs w:val="21"/>
          <w:highlight w:val="none"/>
        </w:rPr>
        <w:t>按就低不就高原则，当修正后报价小于原报价，总价按修正后报价；当修正后报价大于原报价，总价按原报价，并在签订合同时载明在结算价中扣除修正报价与原报价的差额。</w:t>
      </w:r>
    </w:p>
    <w:p>
      <w:pPr>
        <w:widowControl/>
        <w:tabs>
          <w:tab w:val="left" w:pos="5226"/>
          <w:tab w:val="left" w:pos="6828"/>
          <w:tab w:val="left" w:pos="8403"/>
          <w:tab w:val="left" w:pos="9978"/>
        </w:tabs>
        <w:ind w:left="1142" w:leftChars="44" w:hanging="1050" w:hangingChars="500"/>
        <w:jc w:val="left"/>
        <w:rPr>
          <w:rFonts w:hint="eastAsia" w:ascii="宋体" w:hAnsi="宋体" w:eastAsia="宋体" w:cs="宋体"/>
          <w:szCs w:val="21"/>
          <w:highlight w:val="none"/>
        </w:rPr>
      </w:pPr>
    </w:p>
    <w:p>
      <w:pPr>
        <w:widowControl/>
        <w:tabs>
          <w:tab w:val="left" w:pos="5226"/>
          <w:tab w:val="left" w:pos="6828"/>
          <w:tab w:val="left" w:pos="11040"/>
        </w:tabs>
        <w:ind w:left="1297" w:leftChars="44" w:hanging="1205" w:hangingChars="500"/>
        <w:jc w:val="left"/>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评委签名</w:t>
      </w:r>
      <w:r>
        <w:rPr>
          <w:rFonts w:hint="eastAsia" w:ascii="宋体" w:hAnsi="宋体" w:eastAsia="宋体" w:cs="宋体"/>
          <w:kern w:val="0"/>
          <w:sz w:val="24"/>
          <w:szCs w:val="24"/>
          <w:highlight w:val="none"/>
        </w:rPr>
        <w:t>：</w:t>
      </w:r>
      <w:r>
        <w:rPr>
          <w:rFonts w:hint="eastAsia" w:ascii="宋体" w:hAnsi="宋体" w:eastAsia="宋体" w:cs="宋体"/>
          <w:kern w:val="0"/>
          <w:szCs w:val="21"/>
          <w:highlight w:val="none"/>
        </w:rPr>
        <w:tab/>
      </w:r>
      <w:r>
        <w:rPr>
          <w:rFonts w:hint="eastAsia" w:ascii="宋体" w:hAnsi="宋体" w:eastAsia="宋体" w:cs="宋体"/>
          <w:kern w:val="0"/>
          <w:szCs w:val="21"/>
          <w:highlight w:val="none"/>
        </w:rPr>
        <w:tab/>
      </w:r>
      <w:r>
        <w:rPr>
          <w:rFonts w:hint="eastAsia" w:ascii="宋体" w:hAnsi="宋体" w:eastAsia="宋体" w:cs="宋体"/>
          <w:kern w:val="0"/>
          <w:szCs w:val="21"/>
          <w:highlight w:val="none"/>
        </w:rPr>
        <w:tab/>
      </w:r>
      <w:r>
        <w:rPr>
          <w:rFonts w:hint="eastAsia" w:ascii="宋体" w:hAnsi="宋体" w:eastAsia="宋体" w:cs="宋体"/>
          <w:kern w:val="0"/>
          <w:szCs w:val="21"/>
          <w:highlight w:val="none"/>
        </w:rPr>
        <w:tab/>
      </w:r>
      <w:r>
        <w:rPr>
          <w:rFonts w:hint="eastAsia" w:ascii="宋体" w:hAnsi="宋体" w:eastAsia="宋体" w:cs="宋体"/>
          <w:kern w:val="0"/>
          <w:sz w:val="24"/>
          <w:szCs w:val="24"/>
          <w:highlight w:val="none"/>
        </w:rPr>
        <w:t>日期：</w:t>
      </w:r>
    </w:p>
    <w:p>
      <w:pPr>
        <w:widowControl/>
        <w:jc w:val="left"/>
        <w:rPr>
          <w:rFonts w:hint="eastAsia" w:ascii="宋体" w:hAnsi="宋体" w:eastAsia="宋体" w:cs="宋体"/>
          <w:sz w:val="24"/>
          <w:szCs w:val="24"/>
          <w:highlight w:val="none"/>
        </w:rPr>
        <w:sectPr>
          <w:endnotePr>
            <w:numFmt w:val="decimal"/>
          </w:endnotePr>
          <w:pgSz w:w="16783" w:h="11850" w:orient="landscape"/>
          <w:pgMar w:top="851" w:right="1134" w:bottom="567" w:left="1134" w:header="0" w:footer="0" w:gutter="567"/>
          <w:pgNumType w:fmt="decimal"/>
          <w:cols w:space="720" w:num="1"/>
        </w:sectPr>
      </w:pPr>
    </w:p>
    <w:p>
      <w:pPr>
        <w:ind w:firstLine="117" w:firstLineChars="49"/>
        <w:outlineLvl w:val="2"/>
        <w:rPr>
          <w:rFonts w:hint="eastAsia" w:ascii="宋体" w:hAnsi="宋体" w:eastAsia="宋体" w:cs="宋体"/>
          <w:sz w:val="24"/>
          <w:szCs w:val="24"/>
          <w:highlight w:val="none"/>
        </w:rPr>
      </w:pPr>
      <w:bookmarkStart w:id="176" w:name="_Toc1106"/>
      <w:r>
        <w:rPr>
          <w:rFonts w:hint="eastAsia" w:ascii="宋体" w:hAnsi="宋体" w:eastAsia="宋体" w:cs="宋体"/>
          <w:sz w:val="24"/>
          <w:szCs w:val="24"/>
          <w:highlight w:val="none"/>
        </w:rPr>
        <w:t>附件4</w:t>
      </w:r>
      <w:bookmarkEnd w:id="176"/>
    </w:p>
    <w:p>
      <w:pPr>
        <w:ind w:firstLine="117" w:firstLineChars="49"/>
        <w:rPr>
          <w:rFonts w:hint="eastAsia" w:ascii="宋体" w:hAnsi="宋体" w:eastAsia="宋体" w:cs="宋体"/>
          <w:sz w:val="24"/>
          <w:szCs w:val="24"/>
          <w:highlight w:val="none"/>
        </w:rPr>
      </w:pPr>
    </w:p>
    <w:p>
      <w:pPr>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算术复核汇总表</w:t>
      </w:r>
    </w:p>
    <w:p>
      <w:pPr>
        <w:ind w:firstLine="360" w:firstLineChars="150"/>
        <w:rPr>
          <w:rFonts w:hint="eastAsia" w:ascii="宋体" w:hAnsi="宋体" w:eastAsia="宋体" w:cs="宋体"/>
          <w:szCs w:val="21"/>
          <w:highlight w:val="none"/>
        </w:rPr>
      </w:pPr>
      <w:r>
        <w:rPr>
          <w:rFonts w:hint="eastAsia" w:ascii="宋体" w:hAnsi="宋体" w:eastAsia="宋体" w:cs="宋体"/>
          <w:bCs/>
          <w:kern w:val="0"/>
          <w:sz w:val="24"/>
          <w:szCs w:val="24"/>
          <w:highlight w:val="none"/>
        </w:rPr>
        <w:t>工程名称：</w:t>
      </w:r>
    </w:p>
    <w:tbl>
      <w:tblPr>
        <w:tblStyle w:val="10"/>
        <w:tblW w:w="0" w:type="auto"/>
        <w:tblInd w:w="288" w:type="dxa"/>
        <w:tblLayout w:type="fixed"/>
        <w:tblCellMar>
          <w:top w:w="0" w:type="dxa"/>
          <w:left w:w="108" w:type="dxa"/>
          <w:bottom w:w="0" w:type="dxa"/>
          <w:right w:w="108" w:type="dxa"/>
        </w:tblCellMar>
      </w:tblPr>
      <w:tblGrid>
        <w:gridCol w:w="888"/>
        <w:gridCol w:w="4440"/>
        <w:gridCol w:w="3060"/>
        <w:gridCol w:w="3240"/>
        <w:gridCol w:w="2754"/>
      </w:tblGrid>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tc>
        <w:tc>
          <w:tcPr>
            <w:tcW w:w="4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原投标报价（A）</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算术复核后投标报价（B）</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误差率（r=|A-B|/A*100%）</w:t>
            </w: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highlight w:val="none"/>
              </w:rPr>
            </w:pPr>
          </w:p>
        </w:tc>
      </w:tr>
    </w:tbl>
    <w:p>
      <w:pPr>
        <w:rPr>
          <w:rFonts w:hint="eastAsia" w:ascii="宋体" w:hAnsi="宋体" w:eastAsia="宋体" w:cs="宋体"/>
          <w:b/>
          <w:sz w:val="24"/>
          <w:szCs w:val="24"/>
          <w:highlight w:val="none"/>
        </w:rPr>
      </w:pPr>
    </w:p>
    <w:p>
      <w:pPr>
        <w:ind w:firstLine="361" w:firstLineChars="150"/>
        <w:rPr>
          <w:rFonts w:hint="eastAsia" w:ascii="宋体" w:hAnsi="宋体" w:eastAsia="宋体" w:cs="宋体"/>
          <w:sz w:val="24"/>
          <w:szCs w:val="24"/>
          <w:highlight w:val="none"/>
        </w:rPr>
      </w:pPr>
      <w:r>
        <w:rPr>
          <w:rFonts w:hint="eastAsia" w:ascii="宋体" w:hAnsi="宋体" w:eastAsia="宋体" w:cs="宋体"/>
          <w:b/>
          <w:bCs/>
          <w:sz w:val="24"/>
          <w:szCs w:val="24"/>
          <w:highlight w:val="none"/>
        </w:rPr>
        <w:t>评委签名</w:t>
      </w:r>
      <w:r>
        <w:rPr>
          <w:rFonts w:hint="eastAsia" w:ascii="宋体" w:hAnsi="宋体" w:eastAsia="宋体" w:cs="宋体"/>
          <w:sz w:val="24"/>
          <w:szCs w:val="24"/>
          <w:highlight w:val="none"/>
        </w:rPr>
        <w:t>：                                                                                         日期：</w:t>
      </w:r>
    </w:p>
    <w:p>
      <w:pPr>
        <w:rPr>
          <w:rFonts w:hint="eastAsia" w:ascii="宋体" w:hAnsi="宋体" w:eastAsia="宋体" w:cs="宋体"/>
          <w:sz w:val="24"/>
          <w:szCs w:val="24"/>
          <w:highlight w:val="none"/>
        </w:rPr>
      </w:pPr>
    </w:p>
    <w:p>
      <w:pPr>
        <w:pStyle w:val="9"/>
        <w:tabs>
          <w:tab w:val="left" w:pos="7380"/>
        </w:tabs>
        <w:spacing w:after="0" w:line="360" w:lineRule="auto"/>
        <w:ind w:firstLine="0"/>
        <w:rPr>
          <w:rFonts w:hint="eastAsia" w:ascii="宋体" w:hAnsi="宋体" w:eastAsia="宋体" w:cs="宋体"/>
          <w:sz w:val="24"/>
          <w:szCs w:val="24"/>
          <w:highlight w:val="none"/>
        </w:rPr>
      </w:pPr>
    </w:p>
    <w:p>
      <w:pPr>
        <w:pStyle w:val="9"/>
        <w:tabs>
          <w:tab w:val="left" w:pos="7380"/>
        </w:tabs>
        <w:spacing w:after="0" w:line="360" w:lineRule="auto"/>
        <w:ind w:firstLine="0"/>
        <w:rPr>
          <w:rFonts w:hint="eastAsia" w:ascii="宋体" w:hAnsi="宋体" w:eastAsia="宋体" w:cs="宋体"/>
          <w:sz w:val="24"/>
          <w:szCs w:val="24"/>
          <w:highlight w:val="none"/>
        </w:rPr>
        <w:sectPr>
          <w:endnotePr>
            <w:numFmt w:val="decimal"/>
          </w:endnotePr>
          <w:pgSz w:w="16783" w:h="11850" w:orient="landscape"/>
          <w:pgMar w:top="851" w:right="1247" w:bottom="567" w:left="1134" w:header="851" w:footer="567" w:gutter="0"/>
          <w:pgNumType w:fmt="decimal"/>
          <w:cols w:space="720" w:num="1"/>
          <w:titlePg/>
          <w:docGrid w:type="lines" w:linePitch="312" w:charSpace="0"/>
        </w:sectPr>
      </w:pPr>
    </w:p>
    <w:p>
      <w:pPr>
        <w:pStyle w:val="9"/>
        <w:tabs>
          <w:tab w:val="left" w:pos="7380"/>
        </w:tabs>
        <w:spacing w:after="0" w:line="360" w:lineRule="auto"/>
        <w:ind w:firstLine="0"/>
        <w:outlineLvl w:val="2"/>
        <w:rPr>
          <w:rFonts w:hint="eastAsia" w:ascii="宋体" w:hAnsi="宋体" w:eastAsia="宋体" w:cs="宋体"/>
          <w:strike/>
          <w:dstrike w:val="0"/>
          <w:sz w:val="24"/>
          <w:szCs w:val="24"/>
          <w:highlight w:val="none"/>
        </w:rPr>
      </w:pPr>
      <w:bookmarkStart w:id="177" w:name="_Toc29495"/>
      <w:r>
        <w:rPr>
          <w:rFonts w:hint="eastAsia" w:ascii="宋体" w:hAnsi="宋体" w:eastAsia="宋体" w:cs="宋体"/>
          <w:strike/>
          <w:dstrike w:val="0"/>
          <w:sz w:val="24"/>
          <w:szCs w:val="24"/>
          <w:highlight w:val="none"/>
        </w:rPr>
        <w:t>附件5（适用于办法一）</w:t>
      </w:r>
      <w:bookmarkEnd w:id="177"/>
    </w:p>
    <w:p>
      <w:pPr>
        <w:pStyle w:val="9"/>
        <w:tabs>
          <w:tab w:val="left" w:pos="7380"/>
        </w:tabs>
        <w:spacing w:after="0" w:line="360" w:lineRule="auto"/>
        <w:ind w:firstLine="0"/>
        <w:rPr>
          <w:rFonts w:hint="eastAsia" w:ascii="宋体" w:hAnsi="宋体" w:eastAsia="宋体" w:cs="宋体"/>
          <w:strike/>
          <w:dstrike w:val="0"/>
          <w:sz w:val="24"/>
          <w:szCs w:val="24"/>
          <w:highlight w:val="none"/>
        </w:rPr>
      </w:pPr>
    </w:p>
    <w:p>
      <w:pPr>
        <w:pStyle w:val="9"/>
        <w:tabs>
          <w:tab w:val="left" w:pos="7380"/>
        </w:tabs>
        <w:spacing w:after="0" w:line="360" w:lineRule="auto"/>
        <w:ind w:firstLine="0"/>
        <w:jc w:val="center"/>
        <w:rPr>
          <w:rFonts w:hint="eastAsia" w:ascii="宋体" w:hAnsi="宋体" w:eastAsia="宋体" w:cs="宋体"/>
          <w:b/>
          <w:bCs/>
          <w:strike/>
          <w:dstrike w:val="0"/>
          <w:kern w:val="0"/>
          <w:sz w:val="32"/>
          <w:szCs w:val="32"/>
          <w:highlight w:val="none"/>
        </w:rPr>
      </w:pPr>
      <w:r>
        <w:rPr>
          <w:rFonts w:hint="eastAsia" w:ascii="宋体" w:hAnsi="宋体" w:eastAsia="宋体" w:cs="宋体"/>
          <w:b/>
          <w:bCs/>
          <w:strike/>
          <w:dstrike w:val="0"/>
          <w:kern w:val="0"/>
          <w:sz w:val="32"/>
          <w:szCs w:val="32"/>
          <w:highlight w:val="none"/>
        </w:rPr>
        <w:t>第一阶段得分计算表</w:t>
      </w:r>
    </w:p>
    <w:p>
      <w:pPr>
        <w:pStyle w:val="9"/>
        <w:tabs>
          <w:tab w:val="left" w:pos="7380"/>
        </w:tabs>
        <w:spacing w:after="0" w:line="360" w:lineRule="auto"/>
        <w:ind w:firstLine="0"/>
        <w:jc w:val="center"/>
        <w:rPr>
          <w:rFonts w:hint="eastAsia" w:ascii="宋体" w:hAnsi="宋体" w:eastAsia="宋体" w:cs="宋体"/>
          <w:b/>
          <w:bCs/>
          <w:strike/>
          <w:dstrike w:val="0"/>
          <w:kern w:val="0"/>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988" w:type="dxa"/>
            <w:noWrap w:val="0"/>
            <w:vAlign w:val="center"/>
          </w:tcPr>
          <w:p>
            <w:pPr>
              <w:pStyle w:val="9"/>
              <w:tabs>
                <w:tab w:val="left" w:pos="7380"/>
              </w:tabs>
              <w:snapToGrid w:val="0"/>
              <w:spacing w:after="0" w:line="360" w:lineRule="auto"/>
              <w:ind w:firstLine="0"/>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评审因素</w:t>
            </w:r>
          </w:p>
        </w:tc>
        <w:tc>
          <w:tcPr>
            <w:tcW w:w="6840" w:type="dxa"/>
            <w:noWrap w:val="0"/>
            <w:vAlign w:val="center"/>
          </w:tcPr>
          <w:p>
            <w:pPr>
              <w:pStyle w:val="9"/>
              <w:tabs>
                <w:tab w:val="left" w:pos="7380"/>
              </w:tabs>
              <w:snapToGrid w:val="0"/>
              <w:spacing w:after="0" w:line="360" w:lineRule="auto"/>
              <w:ind w:firstLine="0"/>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2988" w:type="dxa"/>
            <w:noWrap w:val="0"/>
            <w:vAlign w:val="center"/>
          </w:tcPr>
          <w:p>
            <w:pPr>
              <w:pStyle w:val="9"/>
              <w:tabs>
                <w:tab w:val="left" w:pos="7380"/>
              </w:tabs>
              <w:snapToGrid w:val="0"/>
              <w:spacing w:after="0" w:line="360" w:lineRule="auto"/>
              <w:ind w:firstLine="0"/>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业绩部分（3分）</w:t>
            </w:r>
          </w:p>
        </w:tc>
        <w:tc>
          <w:tcPr>
            <w:tcW w:w="6840" w:type="dxa"/>
            <w:noWrap w:val="0"/>
            <w:vAlign w:val="center"/>
          </w:tcPr>
          <w:p>
            <w:pPr>
              <w:pStyle w:val="9"/>
              <w:tabs>
                <w:tab w:val="left" w:pos="7380"/>
              </w:tabs>
              <w:snapToGrid w:val="0"/>
              <w:spacing w:after="0" w:line="360" w:lineRule="auto"/>
              <w:ind w:firstLine="480" w:firstLineChars="200"/>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近三年（按本年1月1日往前计）至今已完成质量合格的类似业绩，每项得1.5分（招标人在设置业绩指标时，业绩指标不得超过工程本身经济或技术指标的三分之二）。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988" w:type="dxa"/>
            <w:noWrap w:val="0"/>
            <w:vAlign w:val="center"/>
          </w:tcPr>
          <w:p>
            <w:pPr>
              <w:pStyle w:val="9"/>
              <w:tabs>
                <w:tab w:val="left" w:pos="7380"/>
              </w:tabs>
              <w:snapToGrid w:val="0"/>
              <w:spacing w:after="0" w:line="360" w:lineRule="auto"/>
              <w:ind w:firstLine="0"/>
              <w:jc w:val="center"/>
              <w:rPr>
                <w:rFonts w:hint="eastAsia" w:ascii="宋体" w:hAnsi="宋体" w:eastAsia="宋体" w:cs="宋体"/>
                <w:strike/>
                <w:dstrike w:val="0"/>
                <w:sz w:val="24"/>
                <w:szCs w:val="24"/>
                <w:highlight w:val="none"/>
                <w:lang w:eastAsia="zh-CN"/>
              </w:rPr>
            </w:pPr>
            <w:r>
              <w:rPr>
                <w:rFonts w:hint="eastAsia" w:ascii="宋体" w:hAnsi="宋体" w:eastAsia="宋体" w:cs="宋体"/>
                <w:strike/>
                <w:dstrike w:val="0"/>
                <w:sz w:val="24"/>
                <w:szCs w:val="24"/>
                <w:highlight w:val="none"/>
                <w:u w:val="single"/>
              </w:rPr>
              <w:t>报价部分</w:t>
            </w:r>
            <w:r>
              <w:rPr>
                <w:rFonts w:hint="eastAsia" w:ascii="宋体" w:hAnsi="宋体" w:eastAsia="宋体" w:cs="宋体"/>
                <w:strike/>
                <w:dstrike w:val="0"/>
                <w:sz w:val="24"/>
                <w:szCs w:val="24"/>
                <w:highlight w:val="none"/>
                <w:u w:val="single"/>
                <w:lang w:eastAsia="zh-CN"/>
              </w:rPr>
              <w:t>（</w:t>
            </w:r>
            <w:r>
              <w:rPr>
                <w:rFonts w:hint="eastAsia" w:ascii="宋体" w:hAnsi="宋体" w:eastAsia="宋体" w:cs="宋体"/>
                <w:strike/>
                <w:dstrike w:val="0"/>
                <w:sz w:val="24"/>
                <w:szCs w:val="24"/>
                <w:highlight w:val="none"/>
                <w:u w:val="single"/>
                <w:lang w:val="en-US" w:eastAsia="zh-CN"/>
              </w:rPr>
              <w:t>87分</w:t>
            </w:r>
            <w:r>
              <w:rPr>
                <w:rFonts w:hint="eastAsia" w:ascii="宋体" w:hAnsi="宋体" w:eastAsia="宋体" w:cs="宋体"/>
                <w:strike/>
                <w:dstrike w:val="0"/>
                <w:sz w:val="24"/>
                <w:szCs w:val="24"/>
                <w:highlight w:val="none"/>
                <w:u w:val="single"/>
                <w:lang w:eastAsia="zh-CN"/>
              </w:rPr>
              <w:t>）</w:t>
            </w:r>
          </w:p>
        </w:tc>
        <w:tc>
          <w:tcPr>
            <w:tcW w:w="6840" w:type="dxa"/>
            <w:noWrap w:val="0"/>
            <w:vAlign w:val="center"/>
          </w:tcPr>
          <w:p>
            <w:pPr>
              <w:pStyle w:val="9"/>
              <w:tabs>
                <w:tab w:val="left" w:pos="7380"/>
              </w:tabs>
              <w:snapToGrid w:val="0"/>
              <w:spacing w:after="0" w:line="360" w:lineRule="auto"/>
              <w:ind w:firstLine="0"/>
              <w:jc w:val="center"/>
              <w:rPr>
                <w:rFonts w:hint="eastAsia" w:ascii="宋体" w:hAnsi="宋体" w:eastAsia="宋体" w:cs="宋体"/>
                <w:strike/>
                <w:dstrike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pPr>
              <w:pStyle w:val="9"/>
              <w:tabs>
                <w:tab w:val="left" w:pos="7380"/>
              </w:tabs>
              <w:snapToGrid w:val="0"/>
              <w:spacing w:after="0" w:line="360" w:lineRule="auto"/>
              <w:ind w:firstLine="0"/>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u w:val="single"/>
              </w:rPr>
              <w:t>诚信部分（</w:t>
            </w:r>
            <w:r>
              <w:rPr>
                <w:rFonts w:hint="eastAsia" w:ascii="宋体" w:hAnsi="宋体" w:eastAsia="宋体" w:cs="宋体"/>
                <w:strike/>
                <w:dstrike w:val="0"/>
                <w:sz w:val="24"/>
                <w:szCs w:val="24"/>
                <w:highlight w:val="none"/>
                <w:u w:val="single"/>
                <w:lang w:val="en-US" w:eastAsia="zh-CN"/>
              </w:rPr>
              <w:t>10</w:t>
            </w:r>
            <w:r>
              <w:rPr>
                <w:rFonts w:hint="eastAsia" w:ascii="宋体" w:hAnsi="宋体" w:eastAsia="宋体" w:cs="宋体"/>
                <w:strike/>
                <w:dstrike w:val="0"/>
                <w:sz w:val="24"/>
                <w:szCs w:val="24"/>
                <w:highlight w:val="none"/>
                <w:u w:val="single"/>
              </w:rPr>
              <w:t>分）</w:t>
            </w:r>
          </w:p>
        </w:tc>
        <w:tc>
          <w:tcPr>
            <w:tcW w:w="6840" w:type="dxa"/>
            <w:noWrap w:val="0"/>
            <w:vAlign w:val="center"/>
          </w:tcPr>
          <w:p>
            <w:pPr>
              <w:pStyle w:val="9"/>
              <w:tabs>
                <w:tab w:val="left" w:pos="7380"/>
              </w:tabs>
              <w:snapToGrid w:val="0"/>
              <w:spacing w:after="0" w:line="360" w:lineRule="auto"/>
              <w:ind w:firstLine="0"/>
              <w:jc w:val="center"/>
              <w:rPr>
                <w:rFonts w:hint="eastAsia" w:ascii="宋体" w:hAnsi="宋体" w:eastAsia="宋体" w:cs="宋体"/>
                <w:strike/>
                <w:dstrike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8" w:type="dxa"/>
            <w:noWrap w:val="0"/>
            <w:vAlign w:val="center"/>
          </w:tcPr>
          <w:p>
            <w:pPr>
              <w:pStyle w:val="9"/>
              <w:tabs>
                <w:tab w:val="left" w:pos="7380"/>
              </w:tabs>
              <w:snapToGrid w:val="0"/>
              <w:spacing w:after="0" w:line="360" w:lineRule="auto"/>
              <w:ind w:firstLine="0"/>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分值构成（总分100分）</w:t>
            </w:r>
          </w:p>
        </w:tc>
        <w:tc>
          <w:tcPr>
            <w:tcW w:w="6840" w:type="dxa"/>
            <w:noWrap w:val="0"/>
            <w:vAlign w:val="center"/>
          </w:tcPr>
          <w:p>
            <w:pPr>
              <w:pStyle w:val="9"/>
              <w:tabs>
                <w:tab w:val="left" w:pos="7380"/>
              </w:tabs>
              <w:snapToGrid w:val="0"/>
              <w:spacing w:after="0" w:line="360" w:lineRule="auto"/>
              <w:ind w:firstLine="0"/>
              <w:jc w:val="center"/>
              <w:rPr>
                <w:rFonts w:hint="eastAsia" w:ascii="宋体" w:hAnsi="宋体" w:eastAsia="宋体" w:cs="宋体"/>
                <w:strike/>
                <w:dstrike w:val="0"/>
                <w:sz w:val="24"/>
                <w:szCs w:val="24"/>
                <w:highlight w:val="none"/>
              </w:rPr>
            </w:pPr>
          </w:p>
        </w:tc>
      </w:tr>
    </w:tbl>
    <w:p>
      <w:pPr>
        <w:pStyle w:val="9"/>
        <w:tabs>
          <w:tab w:val="left" w:pos="7380"/>
        </w:tabs>
        <w:spacing w:after="0" w:line="360" w:lineRule="auto"/>
        <w:ind w:firstLine="0"/>
        <w:rPr>
          <w:rFonts w:hint="eastAsia" w:ascii="宋体" w:hAnsi="宋体" w:eastAsia="宋体" w:cs="宋体"/>
          <w:strike/>
          <w:dstrike w:val="0"/>
          <w:szCs w:val="21"/>
          <w:highlight w:val="none"/>
        </w:rPr>
      </w:pPr>
      <w:r>
        <w:rPr>
          <w:rFonts w:hint="eastAsia" w:ascii="宋体" w:hAnsi="宋体" w:eastAsia="宋体" w:cs="宋体"/>
          <w:strike/>
          <w:dstrike w:val="0"/>
          <w:szCs w:val="21"/>
          <w:highlight w:val="none"/>
        </w:rPr>
        <w:t>注：1.评委对业绩认定意见不一致时，则由招标人解释招标文件后，评委讨论业绩认定标准；经讨论后标准仍不一致时，则按少数服从多数处理；按少数服从多数仍不能形成一致意见时，则暂停评标，向招标人反映，并由招标人处理，仍无法处理时，再向招投标监管机构报告。</w:t>
      </w:r>
    </w:p>
    <w:p>
      <w:pPr>
        <w:pStyle w:val="9"/>
        <w:tabs>
          <w:tab w:val="left" w:pos="7380"/>
        </w:tabs>
        <w:spacing w:after="0" w:line="360" w:lineRule="auto"/>
        <w:ind w:firstLineChars="200"/>
        <w:rPr>
          <w:rFonts w:hint="eastAsia" w:ascii="宋体" w:hAnsi="宋体" w:eastAsia="宋体" w:cs="宋体"/>
          <w:strike/>
          <w:dstrike w:val="0"/>
          <w:szCs w:val="21"/>
          <w:highlight w:val="none"/>
        </w:rPr>
      </w:pPr>
      <w:r>
        <w:rPr>
          <w:rFonts w:hint="eastAsia" w:ascii="宋体" w:hAnsi="宋体" w:eastAsia="宋体" w:cs="宋体"/>
          <w:strike/>
          <w:dstrike w:val="0"/>
          <w:szCs w:val="21"/>
          <w:highlight w:val="none"/>
        </w:rPr>
        <w:t>2.业绩取自广州公共资源交易中心城市园林绿化企业工程业绩库。园林绿化工程业绩，需同时提供中标通知书、施工合同、竣工验收报告或竣工验收证明。如以上资料不能证明业绩规模的技术指标（指面积、跨度等）的，须另提供可证明业绩技术指标的其他资料。业绩金额以中标通知书为准，中标通知书上没有金额的，以施工合同（不含补充合同）为准，完成时间以竣工验收时间为准。</w:t>
      </w:r>
    </w:p>
    <w:p>
      <w:pPr>
        <w:pStyle w:val="9"/>
        <w:tabs>
          <w:tab w:val="left" w:pos="7380"/>
        </w:tabs>
        <w:spacing w:after="0" w:line="360" w:lineRule="auto"/>
        <w:ind w:firstLineChars="200"/>
        <w:rPr>
          <w:rFonts w:hint="eastAsia" w:ascii="宋体" w:hAnsi="宋体" w:eastAsia="宋体" w:cs="宋体"/>
          <w:strike/>
          <w:dstrike w:val="0"/>
          <w:szCs w:val="21"/>
          <w:highlight w:val="none"/>
        </w:rPr>
      </w:pPr>
      <w:r>
        <w:rPr>
          <w:rFonts w:hint="eastAsia" w:ascii="宋体" w:hAnsi="宋体" w:eastAsia="宋体" w:cs="宋体"/>
          <w:strike/>
          <w:dstrike w:val="0"/>
          <w:szCs w:val="21"/>
          <w:highlight w:val="none"/>
        </w:rPr>
        <w:t>提交资料不符合上述要求的或登记的工程内容与施工合同等业绩证明资料不相符的，该项业绩不计算得分。</w:t>
      </w:r>
    </w:p>
    <w:p>
      <w:pPr>
        <w:pStyle w:val="9"/>
        <w:tabs>
          <w:tab w:val="left" w:pos="7380"/>
        </w:tabs>
        <w:spacing w:after="0" w:line="360" w:lineRule="auto"/>
        <w:ind w:firstLineChars="200"/>
        <w:rPr>
          <w:rFonts w:hint="eastAsia" w:ascii="宋体" w:hAnsi="宋体" w:eastAsia="宋体" w:cs="宋体"/>
          <w:strike/>
          <w:dstrike w:val="0"/>
          <w:sz w:val="24"/>
          <w:szCs w:val="24"/>
          <w:highlight w:val="none"/>
        </w:rPr>
      </w:pPr>
      <w:r>
        <w:rPr>
          <w:rFonts w:hint="eastAsia" w:ascii="宋体" w:hAnsi="宋体" w:eastAsia="宋体" w:cs="宋体"/>
          <w:strike/>
          <w:dstrike w:val="0"/>
          <w:szCs w:val="21"/>
          <w:highlight w:val="none"/>
        </w:rPr>
        <w:t>3.以上业绩以投标人在投标截止时间前最后一次网上选择参与本项目的业绩，并用本企业的CA数字证书对系统生成的内容进行签章的文件为准。</w:t>
      </w:r>
    </w:p>
    <w:p>
      <w:pPr>
        <w:pStyle w:val="9"/>
        <w:tabs>
          <w:tab w:val="left" w:pos="7380"/>
        </w:tabs>
        <w:spacing w:after="0" w:line="360" w:lineRule="auto"/>
        <w:ind w:firstLine="0"/>
        <w:rPr>
          <w:rFonts w:hint="eastAsia" w:ascii="宋体" w:hAnsi="宋体" w:eastAsia="宋体" w:cs="宋体"/>
          <w:strike/>
          <w:dstrike w:val="0"/>
          <w:sz w:val="24"/>
          <w:szCs w:val="24"/>
          <w:highlight w:val="none"/>
        </w:rPr>
        <w:sectPr>
          <w:endnotePr>
            <w:numFmt w:val="decimal"/>
          </w:endnotePr>
          <w:pgSz w:w="11850" w:h="16783"/>
          <w:pgMar w:top="1247" w:right="1134" w:bottom="1134" w:left="1134" w:header="851" w:footer="567" w:gutter="0"/>
          <w:pgNumType w:fmt="decimal"/>
          <w:cols w:space="720" w:num="1"/>
          <w:titlePg/>
          <w:docGrid w:type="lines" w:linePitch="312" w:charSpace="0"/>
        </w:sectPr>
      </w:pPr>
    </w:p>
    <w:p>
      <w:pPr>
        <w:pStyle w:val="9"/>
        <w:tabs>
          <w:tab w:val="left" w:pos="7380"/>
        </w:tabs>
        <w:spacing w:after="0" w:line="360" w:lineRule="auto"/>
        <w:ind w:firstLine="0"/>
        <w:outlineLvl w:val="2"/>
        <w:rPr>
          <w:rFonts w:hint="eastAsia" w:ascii="宋体" w:hAnsi="宋体" w:eastAsia="宋体" w:cs="宋体"/>
          <w:strike/>
          <w:dstrike w:val="0"/>
          <w:sz w:val="24"/>
          <w:szCs w:val="24"/>
          <w:highlight w:val="none"/>
        </w:rPr>
      </w:pPr>
      <w:bookmarkStart w:id="178" w:name="_Toc32535"/>
      <w:r>
        <w:rPr>
          <w:rFonts w:hint="eastAsia" w:ascii="宋体" w:hAnsi="宋体" w:eastAsia="宋体" w:cs="宋体"/>
          <w:strike/>
          <w:dstrike w:val="0"/>
          <w:sz w:val="24"/>
          <w:szCs w:val="24"/>
          <w:highlight w:val="none"/>
        </w:rPr>
        <w:t>附件6（适用于办法一）</w:t>
      </w:r>
      <w:bookmarkEnd w:id="178"/>
    </w:p>
    <w:p>
      <w:pPr>
        <w:pStyle w:val="9"/>
        <w:tabs>
          <w:tab w:val="left" w:pos="7380"/>
        </w:tabs>
        <w:spacing w:after="0" w:line="360" w:lineRule="auto"/>
        <w:ind w:firstLine="0"/>
        <w:rPr>
          <w:rFonts w:hint="eastAsia" w:ascii="宋体" w:hAnsi="宋体" w:eastAsia="宋体" w:cs="宋体"/>
          <w:strike/>
          <w:dstrike w:val="0"/>
          <w:sz w:val="24"/>
          <w:szCs w:val="24"/>
          <w:highlight w:val="none"/>
        </w:rPr>
      </w:pPr>
    </w:p>
    <w:p>
      <w:pPr>
        <w:pStyle w:val="9"/>
        <w:tabs>
          <w:tab w:val="left" w:pos="7380"/>
        </w:tabs>
        <w:spacing w:after="0" w:line="360" w:lineRule="auto"/>
        <w:ind w:firstLine="0"/>
        <w:rPr>
          <w:rFonts w:hint="eastAsia" w:ascii="宋体" w:hAnsi="宋体" w:eastAsia="宋体" w:cs="宋体"/>
          <w:strike/>
          <w:dstrike w:val="0"/>
          <w:sz w:val="24"/>
          <w:szCs w:val="24"/>
          <w:highlight w:val="none"/>
        </w:rPr>
      </w:pPr>
    </w:p>
    <w:p>
      <w:pPr>
        <w:spacing w:line="360" w:lineRule="auto"/>
        <w:jc w:val="center"/>
        <w:rPr>
          <w:rFonts w:hint="eastAsia" w:ascii="宋体" w:hAnsi="宋体" w:eastAsia="宋体" w:cs="宋体"/>
          <w:bCs/>
          <w:strike/>
          <w:dstrike w:val="0"/>
          <w:kern w:val="0"/>
          <w:sz w:val="24"/>
          <w:szCs w:val="24"/>
          <w:highlight w:val="none"/>
        </w:rPr>
      </w:pPr>
      <w:r>
        <w:rPr>
          <w:rFonts w:hint="eastAsia" w:ascii="宋体" w:hAnsi="宋体" w:eastAsia="宋体" w:cs="宋体"/>
          <w:b/>
          <w:bCs/>
          <w:strike/>
          <w:dstrike w:val="0"/>
          <w:sz w:val="32"/>
          <w:szCs w:val="32"/>
          <w:highlight w:val="none"/>
        </w:rPr>
        <w:t>第一阶段汇总得分排序表</w:t>
      </w:r>
    </w:p>
    <w:p>
      <w:pPr>
        <w:spacing w:line="360" w:lineRule="auto"/>
        <w:rPr>
          <w:rFonts w:hint="eastAsia" w:ascii="宋体" w:hAnsi="宋体" w:eastAsia="宋体" w:cs="宋体"/>
          <w:bCs/>
          <w:strike/>
          <w:dstrike w:val="0"/>
          <w:kern w:val="0"/>
          <w:sz w:val="24"/>
          <w:szCs w:val="24"/>
          <w:highlight w:val="none"/>
        </w:rPr>
      </w:pPr>
      <w:r>
        <w:rPr>
          <w:rFonts w:hint="eastAsia" w:ascii="宋体" w:hAnsi="宋体" w:eastAsia="宋体" w:cs="宋体"/>
          <w:strike/>
          <w:dstrike w:val="0"/>
          <w:sz w:val="24"/>
          <w:szCs w:val="24"/>
          <w:highlight w:val="none"/>
        </w:rPr>
        <w:t>项目编号：</w:t>
      </w:r>
    </w:p>
    <w:p>
      <w:pPr>
        <w:spacing w:line="360" w:lineRule="auto"/>
        <w:rPr>
          <w:rFonts w:hint="eastAsia" w:ascii="宋体" w:hAnsi="宋体" w:eastAsia="宋体" w:cs="宋体"/>
          <w:bCs/>
          <w:strike/>
          <w:dstrike w:val="0"/>
          <w:kern w:val="0"/>
          <w:sz w:val="24"/>
          <w:szCs w:val="24"/>
          <w:highlight w:val="none"/>
        </w:rPr>
      </w:pPr>
      <w:r>
        <w:rPr>
          <w:rFonts w:hint="eastAsia" w:ascii="宋体" w:hAnsi="宋体" w:eastAsia="宋体" w:cs="宋体"/>
          <w:strike/>
          <w:dstrike w:val="0"/>
          <w:sz w:val="24"/>
          <w:szCs w:val="24"/>
          <w:highlight w:val="none"/>
        </w:rPr>
        <w:t>工程名称：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393"/>
        <w:gridCol w:w="1079"/>
        <w:gridCol w:w="1259"/>
        <w:gridCol w:w="1439"/>
        <w:gridCol w:w="1079"/>
        <w:gridCol w:w="1079"/>
        <w:gridCol w:w="143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序号</w:t>
            </w:r>
          </w:p>
        </w:tc>
        <w:tc>
          <w:tcPr>
            <w:tcW w:w="5393" w:type="dxa"/>
            <w:noWrap w:val="0"/>
            <w:vAlign w:val="center"/>
          </w:tcPr>
          <w:p>
            <w:pPr>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投标人</w:t>
            </w:r>
          </w:p>
        </w:tc>
        <w:tc>
          <w:tcPr>
            <w:tcW w:w="1079" w:type="dxa"/>
            <w:noWrap w:val="0"/>
            <w:vAlign w:val="center"/>
          </w:tcPr>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报价</w:t>
            </w:r>
          </w:p>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得分</w:t>
            </w:r>
          </w:p>
        </w:tc>
        <w:tc>
          <w:tcPr>
            <w:tcW w:w="1259" w:type="dxa"/>
            <w:noWrap w:val="0"/>
            <w:vAlign w:val="center"/>
          </w:tcPr>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报价</w:t>
            </w:r>
          </w:p>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权重</w:t>
            </w:r>
          </w:p>
        </w:tc>
        <w:tc>
          <w:tcPr>
            <w:tcW w:w="1439" w:type="dxa"/>
            <w:noWrap w:val="0"/>
            <w:vAlign w:val="center"/>
          </w:tcPr>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业绩</w:t>
            </w:r>
          </w:p>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得分</w:t>
            </w:r>
          </w:p>
        </w:tc>
        <w:tc>
          <w:tcPr>
            <w:tcW w:w="1079" w:type="dxa"/>
            <w:noWrap w:val="0"/>
            <w:vAlign w:val="center"/>
          </w:tcPr>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诚信</w:t>
            </w:r>
          </w:p>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得分</w:t>
            </w:r>
          </w:p>
        </w:tc>
        <w:tc>
          <w:tcPr>
            <w:tcW w:w="1079" w:type="dxa"/>
            <w:noWrap w:val="0"/>
            <w:vAlign w:val="center"/>
          </w:tcPr>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诚信</w:t>
            </w:r>
          </w:p>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权重</w:t>
            </w:r>
          </w:p>
        </w:tc>
        <w:tc>
          <w:tcPr>
            <w:tcW w:w="1439" w:type="dxa"/>
            <w:noWrap w:val="0"/>
            <w:vAlign w:val="center"/>
          </w:tcPr>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总得分</w:t>
            </w:r>
          </w:p>
        </w:tc>
        <w:tc>
          <w:tcPr>
            <w:tcW w:w="1259" w:type="dxa"/>
            <w:noWrap w:val="0"/>
            <w:vAlign w:val="center"/>
          </w:tcPr>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总得分</w:t>
            </w:r>
          </w:p>
          <w:p>
            <w:pPr>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spacing w:line="360" w:lineRule="auto"/>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1</w:t>
            </w:r>
          </w:p>
        </w:tc>
        <w:tc>
          <w:tcPr>
            <w:tcW w:w="5393"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spacing w:line="360" w:lineRule="auto"/>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2</w:t>
            </w:r>
          </w:p>
        </w:tc>
        <w:tc>
          <w:tcPr>
            <w:tcW w:w="5393"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spacing w:line="360" w:lineRule="auto"/>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3</w:t>
            </w:r>
          </w:p>
        </w:tc>
        <w:tc>
          <w:tcPr>
            <w:tcW w:w="5393"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spacing w:line="360" w:lineRule="auto"/>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4</w:t>
            </w:r>
          </w:p>
        </w:tc>
        <w:tc>
          <w:tcPr>
            <w:tcW w:w="5393"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spacing w:line="360" w:lineRule="auto"/>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5</w:t>
            </w:r>
          </w:p>
        </w:tc>
        <w:tc>
          <w:tcPr>
            <w:tcW w:w="5393"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spacing w:line="360" w:lineRule="auto"/>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6</w:t>
            </w:r>
          </w:p>
        </w:tc>
        <w:tc>
          <w:tcPr>
            <w:tcW w:w="5393"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spacing w:line="360" w:lineRule="auto"/>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7</w:t>
            </w:r>
          </w:p>
        </w:tc>
        <w:tc>
          <w:tcPr>
            <w:tcW w:w="5393"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spacing w:line="360" w:lineRule="auto"/>
              <w:jc w:val="center"/>
              <w:rPr>
                <w:rFonts w:hint="eastAsia" w:ascii="宋体" w:hAnsi="宋体" w:eastAsia="宋体" w:cs="宋体"/>
                <w:bCs/>
                <w:strike/>
                <w:dstrike w:val="0"/>
                <w:kern w:val="0"/>
                <w:sz w:val="24"/>
                <w:szCs w:val="24"/>
                <w:highlight w:val="none"/>
              </w:rPr>
            </w:pPr>
            <w:r>
              <w:rPr>
                <w:rFonts w:hint="eastAsia" w:ascii="宋体" w:hAnsi="宋体" w:eastAsia="宋体" w:cs="宋体"/>
                <w:bCs/>
                <w:strike/>
                <w:dstrike w:val="0"/>
                <w:kern w:val="0"/>
                <w:sz w:val="24"/>
                <w:szCs w:val="24"/>
                <w:highlight w:val="none"/>
              </w:rPr>
              <w:t>8</w:t>
            </w:r>
          </w:p>
        </w:tc>
        <w:tc>
          <w:tcPr>
            <w:tcW w:w="5393"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07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43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c>
          <w:tcPr>
            <w:tcW w:w="1259" w:type="dxa"/>
            <w:noWrap w:val="0"/>
            <w:vAlign w:val="center"/>
          </w:tcPr>
          <w:p>
            <w:pPr>
              <w:spacing w:line="360" w:lineRule="auto"/>
              <w:jc w:val="center"/>
              <w:rPr>
                <w:rFonts w:hint="eastAsia" w:ascii="宋体" w:hAnsi="宋体" w:eastAsia="宋体" w:cs="宋体"/>
                <w:bCs/>
                <w:strike/>
                <w:dstrike w:val="0"/>
                <w:kern w:val="0"/>
                <w:sz w:val="24"/>
                <w:szCs w:val="24"/>
                <w:highlight w:val="none"/>
              </w:rPr>
            </w:pPr>
          </w:p>
        </w:tc>
      </w:tr>
    </w:tbl>
    <w:p>
      <w:pPr>
        <w:spacing w:line="360" w:lineRule="auto"/>
        <w:rPr>
          <w:rFonts w:hint="eastAsia" w:ascii="宋体" w:hAnsi="宋体" w:eastAsia="宋体" w:cs="宋体"/>
          <w:strike/>
          <w:dstrike w:val="0"/>
          <w:sz w:val="24"/>
          <w:szCs w:val="24"/>
          <w:highlight w:val="none"/>
        </w:rPr>
      </w:pPr>
    </w:p>
    <w:p>
      <w:pPr>
        <w:spacing w:line="360" w:lineRule="auto"/>
        <w:rPr>
          <w:rFonts w:hint="eastAsia" w:ascii="宋体" w:hAnsi="宋体" w:eastAsia="宋体" w:cs="宋体"/>
          <w:b/>
          <w:bCs/>
          <w:strike/>
          <w:dstrike w:val="0"/>
          <w:sz w:val="24"/>
          <w:szCs w:val="24"/>
          <w:highlight w:val="none"/>
        </w:rPr>
      </w:pPr>
      <w:r>
        <w:rPr>
          <w:rFonts w:hint="eastAsia" w:ascii="宋体" w:hAnsi="宋体" w:eastAsia="宋体" w:cs="宋体"/>
          <w:b/>
          <w:bCs/>
          <w:strike/>
          <w:dstrike w:val="0"/>
          <w:sz w:val="24"/>
          <w:szCs w:val="24"/>
          <w:highlight w:val="none"/>
        </w:rPr>
        <w:t>评委签名：</w:t>
      </w:r>
    </w:p>
    <w:p>
      <w:pPr>
        <w:spacing w:line="360" w:lineRule="auto"/>
        <w:rPr>
          <w:rFonts w:hint="eastAsia" w:ascii="宋体" w:hAnsi="宋体" w:eastAsia="宋体" w:cs="宋体"/>
          <w:bCs/>
          <w:strike/>
          <w:dstrike w:val="0"/>
          <w:kern w:val="0"/>
          <w:sz w:val="24"/>
          <w:szCs w:val="24"/>
          <w:highlight w:val="none"/>
        </w:rPr>
      </w:pPr>
    </w:p>
    <w:p>
      <w:pPr>
        <w:spacing w:line="360" w:lineRule="auto"/>
        <w:rPr>
          <w:rFonts w:hint="eastAsia" w:ascii="宋体" w:hAnsi="宋体" w:eastAsia="宋体" w:cs="宋体"/>
          <w:bCs/>
          <w:strike/>
          <w:dstrike w:val="0"/>
          <w:kern w:val="0"/>
          <w:sz w:val="24"/>
          <w:szCs w:val="24"/>
          <w:highlight w:val="none"/>
        </w:rPr>
      </w:pPr>
    </w:p>
    <w:p>
      <w:pPr>
        <w:spacing w:line="360" w:lineRule="auto"/>
        <w:rPr>
          <w:rFonts w:hint="eastAsia" w:ascii="宋体" w:hAnsi="宋体" w:eastAsia="宋体" w:cs="宋体"/>
          <w:bCs/>
          <w:strike/>
          <w:dstrike w:val="0"/>
          <w:kern w:val="0"/>
          <w:sz w:val="24"/>
          <w:szCs w:val="24"/>
          <w:highlight w:val="none"/>
        </w:rPr>
      </w:pPr>
    </w:p>
    <w:p>
      <w:pPr>
        <w:spacing w:line="360" w:lineRule="auto"/>
        <w:rPr>
          <w:rFonts w:hint="eastAsia" w:ascii="宋体" w:hAnsi="宋体" w:eastAsia="宋体" w:cs="宋体"/>
          <w:bCs/>
          <w:strike/>
          <w:dstrike w:val="0"/>
          <w:kern w:val="0"/>
          <w:sz w:val="24"/>
          <w:szCs w:val="24"/>
          <w:highlight w:val="none"/>
        </w:rPr>
      </w:pPr>
    </w:p>
    <w:p>
      <w:pPr>
        <w:spacing w:line="360" w:lineRule="auto"/>
        <w:outlineLvl w:val="2"/>
        <w:rPr>
          <w:rFonts w:hint="eastAsia" w:ascii="宋体" w:hAnsi="宋体" w:eastAsia="宋体" w:cs="宋体"/>
          <w:bCs/>
          <w:strike/>
          <w:dstrike w:val="0"/>
          <w:kern w:val="0"/>
          <w:sz w:val="24"/>
          <w:szCs w:val="24"/>
          <w:highlight w:val="none"/>
        </w:rPr>
      </w:pPr>
      <w:bookmarkStart w:id="179" w:name="_Toc21244"/>
    </w:p>
    <w:p>
      <w:pPr>
        <w:spacing w:line="360" w:lineRule="auto"/>
        <w:outlineLvl w:val="2"/>
        <w:rPr>
          <w:rFonts w:hint="eastAsia" w:ascii="宋体" w:hAnsi="宋体" w:eastAsia="宋体" w:cs="宋体"/>
          <w:b/>
          <w:bCs/>
          <w:strike/>
          <w:dstrike w:val="0"/>
          <w:kern w:val="0"/>
          <w:sz w:val="32"/>
          <w:szCs w:val="32"/>
          <w:highlight w:val="none"/>
        </w:rPr>
      </w:pPr>
      <w:r>
        <w:rPr>
          <w:rFonts w:hint="eastAsia" w:ascii="宋体" w:hAnsi="宋体" w:eastAsia="宋体" w:cs="宋体"/>
          <w:bCs/>
          <w:strike/>
          <w:dstrike w:val="0"/>
          <w:kern w:val="0"/>
          <w:sz w:val="24"/>
          <w:szCs w:val="24"/>
          <w:highlight w:val="none"/>
        </w:rPr>
        <w:t>附件7</w:t>
      </w:r>
      <w:r>
        <w:rPr>
          <w:rFonts w:hint="eastAsia" w:ascii="宋体" w:hAnsi="宋体" w:eastAsia="宋体" w:cs="宋体"/>
          <w:strike/>
          <w:dstrike w:val="0"/>
          <w:sz w:val="24"/>
          <w:szCs w:val="24"/>
          <w:highlight w:val="none"/>
        </w:rPr>
        <w:t>（适用于办法一）</w:t>
      </w:r>
      <w:bookmarkEnd w:id="179"/>
    </w:p>
    <w:p>
      <w:pPr>
        <w:spacing w:line="360" w:lineRule="auto"/>
        <w:jc w:val="center"/>
        <w:rPr>
          <w:rFonts w:hint="eastAsia" w:ascii="宋体" w:hAnsi="宋体" w:eastAsia="宋体" w:cs="宋体"/>
          <w:b/>
          <w:strike/>
          <w:dstrike w:val="0"/>
          <w:sz w:val="36"/>
          <w:szCs w:val="36"/>
          <w:highlight w:val="none"/>
        </w:rPr>
      </w:pPr>
      <w:r>
        <w:rPr>
          <w:rFonts w:hint="eastAsia" w:ascii="宋体" w:hAnsi="宋体" w:eastAsia="宋体" w:cs="宋体"/>
          <w:b/>
          <w:bCs/>
          <w:strike/>
          <w:dstrike w:val="0"/>
          <w:kern w:val="0"/>
          <w:sz w:val="32"/>
          <w:szCs w:val="32"/>
          <w:highlight w:val="none"/>
        </w:rPr>
        <w:t>第二阶段得分排序表</w:t>
      </w:r>
    </w:p>
    <w:p>
      <w:pP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工程名称：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018"/>
        <w:gridCol w:w="1019"/>
        <w:gridCol w:w="1019"/>
        <w:gridCol w:w="1019"/>
        <w:gridCol w:w="1018"/>
        <w:gridCol w:w="1019"/>
        <w:gridCol w:w="1019"/>
        <w:gridCol w:w="1019"/>
        <w:gridCol w:w="1018"/>
        <w:gridCol w:w="1019"/>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2448" w:type="dxa"/>
            <w:noWrap w:val="0"/>
            <w:vAlign w:val="center"/>
          </w:tcPr>
          <w:p>
            <w:pPr>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投标人名称</w:t>
            </w: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448" w:type="dxa"/>
            <w:noWrap w:val="0"/>
            <w:vAlign w:val="center"/>
          </w:tcPr>
          <w:p>
            <w:pPr>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投标报价PT（元）</w:t>
            </w: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48" w:type="dxa"/>
            <w:noWrap w:val="0"/>
            <w:vAlign w:val="center"/>
          </w:tcPr>
          <w:p>
            <w:pPr>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计算参考数据</w:t>
            </w:r>
          </w:p>
        </w:tc>
        <w:tc>
          <w:tcPr>
            <w:tcW w:w="12225" w:type="dxa"/>
            <w:gridSpan w:val="12"/>
            <w:noWrap w:val="0"/>
            <w:vAlign w:val="center"/>
          </w:tcPr>
          <w:p>
            <w:pPr>
              <w:rPr>
                <w:rFonts w:hint="eastAsia" w:ascii="宋体" w:hAnsi="宋体" w:eastAsia="宋体" w:cs="宋体"/>
                <w:strike/>
                <w:dstrike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48" w:type="dxa"/>
            <w:noWrap w:val="0"/>
            <w:vAlign w:val="center"/>
          </w:tcPr>
          <w:p>
            <w:pPr>
              <w:jc w:val="center"/>
              <w:rPr>
                <w:rFonts w:hint="eastAsia" w:ascii="宋体" w:hAnsi="宋体" w:eastAsia="宋体" w:cs="宋体"/>
                <w:strike/>
                <w:dstrike w:val="0"/>
                <w:spacing w:val="-10"/>
                <w:sz w:val="24"/>
                <w:szCs w:val="24"/>
                <w:highlight w:val="none"/>
              </w:rPr>
            </w:pPr>
            <w:r>
              <w:rPr>
                <w:rFonts w:hint="eastAsia" w:ascii="宋体" w:hAnsi="宋体" w:eastAsia="宋体" w:cs="宋体"/>
                <w:strike/>
                <w:dstrike w:val="0"/>
                <w:spacing w:val="-10"/>
                <w:sz w:val="24"/>
                <w:szCs w:val="24"/>
                <w:highlight w:val="none"/>
              </w:rPr>
              <w:t>偏差（（PT-PC）/PC）（%）</w:t>
            </w: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448" w:type="dxa"/>
            <w:noWrap w:val="0"/>
            <w:vAlign w:val="center"/>
          </w:tcPr>
          <w:p>
            <w:pPr>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减分（A）</w:t>
            </w: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48" w:type="dxa"/>
            <w:noWrap w:val="0"/>
            <w:vAlign w:val="center"/>
          </w:tcPr>
          <w:p>
            <w:pPr>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得分(I=100-A)</w:t>
            </w: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48" w:type="dxa"/>
            <w:noWrap w:val="0"/>
            <w:vAlign w:val="center"/>
          </w:tcPr>
          <w:p>
            <w:pPr>
              <w:jc w:val="center"/>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得分排名次序</w:t>
            </w: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8"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c>
          <w:tcPr>
            <w:tcW w:w="1019" w:type="dxa"/>
            <w:noWrap w:val="0"/>
            <w:vAlign w:val="center"/>
          </w:tcPr>
          <w:p>
            <w:pPr>
              <w:rPr>
                <w:rFonts w:hint="eastAsia" w:ascii="宋体" w:hAnsi="宋体" w:eastAsia="宋体" w:cs="宋体"/>
                <w:strike/>
                <w:dstrike w:val="0"/>
                <w:sz w:val="24"/>
                <w:szCs w:val="24"/>
                <w:highlight w:val="none"/>
              </w:rPr>
            </w:pPr>
          </w:p>
        </w:tc>
      </w:tr>
    </w:tbl>
    <w:p>
      <w:pPr>
        <w:rPr>
          <w:rFonts w:hint="eastAsia" w:ascii="宋体" w:hAnsi="宋体" w:eastAsia="宋体" w:cs="宋体"/>
          <w:strike/>
          <w:dstrike w:val="0"/>
          <w:sz w:val="24"/>
          <w:szCs w:val="24"/>
          <w:highlight w:val="none"/>
        </w:rPr>
      </w:pPr>
    </w:p>
    <w:p>
      <w:pPr>
        <w:rPr>
          <w:rFonts w:hint="eastAsia" w:ascii="宋体" w:hAnsi="宋体" w:eastAsia="宋体" w:cs="宋体"/>
          <w:strike/>
          <w:dstrike w:val="0"/>
          <w:sz w:val="24"/>
          <w:szCs w:val="24"/>
          <w:highlight w:val="none"/>
        </w:rPr>
      </w:pPr>
      <w:r>
        <w:rPr>
          <w:rFonts w:hint="eastAsia" w:ascii="宋体" w:hAnsi="宋体" w:eastAsia="宋体" w:cs="宋体"/>
          <w:b/>
          <w:bCs/>
          <w:strike/>
          <w:dstrike w:val="0"/>
          <w:sz w:val="24"/>
          <w:szCs w:val="24"/>
          <w:highlight w:val="none"/>
        </w:rPr>
        <w:t>评委签名</w:t>
      </w:r>
      <w:r>
        <w:rPr>
          <w:rFonts w:hint="eastAsia" w:ascii="宋体" w:hAnsi="宋体" w:eastAsia="宋体" w:cs="宋体"/>
          <w:strike/>
          <w:dstrike w:val="0"/>
          <w:sz w:val="24"/>
          <w:szCs w:val="24"/>
          <w:highlight w:val="none"/>
        </w:rPr>
        <w:t>：</w:t>
      </w:r>
    </w:p>
    <w:p>
      <w:pPr>
        <w:spacing w:line="360" w:lineRule="auto"/>
        <w:rPr>
          <w:rFonts w:hint="eastAsia" w:ascii="宋体" w:hAnsi="宋体" w:eastAsia="宋体" w:cs="宋体"/>
          <w:b/>
          <w:strike/>
          <w:dstrike w:val="0"/>
          <w:sz w:val="24"/>
          <w:szCs w:val="24"/>
          <w:highlight w:val="none"/>
        </w:rPr>
      </w:pPr>
    </w:p>
    <w:p>
      <w:pPr>
        <w:jc w:val="left"/>
        <w:outlineLvl w:val="2"/>
        <w:rPr>
          <w:rFonts w:hint="eastAsia" w:ascii="宋体" w:hAnsi="宋体" w:eastAsia="宋体" w:cs="宋体"/>
          <w:b/>
          <w:sz w:val="28"/>
          <w:szCs w:val="28"/>
          <w:highlight w:val="none"/>
        </w:rPr>
      </w:pPr>
      <w:r>
        <w:rPr>
          <w:rFonts w:hint="eastAsia" w:ascii="宋体" w:hAnsi="宋体" w:eastAsia="宋体" w:cs="宋体"/>
          <w:b/>
          <w:sz w:val="24"/>
          <w:szCs w:val="24"/>
          <w:highlight w:val="none"/>
        </w:rPr>
        <w:br w:type="page"/>
      </w:r>
      <w:bookmarkStart w:id="180" w:name="_Toc11569"/>
      <w:r>
        <w:rPr>
          <w:rFonts w:hint="eastAsia" w:ascii="宋体" w:hAnsi="宋体" w:eastAsia="宋体" w:cs="宋体"/>
          <w:sz w:val="24"/>
          <w:szCs w:val="24"/>
          <w:highlight w:val="none"/>
        </w:rPr>
        <w:t xml:space="preserve">附件8                                         </w:t>
      </w:r>
      <w:r>
        <w:rPr>
          <w:rFonts w:hint="eastAsia" w:ascii="宋体" w:hAnsi="宋体" w:eastAsia="宋体" w:cs="宋体"/>
          <w:b/>
          <w:sz w:val="28"/>
          <w:szCs w:val="28"/>
          <w:highlight w:val="none"/>
        </w:rPr>
        <w:t>投标文件否决性条款审查表</w:t>
      </w:r>
      <w:bookmarkEnd w:id="180"/>
    </w:p>
    <w:p>
      <w:pPr>
        <w:rPr>
          <w:rFonts w:hint="eastAsia" w:ascii="宋体" w:hAnsi="宋体" w:eastAsia="宋体" w:cs="宋体"/>
          <w:b/>
          <w:szCs w:val="21"/>
          <w:highlight w:val="none"/>
        </w:rPr>
      </w:pPr>
      <w:r>
        <w:rPr>
          <w:rFonts w:hint="eastAsia" w:ascii="宋体" w:hAnsi="宋体" w:eastAsia="宋体" w:cs="宋体"/>
          <w:b/>
          <w:szCs w:val="21"/>
          <w:highlight w:val="none"/>
        </w:rPr>
        <w:t>工程名称：</w:t>
      </w:r>
    </w:p>
    <w:tbl>
      <w:tblPr>
        <w:tblStyle w:val="10"/>
        <w:tblW w:w="0" w:type="auto"/>
        <w:tblInd w:w="3" w:type="dxa"/>
        <w:tblLayout w:type="fixed"/>
        <w:tblCellMar>
          <w:top w:w="0" w:type="dxa"/>
          <w:left w:w="108" w:type="dxa"/>
          <w:bottom w:w="0" w:type="dxa"/>
          <w:right w:w="108" w:type="dxa"/>
        </w:tblCellMar>
      </w:tblPr>
      <w:tblGrid>
        <w:gridCol w:w="471"/>
        <w:gridCol w:w="8588"/>
        <w:gridCol w:w="1095"/>
        <w:gridCol w:w="1095"/>
        <w:gridCol w:w="1095"/>
        <w:gridCol w:w="1095"/>
        <w:gridCol w:w="1095"/>
      </w:tblGrid>
      <w:tr>
        <w:tblPrEx>
          <w:tblCellMar>
            <w:top w:w="0" w:type="dxa"/>
            <w:left w:w="108" w:type="dxa"/>
            <w:bottom w:w="0" w:type="dxa"/>
            <w:right w:w="108" w:type="dxa"/>
          </w:tblCellMar>
        </w:tblPrEx>
        <w:trPr>
          <w:trHeight w:val="502"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858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投标人</w:t>
            </w:r>
          </w:p>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评审内容</w:t>
            </w: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投标文件中没有《投标函》；</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投标文件中没有《广州园林绿化工程施工招标投标书》；</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未承诺响应招标文件所附施工组织设计要点的；</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388"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发现投标人在</w:t>
            </w:r>
            <w:r>
              <w:rPr>
                <w:rFonts w:hint="eastAsia" w:ascii="宋体" w:hAnsi="宋体" w:eastAsia="宋体" w:cs="宋体"/>
                <w:szCs w:val="21"/>
                <w:highlight w:val="none"/>
                <w:lang w:eastAsia="zh-CN"/>
              </w:rPr>
              <w:t>技术部分（施工组织方案）</w:t>
            </w:r>
            <w:r>
              <w:rPr>
                <w:rFonts w:hint="eastAsia" w:ascii="宋体" w:hAnsi="宋体" w:eastAsia="宋体" w:cs="宋体"/>
                <w:szCs w:val="21"/>
                <w:highlight w:val="none"/>
              </w:rPr>
              <w:t>内标注名称、印章、商标、投标金额等记认符号（或使人辨认出投标人或其专业技术人员的身份）或出现涉及人员、简历等暴露投标人身份的内容：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不能满足完成投标项目工期的；</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投标文件未按规定的格式填写，或主要内容不全，或关键字迹模糊、无法辨认；</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对同一招标项目出现两个或以上的投标报价，且没有声明哪个有效；</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投标报价高于最高投标限价；</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748"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投标报价低于企业成本的（投标人的报价明显低于其他投标报价或者在设有成本警示价时明显低于成本警示价，使得其投标报价可能低于其个别成本，又不能合理说明或者不能提供相关证明材料，评标委员会认定该投标人低于成本报价的）；</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投标报价中对招标文件规定的绿色施工安全防护措施费进行浮动或改变；</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算术复核后的投标报价与原投标报价相比存在1%或以上误差的；</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不同投标人的投标文件由同一单位或者个人编制；</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13</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不同投标人委托同一单位或者个人办理投标事宜；</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不同投标人的投标文件载明的项目管理成员为同一人；</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不同投标人的投标文件异常一致或者投标报价呈规律性差异；</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16</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不同投标人的投标文件相互混装；</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17</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不同投标人的投标保证金从同一单位或者个人的账户转出；</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18</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不同投标人的投标报价中分部分项工程量清单综合单价相似度达到80%及以上的；</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19</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不同投标人加密打包投标文件的电脑机器特征码相同的；</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268"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20</w:t>
            </w:r>
          </w:p>
        </w:tc>
        <w:tc>
          <w:tcPr>
            <w:tcW w:w="8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无《对投标文件编制的承诺》。</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szCs w:val="21"/>
                <w:highlight w:val="none"/>
              </w:rPr>
            </w:pPr>
          </w:p>
        </w:tc>
      </w:tr>
    </w:tbl>
    <w:p>
      <w:pPr>
        <w:spacing w:line="240" w:lineRule="exact"/>
        <w:jc w:val="left"/>
        <w:rPr>
          <w:rFonts w:hint="eastAsia" w:ascii="宋体" w:hAnsi="宋体" w:eastAsia="宋体" w:cs="宋体"/>
          <w:sz w:val="18"/>
          <w:szCs w:val="18"/>
          <w:highlight w:val="none"/>
        </w:rPr>
      </w:pPr>
      <w:r>
        <w:rPr>
          <w:rFonts w:hint="eastAsia" w:ascii="宋体" w:hAnsi="宋体" w:eastAsia="宋体" w:cs="宋体"/>
          <w:szCs w:val="21"/>
          <w:highlight w:val="none"/>
        </w:rPr>
        <w:t>注：</w:t>
      </w:r>
      <w:r>
        <w:rPr>
          <w:rFonts w:hint="eastAsia" w:ascii="宋体" w:hAnsi="宋体" w:eastAsia="宋体" w:cs="宋体"/>
          <w:sz w:val="18"/>
          <w:szCs w:val="18"/>
          <w:highlight w:val="none"/>
        </w:rPr>
        <w:t>1.本表使用GZYLZB2020-1招标文件范本，与范本内容不同之处均以下划线标明。</w:t>
      </w:r>
    </w:p>
    <w:p>
      <w:pPr>
        <w:spacing w:line="240" w:lineRule="exact"/>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2.凡出现《投标文件否决性条款审查表》中任何一项情形，否决其投标。</w:t>
      </w:r>
    </w:p>
    <w:p>
      <w:pPr>
        <w:spacing w:line="240" w:lineRule="exact"/>
        <w:ind w:left="359" w:leftChars="171"/>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3.分部分项工程量清单综合单价相似度和加密打包投标文件的电脑机器特征码以广州公共资源交易中心评标系统的检索信息为准。出现第12-19项内容所列情形之一的，评标委员会应按照招标文件《投标人串通投标评审表》中的规定进行有关串通投标认定。</w:t>
      </w:r>
    </w:p>
    <w:p>
      <w:pPr>
        <w:spacing w:line="240" w:lineRule="exact"/>
        <w:ind w:left="359" w:leftChars="171"/>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4.如对本表中某种情形的评审意见不一致时，以评标委员会过半数成员的意见作为评标委员会对该情形的认定结论。 </w:t>
      </w:r>
    </w:p>
    <w:p>
      <w:pPr>
        <w:spacing w:line="260" w:lineRule="exact"/>
        <w:ind w:left="359" w:leftChars="171"/>
        <w:jc w:val="left"/>
        <w:rPr>
          <w:rFonts w:hint="eastAsia" w:ascii="宋体" w:hAnsi="宋体" w:eastAsia="宋体" w:cs="宋体"/>
          <w:sz w:val="32"/>
          <w:szCs w:val="32"/>
          <w:highlight w:val="none"/>
        </w:rPr>
      </w:pPr>
    </w:p>
    <w:p>
      <w:pPr>
        <w:spacing w:line="240" w:lineRule="exact"/>
        <w:rPr>
          <w:rFonts w:hint="eastAsia" w:ascii="宋体" w:hAnsi="宋体" w:eastAsia="宋体" w:cs="宋体"/>
          <w:b/>
          <w:szCs w:val="21"/>
          <w:highlight w:val="none"/>
        </w:rPr>
      </w:pPr>
      <w:r>
        <w:rPr>
          <w:rFonts w:hint="eastAsia" w:ascii="宋体" w:hAnsi="宋体" w:eastAsia="宋体" w:cs="宋体"/>
          <w:b/>
          <w:szCs w:val="21"/>
          <w:highlight w:val="none"/>
        </w:rPr>
        <w:t xml:space="preserve"> 评委签名：                                                                                        日期：</w:t>
      </w:r>
    </w:p>
    <w:p>
      <w:pPr>
        <w:pStyle w:val="9"/>
        <w:ind w:firstLine="0"/>
        <w:outlineLvl w:val="2"/>
        <w:rPr>
          <w:rFonts w:hint="eastAsia" w:ascii="宋体" w:hAnsi="宋体" w:eastAsia="宋体" w:cs="宋体"/>
          <w:szCs w:val="21"/>
          <w:highlight w:val="none"/>
        </w:rPr>
      </w:pPr>
      <w:bookmarkStart w:id="181" w:name="_Toc10135"/>
      <w:r>
        <w:rPr>
          <w:rFonts w:hint="eastAsia" w:ascii="宋体" w:hAnsi="宋体" w:eastAsia="宋体" w:cs="宋体"/>
          <w:sz w:val="24"/>
          <w:szCs w:val="24"/>
          <w:highlight w:val="none"/>
        </w:rPr>
        <w:t>附件9</w:t>
      </w:r>
      <w:bookmarkEnd w:id="181"/>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投标人串通投标评审表</w:t>
      </w:r>
    </w:p>
    <w:tbl>
      <w:tblPr>
        <w:tblStyle w:val="10"/>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91"/>
        <w:gridCol w:w="1188"/>
        <w:gridCol w:w="1716"/>
        <w:gridCol w:w="7553"/>
        <w:gridCol w:w="908"/>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6" w:type="dxa"/>
            <w:gridSpan w:val="3"/>
            <w:vMerge w:val="restart"/>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投标人名称</w:t>
            </w:r>
          </w:p>
        </w:tc>
        <w:tc>
          <w:tcPr>
            <w:tcW w:w="10177" w:type="dxa"/>
            <w:gridSpan w:val="3"/>
            <w:vMerge w:val="restart"/>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15" w:type="dxa"/>
            <w:vMerge w:val="restart"/>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6" w:type="dxa"/>
            <w:gridSpan w:val="3"/>
            <w:vMerge w:val="continue"/>
            <w:noWrap w:val="0"/>
            <w:vAlign w:val="center"/>
          </w:tcPr>
          <w:p>
            <w:pPr>
              <w:widowControl/>
              <w:jc w:val="left"/>
              <w:rPr>
                <w:rFonts w:hint="eastAsia" w:ascii="宋体" w:hAnsi="宋体" w:eastAsia="宋体" w:cs="宋体"/>
                <w:kern w:val="0"/>
                <w:sz w:val="24"/>
                <w:szCs w:val="24"/>
                <w:highlight w:val="none"/>
              </w:rPr>
            </w:pPr>
          </w:p>
        </w:tc>
        <w:tc>
          <w:tcPr>
            <w:tcW w:w="10177" w:type="dxa"/>
            <w:gridSpan w:val="3"/>
            <w:vMerge w:val="continue"/>
            <w:noWrap w:val="0"/>
            <w:vAlign w:val="center"/>
          </w:tcPr>
          <w:p>
            <w:pPr>
              <w:widowControl/>
              <w:jc w:val="left"/>
              <w:rPr>
                <w:rFonts w:hint="eastAsia" w:ascii="宋体" w:hAnsi="宋体" w:eastAsia="宋体" w:cs="宋体"/>
                <w:kern w:val="0"/>
                <w:sz w:val="24"/>
                <w:szCs w:val="24"/>
                <w:highlight w:val="none"/>
              </w:rPr>
            </w:pPr>
          </w:p>
        </w:tc>
        <w:tc>
          <w:tcPr>
            <w:tcW w:w="1815" w:type="dxa"/>
            <w:vMerge w:val="continue"/>
            <w:noWrap w:val="0"/>
            <w:vAlign w:val="center"/>
          </w:tcPr>
          <w:p>
            <w:pPr>
              <w:widowControl/>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restart"/>
            <w:noWrap w:val="0"/>
            <w:textDirection w:val="tbRlV"/>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串通投标认定</w:t>
            </w:r>
          </w:p>
        </w:tc>
        <w:tc>
          <w:tcPr>
            <w:tcW w:w="491" w:type="dxa"/>
            <w:vMerge w:val="restart"/>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188" w:type="dxa"/>
            <w:vMerge w:val="restart"/>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存在</w:t>
            </w:r>
          </w:p>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情形</w:t>
            </w:r>
          </w:p>
        </w:tc>
        <w:tc>
          <w:tcPr>
            <w:tcW w:w="9269" w:type="dxa"/>
            <w:gridSpan w:val="2"/>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不同投标人的投标文件由同一单位或者个人编制；   </w:t>
            </w:r>
          </w:p>
        </w:tc>
        <w:tc>
          <w:tcPr>
            <w:tcW w:w="908" w:type="dxa"/>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1815" w:type="dxa"/>
            <w:vMerge w:val="restart"/>
            <w:noWrap w:val="0"/>
            <w:vAlign w:val="bottom"/>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pPr>
              <w:widowControl/>
              <w:jc w:val="left"/>
              <w:rPr>
                <w:rFonts w:hint="eastAsia" w:ascii="宋体" w:hAnsi="宋体" w:eastAsia="宋体" w:cs="宋体"/>
                <w:kern w:val="0"/>
                <w:sz w:val="24"/>
                <w:szCs w:val="24"/>
                <w:highlight w:val="none"/>
              </w:rPr>
            </w:pPr>
          </w:p>
        </w:tc>
        <w:tc>
          <w:tcPr>
            <w:tcW w:w="491" w:type="dxa"/>
            <w:vMerge w:val="continue"/>
            <w:noWrap w:val="0"/>
            <w:vAlign w:val="center"/>
          </w:tcPr>
          <w:p>
            <w:pPr>
              <w:widowControl/>
              <w:jc w:val="left"/>
              <w:rPr>
                <w:rFonts w:hint="eastAsia" w:ascii="宋体" w:hAnsi="宋体" w:eastAsia="宋体" w:cs="宋体"/>
                <w:kern w:val="0"/>
                <w:sz w:val="24"/>
                <w:szCs w:val="24"/>
                <w:highlight w:val="none"/>
              </w:rPr>
            </w:pPr>
          </w:p>
        </w:tc>
        <w:tc>
          <w:tcPr>
            <w:tcW w:w="1188" w:type="dxa"/>
            <w:vMerge w:val="continue"/>
            <w:noWrap w:val="0"/>
            <w:vAlign w:val="center"/>
          </w:tcPr>
          <w:p>
            <w:pPr>
              <w:widowControl/>
              <w:jc w:val="left"/>
              <w:rPr>
                <w:rFonts w:hint="eastAsia" w:ascii="宋体" w:hAnsi="宋体" w:eastAsia="宋体" w:cs="宋体"/>
                <w:kern w:val="0"/>
                <w:sz w:val="24"/>
                <w:szCs w:val="24"/>
                <w:highlight w:val="none"/>
              </w:rPr>
            </w:pPr>
          </w:p>
        </w:tc>
        <w:tc>
          <w:tcPr>
            <w:tcW w:w="9269" w:type="dxa"/>
            <w:gridSpan w:val="2"/>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不同投标人委托同一单位或者个人办理投标事宜；  </w:t>
            </w:r>
          </w:p>
        </w:tc>
        <w:tc>
          <w:tcPr>
            <w:tcW w:w="908" w:type="dxa"/>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1815" w:type="dxa"/>
            <w:vMerge w:val="continue"/>
            <w:noWrap w:val="0"/>
            <w:vAlign w:val="center"/>
          </w:tcPr>
          <w:p>
            <w:pPr>
              <w:widowControl/>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pPr>
              <w:widowControl/>
              <w:jc w:val="left"/>
              <w:rPr>
                <w:rFonts w:hint="eastAsia" w:ascii="宋体" w:hAnsi="宋体" w:eastAsia="宋体" w:cs="宋体"/>
                <w:kern w:val="0"/>
                <w:sz w:val="24"/>
                <w:szCs w:val="24"/>
                <w:highlight w:val="none"/>
              </w:rPr>
            </w:pPr>
          </w:p>
        </w:tc>
        <w:tc>
          <w:tcPr>
            <w:tcW w:w="491" w:type="dxa"/>
            <w:vMerge w:val="continue"/>
            <w:noWrap w:val="0"/>
            <w:vAlign w:val="center"/>
          </w:tcPr>
          <w:p>
            <w:pPr>
              <w:widowControl/>
              <w:jc w:val="left"/>
              <w:rPr>
                <w:rFonts w:hint="eastAsia" w:ascii="宋体" w:hAnsi="宋体" w:eastAsia="宋体" w:cs="宋体"/>
                <w:kern w:val="0"/>
                <w:sz w:val="24"/>
                <w:szCs w:val="24"/>
                <w:highlight w:val="none"/>
              </w:rPr>
            </w:pPr>
          </w:p>
        </w:tc>
        <w:tc>
          <w:tcPr>
            <w:tcW w:w="1188" w:type="dxa"/>
            <w:vMerge w:val="continue"/>
            <w:noWrap w:val="0"/>
            <w:vAlign w:val="center"/>
          </w:tcPr>
          <w:p>
            <w:pPr>
              <w:widowControl/>
              <w:jc w:val="left"/>
              <w:rPr>
                <w:rFonts w:hint="eastAsia" w:ascii="宋体" w:hAnsi="宋体" w:eastAsia="宋体" w:cs="宋体"/>
                <w:kern w:val="0"/>
                <w:sz w:val="24"/>
                <w:szCs w:val="24"/>
                <w:highlight w:val="none"/>
              </w:rPr>
            </w:pPr>
          </w:p>
        </w:tc>
        <w:tc>
          <w:tcPr>
            <w:tcW w:w="9269" w:type="dxa"/>
            <w:gridSpan w:val="2"/>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不同投标人的投标文件载明的项目管理成员为同一人；</w:t>
            </w:r>
          </w:p>
        </w:tc>
        <w:tc>
          <w:tcPr>
            <w:tcW w:w="908" w:type="dxa"/>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1815" w:type="dxa"/>
            <w:vMerge w:val="continue"/>
            <w:noWrap w:val="0"/>
            <w:vAlign w:val="center"/>
          </w:tcPr>
          <w:p>
            <w:pPr>
              <w:widowControl/>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pPr>
              <w:widowControl/>
              <w:jc w:val="left"/>
              <w:rPr>
                <w:rFonts w:hint="eastAsia" w:ascii="宋体" w:hAnsi="宋体" w:eastAsia="宋体" w:cs="宋体"/>
                <w:kern w:val="0"/>
                <w:sz w:val="24"/>
                <w:szCs w:val="24"/>
                <w:highlight w:val="none"/>
              </w:rPr>
            </w:pPr>
          </w:p>
        </w:tc>
        <w:tc>
          <w:tcPr>
            <w:tcW w:w="491" w:type="dxa"/>
            <w:vMerge w:val="continue"/>
            <w:noWrap w:val="0"/>
            <w:vAlign w:val="center"/>
          </w:tcPr>
          <w:p>
            <w:pPr>
              <w:widowControl/>
              <w:jc w:val="left"/>
              <w:rPr>
                <w:rFonts w:hint="eastAsia" w:ascii="宋体" w:hAnsi="宋体" w:eastAsia="宋体" w:cs="宋体"/>
                <w:kern w:val="0"/>
                <w:sz w:val="24"/>
                <w:szCs w:val="24"/>
                <w:highlight w:val="none"/>
              </w:rPr>
            </w:pPr>
          </w:p>
        </w:tc>
        <w:tc>
          <w:tcPr>
            <w:tcW w:w="1188" w:type="dxa"/>
            <w:vMerge w:val="continue"/>
            <w:noWrap w:val="0"/>
            <w:vAlign w:val="center"/>
          </w:tcPr>
          <w:p>
            <w:pPr>
              <w:widowControl/>
              <w:jc w:val="left"/>
              <w:rPr>
                <w:rFonts w:hint="eastAsia" w:ascii="宋体" w:hAnsi="宋体" w:eastAsia="宋体" w:cs="宋体"/>
                <w:kern w:val="0"/>
                <w:sz w:val="24"/>
                <w:szCs w:val="24"/>
                <w:highlight w:val="none"/>
              </w:rPr>
            </w:pPr>
          </w:p>
        </w:tc>
        <w:tc>
          <w:tcPr>
            <w:tcW w:w="9269" w:type="dxa"/>
            <w:gridSpan w:val="2"/>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不同投标人的投标文件异常一致或者投标报价呈规律性差异；</w:t>
            </w:r>
          </w:p>
        </w:tc>
        <w:tc>
          <w:tcPr>
            <w:tcW w:w="908" w:type="dxa"/>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1815" w:type="dxa"/>
            <w:vMerge w:val="continue"/>
            <w:noWrap w:val="0"/>
            <w:vAlign w:val="center"/>
          </w:tcPr>
          <w:p>
            <w:pPr>
              <w:widowControl/>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pPr>
              <w:widowControl/>
              <w:jc w:val="left"/>
              <w:rPr>
                <w:rFonts w:hint="eastAsia" w:ascii="宋体" w:hAnsi="宋体" w:eastAsia="宋体" w:cs="宋体"/>
                <w:kern w:val="0"/>
                <w:sz w:val="24"/>
                <w:szCs w:val="24"/>
                <w:highlight w:val="none"/>
              </w:rPr>
            </w:pPr>
          </w:p>
        </w:tc>
        <w:tc>
          <w:tcPr>
            <w:tcW w:w="491" w:type="dxa"/>
            <w:vMerge w:val="continue"/>
            <w:noWrap w:val="0"/>
            <w:vAlign w:val="center"/>
          </w:tcPr>
          <w:p>
            <w:pPr>
              <w:widowControl/>
              <w:jc w:val="left"/>
              <w:rPr>
                <w:rFonts w:hint="eastAsia" w:ascii="宋体" w:hAnsi="宋体" w:eastAsia="宋体" w:cs="宋体"/>
                <w:kern w:val="0"/>
                <w:sz w:val="24"/>
                <w:szCs w:val="24"/>
                <w:highlight w:val="none"/>
              </w:rPr>
            </w:pPr>
          </w:p>
        </w:tc>
        <w:tc>
          <w:tcPr>
            <w:tcW w:w="1188" w:type="dxa"/>
            <w:vMerge w:val="continue"/>
            <w:noWrap w:val="0"/>
            <w:vAlign w:val="center"/>
          </w:tcPr>
          <w:p>
            <w:pPr>
              <w:widowControl/>
              <w:jc w:val="left"/>
              <w:rPr>
                <w:rFonts w:hint="eastAsia" w:ascii="宋体" w:hAnsi="宋体" w:eastAsia="宋体" w:cs="宋体"/>
                <w:kern w:val="0"/>
                <w:sz w:val="24"/>
                <w:szCs w:val="24"/>
                <w:highlight w:val="none"/>
              </w:rPr>
            </w:pPr>
          </w:p>
        </w:tc>
        <w:tc>
          <w:tcPr>
            <w:tcW w:w="9269" w:type="dxa"/>
            <w:gridSpan w:val="2"/>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不同投标人的投标文件相互混装； </w:t>
            </w:r>
          </w:p>
        </w:tc>
        <w:tc>
          <w:tcPr>
            <w:tcW w:w="908" w:type="dxa"/>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1815" w:type="dxa"/>
            <w:vMerge w:val="continue"/>
            <w:noWrap w:val="0"/>
            <w:vAlign w:val="center"/>
          </w:tcPr>
          <w:p>
            <w:pPr>
              <w:widowControl/>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pPr>
              <w:widowControl/>
              <w:jc w:val="left"/>
              <w:rPr>
                <w:rFonts w:hint="eastAsia" w:ascii="宋体" w:hAnsi="宋体" w:eastAsia="宋体" w:cs="宋体"/>
                <w:kern w:val="0"/>
                <w:sz w:val="24"/>
                <w:szCs w:val="24"/>
                <w:highlight w:val="none"/>
              </w:rPr>
            </w:pPr>
          </w:p>
        </w:tc>
        <w:tc>
          <w:tcPr>
            <w:tcW w:w="491" w:type="dxa"/>
            <w:vMerge w:val="continue"/>
            <w:noWrap w:val="0"/>
            <w:vAlign w:val="center"/>
          </w:tcPr>
          <w:p>
            <w:pPr>
              <w:widowControl/>
              <w:jc w:val="left"/>
              <w:rPr>
                <w:rFonts w:hint="eastAsia" w:ascii="宋体" w:hAnsi="宋体" w:eastAsia="宋体" w:cs="宋体"/>
                <w:kern w:val="0"/>
                <w:sz w:val="24"/>
                <w:szCs w:val="24"/>
                <w:highlight w:val="none"/>
              </w:rPr>
            </w:pPr>
          </w:p>
        </w:tc>
        <w:tc>
          <w:tcPr>
            <w:tcW w:w="1188" w:type="dxa"/>
            <w:vMerge w:val="continue"/>
            <w:noWrap w:val="0"/>
            <w:vAlign w:val="center"/>
          </w:tcPr>
          <w:p>
            <w:pPr>
              <w:widowControl/>
              <w:jc w:val="left"/>
              <w:rPr>
                <w:rFonts w:hint="eastAsia" w:ascii="宋体" w:hAnsi="宋体" w:eastAsia="宋体" w:cs="宋体"/>
                <w:kern w:val="0"/>
                <w:sz w:val="24"/>
                <w:szCs w:val="24"/>
                <w:highlight w:val="none"/>
              </w:rPr>
            </w:pPr>
          </w:p>
        </w:tc>
        <w:tc>
          <w:tcPr>
            <w:tcW w:w="9269" w:type="dxa"/>
            <w:gridSpan w:val="2"/>
            <w:tcBorders>
              <w:bottom w:val="single" w:color="auto" w:sz="4"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不同投标人的投标保证金从同一单位或者个人的账户转出； </w:t>
            </w:r>
          </w:p>
        </w:tc>
        <w:tc>
          <w:tcPr>
            <w:tcW w:w="908" w:type="dxa"/>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1815" w:type="dxa"/>
            <w:vMerge w:val="continue"/>
            <w:noWrap w:val="0"/>
            <w:vAlign w:val="center"/>
          </w:tcPr>
          <w:p>
            <w:pPr>
              <w:widowControl/>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pPr>
              <w:widowControl/>
              <w:jc w:val="left"/>
              <w:rPr>
                <w:rFonts w:hint="eastAsia" w:ascii="宋体" w:hAnsi="宋体" w:eastAsia="宋体" w:cs="宋体"/>
                <w:kern w:val="0"/>
                <w:sz w:val="24"/>
                <w:szCs w:val="24"/>
                <w:highlight w:val="none"/>
              </w:rPr>
            </w:pPr>
          </w:p>
        </w:tc>
        <w:tc>
          <w:tcPr>
            <w:tcW w:w="491" w:type="dxa"/>
            <w:vMerge w:val="continue"/>
            <w:noWrap w:val="0"/>
            <w:vAlign w:val="center"/>
          </w:tcPr>
          <w:p>
            <w:pPr>
              <w:widowControl/>
              <w:jc w:val="left"/>
              <w:rPr>
                <w:rFonts w:hint="eastAsia" w:ascii="宋体" w:hAnsi="宋体" w:eastAsia="宋体" w:cs="宋体"/>
                <w:kern w:val="0"/>
                <w:sz w:val="24"/>
                <w:szCs w:val="24"/>
                <w:highlight w:val="none"/>
              </w:rPr>
            </w:pPr>
          </w:p>
        </w:tc>
        <w:tc>
          <w:tcPr>
            <w:tcW w:w="1188" w:type="dxa"/>
            <w:vMerge w:val="continue"/>
            <w:noWrap w:val="0"/>
            <w:vAlign w:val="center"/>
          </w:tcPr>
          <w:p>
            <w:pPr>
              <w:widowControl/>
              <w:jc w:val="left"/>
              <w:rPr>
                <w:rFonts w:hint="eastAsia" w:ascii="宋体" w:hAnsi="宋体" w:eastAsia="宋体" w:cs="宋体"/>
                <w:kern w:val="0"/>
                <w:sz w:val="24"/>
                <w:szCs w:val="24"/>
                <w:highlight w:val="none"/>
              </w:rPr>
            </w:pPr>
          </w:p>
        </w:tc>
        <w:tc>
          <w:tcPr>
            <w:tcW w:w="9269" w:type="dxa"/>
            <w:gridSpan w:val="2"/>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不同投标人的投标报价中分部分项工程量清单综合单价相似度达到80%及以上的；</w:t>
            </w:r>
          </w:p>
        </w:tc>
        <w:tc>
          <w:tcPr>
            <w:tcW w:w="908" w:type="dxa"/>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1815" w:type="dxa"/>
            <w:vMerge w:val="continue"/>
            <w:noWrap w:val="0"/>
            <w:vAlign w:val="center"/>
          </w:tcPr>
          <w:p>
            <w:pPr>
              <w:widowControl/>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pPr>
              <w:widowControl/>
              <w:jc w:val="left"/>
              <w:rPr>
                <w:rFonts w:hint="eastAsia" w:ascii="宋体" w:hAnsi="宋体" w:eastAsia="宋体" w:cs="宋体"/>
                <w:kern w:val="0"/>
                <w:sz w:val="24"/>
                <w:szCs w:val="24"/>
                <w:highlight w:val="none"/>
              </w:rPr>
            </w:pPr>
          </w:p>
        </w:tc>
        <w:tc>
          <w:tcPr>
            <w:tcW w:w="491" w:type="dxa"/>
            <w:vMerge w:val="continue"/>
            <w:noWrap w:val="0"/>
            <w:vAlign w:val="center"/>
          </w:tcPr>
          <w:p>
            <w:pPr>
              <w:widowControl/>
              <w:jc w:val="left"/>
              <w:rPr>
                <w:rFonts w:hint="eastAsia" w:ascii="宋体" w:hAnsi="宋体" w:eastAsia="宋体" w:cs="宋体"/>
                <w:kern w:val="0"/>
                <w:sz w:val="24"/>
                <w:szCs w:val="24"/>
                <w:highlight w:val="none"/>
              </w:rPr>
            </w:pPr>
          </w:p>
        </w:tc>
        <w:tc>
          <w:tcPr>
            <w:tcW w:w="1188" w:type="dxa"/>
            <w:vMerge w:val="continue"/>
            <w:noWrap w:val="0"/>
            <w:vAlign w:val="center"/>
          </w:tcPr>
          <w:p>
            <w:pPr>
              <w:widowControl/>
              <w:jc w:val="left"/>
              <w:rPr>
                <w:rFonts w:hint="eastAsia" w:ascii="宋体" w:hAnsi="宋体" w:eastAsia="宋体" w:cs="宋体"/>
                <w:kern w:val="0"/>
                <w:sz w:val="24"/>
                <w:szCs w:val="24"/>
                <w:highlight w:val="none"/>
              </w:rPr>
            </w:pPr>
          </w:p>
        </w:tc>
        <w:tc>
          <w:tcPr>
            <w:tcW w:w="9269" w:type="dxa"/>
            <w:gridSpan w:val="2"/>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不同投标人加密打包投标文件的电脑机器特征码相同的。 </w:t>
            </w:r>
          </w:p>
        </w:tc>
        <w:tc>
          <w:tcPr>
            <w:tcW w:w="908" w:type="dxa"/>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1815" w:type="dxa"/>
            <w:vMerge w:val="continue"/>
            <w:noWrap w:val="0"/>
            <w:vAlign w:val="center"/>
          </w:tcPr>
          <w:p>
            <w:pPr>
              <w:widowControl/>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pPr>
              <w:widowControl/>
              <w:jc w:val="left"/>
              <w:rPr>
                <w:rFonts w:hint="eastAsia" w:ascii="宋体" w:hAnsi="宋体" w:eastAsia="宋体" w:cs="宋体"/>
                <w:kern w:val="0"/>
                <w:sz w:val="24"/>
                <w:szCs w:val="24"/>
                <w:highlight w:val="none"/>
              </w:rPr>
            </w:pPr>
          </w:p>
        </w:tc>
        <w:tc>
          <w:tcPr>
            <w:tcW w:w="491" w:type="dxa"/>
            <w:vMerge w:val="restart"/>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188" w:type="dxa"/>
            <w:vMerge w:val="restart"/>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澄清</w:t>
            </w:r>
          </w:p>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核查</w:t>
            </w:r>
          </w:p>
        </w:tc>
        <w:tc>
          <w:tcPr>
            <w:tcW w:w="10177" w:type="dxa"/>
            <w:gridSpan w:val="3"/>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无澄清 □</w:t>
            </w:r>
          </w:p>
        </w:tc>
        <w:tc>
          <w:tcPr>
            <w:tcW w:w="1815" w:type="dxa"/>
            <w:vMerge w:val="restart"/>
            <w:noWrap w:val="0"/>
            <w:vAlign w:val="bottom"/>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pPr>
              <w:widowControl/>
              <w:jc w:val="left"/>
              <w:rPr>
                <w:rFonts w:hint="eastAsia" w:ascii="宋体" w:hAnsi="宋体" w:eastAsia="宋体" w:cs="宋体"/>
                <w:kern w:val="0"/>
                <w:sz w:val="24"/>
                <w:szCs w:val="24"/>
                <w:highlight w:val="none"/>
              </w:rPr>
            </w:pPr>
          </w:p>
        </w:tc>
        <w:tc>
          <w:tcPr>
            <w:tcW w:w="491" w:type="dxa"/>
            <w:vMerge w:val="continue"/>
            <w:noWrap w:val="0"/>
            <w:vAlign w:val="center"/>
          </w:tcPr>
          <w:p>
            <w:pPr>
              <w:widowControl/>
              <w:jc w:val="center"/>
              <w:rPr>
                <w:rFonts w:hint="eastAsia" w:ascii="宋体" w:hAnsi="宋体" w:eastAsia="宋体" w:cs="宋体"/>
                <w:kern w:val="0"/>
                <w:sz w:val="24"/>
                <w:szCs w:val="24"/>
                <w:highlight w:val="none"/>
              </w:rPr>
            </w:pPr>
          </w:p>
        </w:tc>
        <w:tc>
          <w:tcPr>
            <w:tcW w:w="1188" w:type="dxa"/>
            <w:vMerge w:val="continue"/>
            <w:noWrap w:val="0"/>
            <w:vAlign w:val="center"/>
          </w:tcPr>
          <w:p>
            <w:pPr>
              <w:widowControl/>
              <w:jc w:val="center"/>
              <w:rPr>
                <w:rFonts w:hint="eastAsia" w:ascii="宋体" w:hAnsi="宋体" w:eastAsia="宋体" w:cs="宋体"/>
                <w:kern w:val="0"/>
                <w:sz w:val="24"/>
                <w:szCs w:val="24"/>
                <w:highlight w:val="none"/>
              </w:rPr>
            </w:pPr>
          </w:p>
        </w:tc>
        <w:tc>
          <w:tcPr>
            <w:tcW w:w="1716" w:type="dxa"/>
            <w:vMerge w:val="restart"/>
            <w:noWrap w:val="0"/>
            <w:vAlign w:val="center"/>
          </w:tcPr>
          <w:p>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有澄清 □</w:t>
            </w:r>
          </w:p>
        </w:tc>
        <w:tc>
          <w:tcPr>
            <w:tcW w:w="8461" w:type="dxa"/>
            <w:gridSpan w:val="2"/>
            <w:noWrap w:val="0"/>
            <w:vAlign w:val="center"/>
          </w:tcPr>
          <w:p>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澄清</w:t>
            </w:r>
            <w:r>
              <w:rPr>
                <w:rFonts w:hint="eastAsia" w:ascii="宋体" w:hAnsi="宋体" w:eastAsia="宋体" w:cs="宋体"/>
                <w:b/>
                <w:kern w:val="0"/>
                <w:sz w:val="24"/>
                <w:szCs w:val="24"/>
                <w:highlight w:val="none"/>
              </w:rPr>
              <w:t>合理</w:t>
            </w:r>
            <w:r>
              <w:rPr>
                <w:rFonts w:hint="eastAsia" w:ascii="宋体" w:hAnsi="宋体" w:eastAsia="宋体" w:cs="宋体"/>
                <w:kern w:val="0"/>
                <w:sz w:val="24"/>
                <w:szCs w:val="24"/>
                <w:highlight w:val="none"/>
              </w:rPr>
              <w:t xml:space="preserve">    □</w:t>
            </w:r>
          </w:p>
        </w:tc>
        <w:tc>
          <w:tcPr>
            <w:tcW w:w="1815" w:type="dxa"/>
            <w:vMerge w:val="continue"/>
            <w:noWrap w:val="0"/>
            <w:vAlign w:val="bottom"/>
          </w:tcPr>
          <w:p>
            <w:pPr>
              <w:widowControl/>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pPr>
              <w:widowControl/>
              <w:jc w:val="left"/>
              <w:rPr>
                <w:rFonts w:hint="eastAsia" w:ascii="宋体" w:hAnsi="宋体" w:eastAsia="宋体" w:cs="宋体"/>
                <w:kern w:val="0"/>
                <w:sz w:val="24"/>
                <w:szCs w:val="24"/>
                <w:highlight w:val="none"/>
              </w:rPr>
            </w:pPr>
          </w:p>
        </w:tc>
        <w:tc>
          <w:tcPr>
            <w:tcW w:w="491" w:type="dxa"/>
            <w:vMerge w:val="continue"/>
            <w:noWrap w:val="0"/>
            <w:vAlign w:val="center"/>
          </w:tcPr>
          <w:p>
            <w:pPr>
              <w:widowControl/>
              <w:jc w:val="center"/>
              <w:rPr>
                <w:rFonts w:hint="eastAsia" w:ascii="宋体" w:hAnsi="宋体" w:eastAsia="宋体" w:cs="宋体"/>
                <w:kern w:val="0"/>
                <w:sz w:val="24"/>
                <w:szCs w:val="24"/>
                <w:highlight w:val="none"/>
              </w:rPr>
            </w:pPr>
          </w:p>
        </w:tc>
        <w:tc>
          <w:tcPr>
            <w:tcW w:w="1188" w:type="dxa"/>
            <w:vMerge w:val="continue"/>
            <w:noWrap w:val="0"/>
            <w:vAlign w:val="center"/>
          </w:tcPr>
          <w:p>
            <w:pPr>
              <w:widowControl/>
              <w:jc w:val="center"/>
              <w:rPr>
                <w:rFonts w:hint="eastAsia" w:ascii="宋体" w:hAnsi="宋体" w:eastAsia="宋体" w:cs="宋体"/>
                <w:kern w:val="0"/>
                <w:sz w:val="24"/>
                <w:szCs w:val="24"/>
                <w:highlight w:val="none"/>
              </w:rPr>
            </w:pPr>
          </w:p>
        </w:tc>
        <w:tc>
          <w:tcPr>
            <w:tcW w:w="1716" w:type="dxa"/>
            <w:vMerge w:val="continue"/>
            <w:noWrap w:val="0"/>
            <w:vAlign w:val="center"/>
          </w:tcPr>
          <w:p>
            <w:pPr>
              <w:widowControl/>
              <w:rPr>
                <w:rFonts w:hint="eastAsia" w:ascii="宋体" w:hAnsi="宋体" w:eastAsia="宋体" w:cs="宋体"/>
                <w:kern w:val="0"/>
                <w:sz w:val="24"/>
                <w:szCs w:val="24"/>
                <w:highlight w:val="none"/>
              </w:rPr>
            </w:pPr>
          </w:p>
        </w:tc>
        <w:tc>
          <w:tcPr>
            <w:tcW w:w="8461" w:type="dxa"/>
            <w:gridSpan w:val="2"/>
            <w:noWrap w:val="0"/>
            <w:vAlign w:val="center"/>
          </w:tcPr>
          <w:p>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澄清</w:t>
            </w:r>
            <w:r>
              <w:rPr>
                <w:rFonts w:hint="eastAsia" w:ascii="宋体" w:hAnsi="宋体" w:eastAsia="宋体" w:cs="宋体"/>
                <w:b/>
                <w:kern w:val="0"/>
                <w:sz w:val="24"/>
                <w:szCs w:val="24"/>
                <w:highlight w:val="none"/>
              </w:rPr>
              <w:t>不合理</w:t>
            </w:r>
            <w:r>
              <w:rPr>
                <w:rFonts w:hint="eastAsia" w:ascii="宋体" w:hAnsi="宋体" w:eastAsia="宋体" w:cs="宋体"/>
                <w:kern w:val="0"/>
                <w:sz w:val="24"/>
                <w:szCs w:val="24"/>
                <w:highlight w:val="none"/>
              </w:rPr>
              <w:t xml:space="preserve">  □</w:t>
            </w:r>
          </w:p>
        </w:tc>
        <w:tc>
          <w:tcPr>
            <w:tcW w:w="1815" w:type="dxa"/>
            <w:vMerge w:val="continue"/>
            <w:noWrap w:val="0"/>
            <w:vAlign w:val="bottom"/>
          </w:tcPr>
          <w:p>
            <w:pPr>
              <w:widowControl/>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67" w:type="dxa"/>
            <w:vMerge w:val="continue"/>
            <w:tcBorders>
              <w:bottom w:val="single" w:color="auto" w:sz="4" w:space="0"/>
            </w:tcBorders>
            <w:noWrap w:val="0"/>
            <w:vAlign w:val="center"/>
          </w:tcPr>
          <w:p>
            <w:pPr>
              <w:widowControl/>
              <w:jc w:val="left"/>
              <w:rPr>
                <w:rFonts w:hint="eastAsia" w:ascii="宋体" w:hAnsi="宋体" w:eastAsia="宋体" w:cs="宋体"/>
                <w:kern w:val="0"/>
                <w:sz w:val="24"/>
                <w:szCs w:val="24"/>
                <w:highlight w:val="none"/>
              </w:rPr>
            </w:pPr>
          </w:p>
        </w:tc>
        <w:tc>
          <w:tcPr>
            <w:tcW w:w="491" w:type="dxa"/>
            <w:tcBorders>
              <w:bottom w:val="single" w:color="auto" w:sz="4"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188" w:type="dxa"/>
            <w:tcBorders>
              <w:bottom w:val="single" w:color="auto" w:sz="4" w:space="0"/>
            </w:tcBorders>
            <w:noWrap w:val="0"/>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认定</w:t>
            </w:r>
          </w:p>
        </w:tc>
        <w:tc>
          <w:tcPr>
            <w:tcW w:w="11992" w:type="dxa"/>
            <w:gridSpan w:val="4"/>
            <w:tcBorders>
              <w:bottom w:val="single" w:color="auto" w:sz="4" w:space="0"/>
            </w:tcBorders>
            <w:noWrap w:val="0"/>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串通投标 </w:t>
            </w:r>
            <w:r>
              <w:rPr>
                <w:rFonts w:hint="eastAsia" w:ascii="宋体" w:hAnsi="宋体" w:eastAsia="宋体" w:cs="宋体"/>
                <w:kern w:val="0"/>
                <w:sz w:val="24"/>
                <w:szCs w:val="24"/>
                <w:highlight w:val="none"/>
              </w:rPr>
              <w:t xml:space="preserve">  </w:t>
            </w:r>
            <w:r>
              <w:rPr>
                <w:rFonts w:hint="eastAsia" w:ascii="宋体" w:hAnsi="宋体" w:eastAsia="宋体" w:cs="宋体"/>
                <w:b/>
                <w:bCs/>
                <w:kern w:val="0"/>
                <w:sz w:val="24"/>
                <w:szCs w:val="24"/>
                <w:highlight w:val="none"/>
              </w:rPr>
              <w:t>是□    否□</w:t>
            </w:r>
          </w:p>
        </w:tc>
      </w:tr>
    </w:tbl>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注：1.评标委员会应将证据、记录、澄清等相关依据文件保存完整；</w:t>
      </w:r>
    </w:p>
    <w:p>
      <w:pPr>
        <w:widowControl/>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2.评标委员会按照少数服从多数的原则进行表决；</w:t>
      </w:r>
    </w:p>
    <w:p>
      <w:pPr>
        <w:widowControl/>
        <w:ind w:firstLine="480" w:firstLineChars="200"/>
        <w:jc w:val="left"/>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3.评审工程量清单综合单价相似的仅限于投标人投标报价中分部分项工程量清单综合单价。</w:t>
      </w:r>
    </w:p>
    <w:p>
      <w:pPr>
        <w:widowControl/>
        <w:ind w:firstLine="480" w:firstLineChars="200"/>
        <w:jc w:val="left"/>
        <w:rPr>
          <w:rFonts w:hint="eastAsia" w:ascii="宋体" w:hAnsi="宋体" w:eastAsia="宋体" w:cs="宋体"/>
          <w:kern w:val="0"/>
          <w:sz w:val="24"/>
          <w:szCs w:val="24"/>
          <w:highlight w:val="none"/>
        </w:rPr>
      </w:pPr>
    </w:p>
    <w:p>
      <w:pPr>
        <w:widowControl/>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评标委员会签名：                                                                      日期：</w:t>
      </w:r>
    </w:p>
    <w:p>
      <w:pPr>
        <w:outlineLvl w:val="2"/>
        <w:rPr>
          <w:rFonts w:hint="eastAsia" w:ascii="宋体" w:hAnsi="宋体" w:eastAsia="宋体" w:cs="宋体"/>
          <w:strike w:val="0"/>
          <w:dstrike w:val="0"/>
          <w:sz w:val="24"/>
          <w:szCs w:val="24"/>
          <w:highlight w:val="none"/>
        </w:rPr>
      </w:pPr>
      <w:r>
        <w:rPr>
          <w:rFonts w:hint="eastAsia" w:ascii="宋体" w:hAnsi="宋体" w:eastAsia="宋体" w:cs="宋体"/>
          <w:b/>
          <w:kern w:val="0"/>
          <w:sz w:val="24"/>
          <w:szCs w:val="24"/>
          <w:highlight w:val="none"/>
        </w:rPr>
        <w:br w:type="page"/>
      </w:r>
      <w:bookmarkStart w:id="182" w:name="_Toc15680"/>
      <w:r>
        <w:rPr>
          <w:rFonts w:hint="eastAsia" w:ascii="宋体" w:hAnsi="宋体" w:eastAsia="宋体" w:cs="宋体"/>
          <w:strike w:val="0"/>
          <w:dstrike w:val="0"/>
          <w:sz w:val="24"/>
          <w:szCs w:val="24"/>
          <w:highlight w:val="none"/>
        </w:rPr>
        <w:t>附件10（适用于办法二）</w:t>
      </w:r>
      <w:bookmarkEnd w:id="182"/>
    </w:p>
    <w:p>
      <w:pPr>
        <w:jc w:val="center"/>
        <w:rPr>
          <w:rFonts w:hint="eastAsia" w:ascii="宋体" w:hAnsi="宋体" w:eastAsia="宋体" w:cs="宋体"/>
          <w:b/>
          <w:strike w:val="0"/>
          <w:dstrike w:val="0"/>
          <w:sz w:val="36"/>
          <w:szCs w:val="36"/>
          <w:highlight w:val="none"/>
        </w:rPr>
      </w:pPr>
      <w:r>
        <w:rPr>
          <w:rFonts w:hint="eastAsia" w:ascii="宋体" w:hAnsi="宋体" w:eastAsia="宋体" w:cs="宋体"/>
          <w:b/>
          <w:strike w:val="0"/>
          <w:dstrike w:val="0"/>
          <w:sz w:val="32"/>
          <w:szCs w:val="32"/>
          <w:highlight w:val="none"/>
          <w:lang w:eastAsia="zh-CN"/>
        </w:rPr>
        <w:t>技术部分（施工组织方案）</w:t>
      </w:r>
      <w:r>
        <w:rPr>
          <w:rFonts w:hint="eastAsia" w:ascii="宋体" w:hAnsi="宋体" w:eastAsia="宋体" w:cs="宋体"/>
          <w:b/>
          <w:strike w:val="0"/>
          <w:dstrike w:val="0"/>
          <w:sz w:val="32"/>
          <w:szCs w:val="32"/>
          <w:highlight w:val="none"/>
        </w:rPr>
        <w:t>文件否决性条款审查表</w:t>
      </w:r>
    </w:p>
    <w:p>
      <w:pPr>
        <w:tabs>
          <w:tab w:val="left" w:pos="720"/>
        </w:tabs>
        <w:snapToGrid w:val="0"/>
        <w:spacing w:line="360" w:lineRule="auto"/>
        <w:rPr>
          <w:rFonts w:hint="eastAsia" w:ascii="宋体" w:hAnsi="宋体" w:eastAsia="宋体" w:cs="宋体"/>
          <w:bCs/>
          <w:strike w:val="0"/>
          <w:dstrike w:val="0"/>
          <w:szCs w:val="21"/>
          <w:highlight w:val="none"/>
        </w:rPr>
      </w:pPr>
      <w:r>
        <w:rPr>
          <w:rFonts w:hint="eastAsia" w:ascii="宋体" w:hAnsi="宋体" w:eastAsia="宋体" w:cs="宋体"/>
          <w:bCs/>
          <w:strike w:val="0"/>
          <w:dstrike w:val="0"/>
          <w:szCs w:val="21"/>
          <w:highlight w:val="none"/>
        </w:rPr>
        <w:t>工程名称：</w:t>
      </w:r>
    </w:p>
    <w:tbl>
      <w:tblPr>
        <w:tblStyle w:val="10"/>
        <w:tblW w:w="0" w:type="auto"/>
        <w:tblInd w:w="3" w:type="dxa"/>
        <w:tblLayout w:type="fixed"/>
        <w:tblCellMar>
          <w:top w:w="0" w:type="dxa"/>
          <w:left w:w="108" w:type="dxa"/>
          <w:bottom w:w="0" w:type="dxa"/>
          <w:right w:w="108" w:type="dxa"/>
        </w:tblCellMar>
      </w:tblPr>
      <w:tblGrid>
        <w:gridCol w:w="656"/>
        <w:gridCol w:w="8269"/>
        <w:gridCol w:w="1080"/>
        <w:gridCol w:w="1080"/>
        <w:gridCol w:w="1080"/>
        <w:gridCol w:w="1080"/>
        <w:gridCol w:w="1080"/>
      </w:tblGrid>
      <w:tr>
        <w:tblPrEx>
          <w:tblCellMar>
            <w:top w:w="0" w:type="dxa"/>
            <w:left w:w="108" w:type="dxa"/>
            <w:bottom w:w="0" w:type="dxa"/>
            <w:right w:w="108" w:type="dxa"/>
          </w:tblCellMar>
        </w:tblPrEx>
        <w:trPr>
          <w:trHeight w:val="44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序号</w:t>
            </w:r>
          </w:p>
        </w:tc>
        <w:tc>
          <w:tcPr>
            <w:tcW w:w="826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 xml:space="preserve">                                      投标人</w:t>
            </w:r>
          </w:p>
          <w:p>
            <w:pP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评审内容</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r>
      <w:tr>
        <w:tblPrEx>
          <w:tblCellMar>
            <w:top w:w="0" w:type="dxa"/>
            <w:left w:w="108" w:type="dxa"/>
            <w:bottom w:w="0" w:type="dxa"/>
            <w:right w:w="108" w:type="dxa"/>
          </w:tblCellMar>
        </w:tblPrEx>
        <w:trPr>
          <w:trHeight w:val="312"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1</w:t>
            </w:r>
          </w:p>
        </w:tc>
        <w:tc>
          <w:tcPr>
            <w:tcW w:w="82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lang w:eastAsia="zh-CN"/>
              </w:rPr>
              <w:t>技术部分（施工组织方案）</w:t>
            </w:r>
            <w:r>
              <w:rPr>
                <w:rFonts w:hint="eastAsia" w:ascii="宋体" w:hAnsi="宋体" w:eastAsia="宋体" w:cs="宋体"/>
                <w:strike w:val="0"/>
                <w:dstrike w:val="0"/>
                <w:szCs w:val="21"/>
                <w:highlight w:val="none"/>
              </w:rPr>
              <w:t>有明显抄袭行为的；</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r>
      <w:tr>
        <w:tblPrEx>
          <w:tblCellMar>
            <w:top w:w="0" w:type="dxa"/>
            <w:left w:w="108" w:type="dxa"/>
            <w:bottom w:w="0" w:type="dxa"/>
            <w:right w:w="108" w:type="dxa"/>
          </w:tblCellMar>
        </w:tblPrEx>
        <w:trPr>
          <w:trHeight w:val="312"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2</w:t>
            </w:r>
          </w:p>
        </w:tc>
        <w:tc>
          <w:tcPr>
            <w:tcW w:w="82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lang w:eastAsia="zh-CN"/>
              </w:rPr>
              <w:t>技术部分（施工组织方案）</w:t>
            </w:r>
            <w:r>
              <w:rPr>
                <w:rFonts w:hint="eastAsia" w:ascii="宋体" w:hAnsi="宋体" w:eastAsia="宋体" w:cs="宋体"/>
                <w:strike w:val="0"/>
                <w:dstrike w:val="0"/>
                <w:szCs w:val="21"/>
                <w:highlight w:val="none"/>
              </w:rPr>
              <w:t>侵犯他人著作权和特许权的；</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r>
      <w:tr>
        <w:tblPrEx>
          <w:tblCellMar>
            <w:top w:w="0" w:type="dxa"/>
            <w:left w:w="108" w:type="dxa"/>
            <w:bottom w:w="0" w:type="dxa"/>
            <w:right w:w="108" w:type="dxa"/>
          </w:tblCellMar>
        </w:tblPrEx>
        <w:trPr>
          <w:trHeight w:val="90"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3</w:t>
            </w:r>
          </w:p>
        </w:tc>
        <w:tc>
          <w:tcPr>
            <w:tcW w:w="82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发现投标人在</w:t>
            </w:r>
            <w:r>
              <w:rPr>
                <w:rFonts w:hint="eastAsia" w:ascii="宋体" w:hAnsi="宋体" w:eastAsia="宋体" w:cs="宋体"/>
                <w:strike w:val="0"/>
                <w:dstrike w:val="0"/>
                <w:szCs w:val="21"/>
                <w:highlight w:val="none"/>
                <w:lang w:eastAsia="zh-CN"/>
              </w:rPr>
              <w:t>技术部分（施工组织方案）</w:t>
            </w:r>
            <w:r>
              <w:rPr>
                <w:rFonts w:hint="eastAsia" w:ascii="宋体" w:hAnsi="宋体" w:eastAsia="宋体" w:cs="宋体"/>
                <w:strike w:val="0"/>
                <w:dstrike w:val="0"/>
                <w:szCs w:val="21"/>
                <w:highlight w:val="none"/>
              </w:rPr>
              <w:t>内标注名称、印章、商标、投标金额等记认符号（或使人辨认出投标人或其专业技术人员的身份）或出现涉及人员姓名、简历、等暴露投标人身份的内容。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r>
      <w:tr>
        <w:tblPrEx>
          <w:tblCellMar>
            <w:top w:w="0" w:type="dxa"/>
            <w:left w:w="108" w:type="dxa"/>
            <w:bottom w:w="0" w:type="dxa"/>
            <w:right w:w="108" w:type="dxa"/>
          </w:tblCellMar>
        </w:tblPrEx>
        <w:trPr>
          <w:trHeight w:val="90"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4</w:t>
            </w:r>
          </w:p>
        </w:tc>
        <w:tc>
          <w:tcPr>
            <w:tcW w:w="82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存在串通投标情形（串通投标情形以《中华人民共和国招投标法实施条例》的规定为准）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trike w:val="0"/>
                <w:dstrike w:val="0"/>
                <w:szCs w:val="21"/>
                <w:highlight w:val="none"/>
              </w:rPr>
            </w:pPr>
          </w:p>
        </w:tc>
      </w:tr>
    </w:tbl>
    <w:p>
      <w:pPr>
        <w:spacing w:line="260" w:lineRule="exact"/>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注：1.本表使用GZYLZB2020-1招标文件范本，与范本内容不同之处均以下划线标明。</w:t>
      </w:r>
    </w:p>
    <w:p>
      <w:pPr>
        <w:spacing w:line="260" w:lineRule="exact"/>
        <w:ind w:firstLine="420" w:firstLineChars="200"/>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2.凡出现《</w:t>
      </w:r>
      <w:r>
        <w:rPr>
          <w:rFonts w:hint="eastAsia" w:ascii="宋体" w:hAnsi="宋体" w:eastAsia="宋体" w:cs="宋体"/>
          <w:strike w:val="0"/>
          <w:dstrike w:val="0"/>
          <w:szCs w:val="21"/>
          <w:highlight w:val="none"/>
          <w:lang w:eastAsia="zh-CN"/>
        </w:rPr>
        <w:t>技术部分（施工组织方案）</w:t>
      </w:r>
      <w:r>
        <w:rPr>
          <w:rFonts w:hint="eastAsia" w:ascii="宋体" w:hAnsi="宋体" w:eastAsia="宋体" w:cs="宋体"/>
          <w:strike w:val="0"/>
          <w:dstrike w:val="0"/>
          <w:szCs w:val="21"/>
          <w:highlight w:val="none"/>
        </w:rPr>
        <w:t>文件否决性条款审查表》中任何一项情形，否决其投标。</w:t>
      </w:r>
    </w:p>
    <w:p>
      <w:pPr>
        <w:ind w:firstLine="420" w:firstLineChars="200"/>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3.如对本表中某种情形的评审意见不一致时，以评标委员会过半数成员的意见作为评标委员会对该情形的认定结论。</w:t>
      </w:r>
    </w:p>
    <w:p>
      <w:pPr>
        <w:rPr>
          <w:rFonts w:hint="eastAsia" w:ascii="宋体" w:hAnsi="宋体" w:eastAsia="宋体" w:cs="宋体"/>
          <w:strike w:val="0"/>
          <w:dstrike w:val="0"/>
          <w:szCs w:val="21"/>
          <w:highlight w:val="none"/>
        </w:rPr>
      </w:pPr>
    </w:p>
    <w:p>
      <w:pPr>
        <w:spacing w:line="240" w:lineRule="exact"/>
        <w:rPr>
          <w:rFonts w:hint="eastAsia" w:ascii="宋体" w:hAnsi="宋体" w:eastAsia="宋体" w:cs="宋体"/>
          <w:b/>
          <w:strike w:val="0"/>
          <w:dstrike w:val="0"/>
          <w:szCs w:val="21"/>
          <w:highlight w:val="none"/>
        </w:rPr>
      </w:pPr>
      <w:r>
        <w:rPr>
          <w:rFonts w:hint="eastAsia" w:ascii="宋体" w:hAnsi="宋体" w:eastAsia="宋体" w:cs="宋体"/>
          <w:b/>
          <w:strike w:val="0"/>
          <w:dstrike w:val="0"/>
          <w:szCs w:val="21"/>
          <w:highlight w:val="none"/>
        </w:rPr>
        <w:t xml:space="preserve"> 评委签名：                                                                                        日期：</w:t>
      </w:r>
    </w:p>
    <w:p>
      <w:pPr>
        <w:rPr>
          <w:rFonts w:hint="eastAsia" w:ascii="宋体" w:hAnsi="宋体" w:eastAsia="宋体" w:cs="宋体"/>
          <w:strike/>
          <w:dstrike w:val="0"/>
          <w:szCs w:val="21"/>
          <w:highlight w:val="none"/>
        </w:rPr>
        <w:sectPr>
          <w:endnotePr>
            <w:numFmt w:val="decimal"/>
          </w:endnotePr>
          <w:type w:val="continuous"/>
          <w:pgSz w:w="16783" w:h="11850" w:orient="landscape"/>
          <w:pgMar w:top="567" w:right="1247" w:bottom="567" w:left="1134" w:header="284" w:footer="284" w:gutter="0"/>
          <w:pgNumType w:fmt="decimal"/>
          <w:cols w:space="720" w:num="1"/>
          <w:titlePg/>
          <w:docGrid w:type="lines" w:linePitch="312" w:charSpace="0"/>
        </w:sectPr>
      </w:pPr>
    </w:p>
    <w:p>
      <w:pPr>
        <w:widowControl/>
        <w:ind w:firstLine="482" w:firstLineChars="200"/>
        <w:jc w:val="left"/>
        <w:rPr>
          <w:rFonts w:hint="eastAsia" w:ascii="宋体" w:hAnsi="宋体" w:eastAsia="宋体" w:cs="宋体"/>
          <w:b/>
          <w:strike/>
          <w:dstrike w:val="0"/>
          <w:kern w:val="0"/>
          <w:sz w:val="24"/>
          <w:szCs w:val="24"/>
          <w:highlight w:val="none"/>
        </w:rPr>
        <w:sectPr>
          <w:endnotePr>
            <w:numFmt w:val="decimal"/>
          </w:endnotePr>
          <w:type w:val="continuous"/>
          <w:pgSz w:w="16783" w:h="11850" w:orient="landscape"/>
          <w:pgMar w:top="567" w:right="1247" w:bottom="567" w:left="1134" w:header="284" w:footer="284" w:gutter="0"/>
          <w:pgNumType w:fmt="decimal"/>
          <w:cols w:space="720" w:num="1"/>
          <w:titlePg/>
          <w:docGrid w:type="lines" w:linePitch="312" w:charSpace="0"/>
        </w:sectPr>
      </w:pPr>
    </w:p>
    <w:p>
      <w:pPr>
        <w:pStyle w:val="9"/>
        <w:ind w:firstLine="0"/>
        <w:outlineLvl w:val="2"/>
        <w:rPr>
          <w:rFonts w:hint="eastAsia" w:ascii="宋体" w:hAnsi="宋体" w:eastAsia="宋体" w:cs="宋体"/>
          <w:strike w:val="0"/>
          <w:dstrike w:val="0"/>
          <w:szCs w:val="21"/>
          <w:highlight w:val="none"/>
        </w:rPr>
      </w:pPr>
      <w:bookmarkStart w:id="183" w:name="_Toc19944"/>
      <w:r>
        <w:rPr>
          <w:rFonts w:hint="eastAsia" w:ascii="宋体" w:hAnsi="宋体" w:eastAsia="宋体" w:cs="宋体"/>
          <w:strike w:val="0"/>
          <w:dstrike w:val="0"/>
          <w:sz w:val="24"/>
          <w:szCs w:val="24"/>
          <w:highlight w:val="none"/>
        </w:rPr>
        <w:t>附件11（适用于办法二）</w:t>
      </w:r>
      <w:bookmarkEnd w:id="183"/>
    </w:p>
    <w:p>
      <w:pPr>
        <w:widowControl/>
        <w:spacing w:line="360" w:lineRule="auto"/>
        <w:jc w:val="center"/>
        <w:rPr>
          <w:rFonts w:hint="eastAsia" w:ascii="宋体" w:hAnsi="宋体" w:eastAsia="宋体" w:cs="宋体"/>
          <w:b/>
          <w:bCs/>
          <w:strike w:val="0"/>
          <w:dstrike w:val="0"/>
          <w:kern w:val="0"/>
          <w:sz w:val="28"/>
          <w:szCs w:val="28"/>
          <w:highlight w:val="none"/>
        </w:rPr>
      </w:pPr>
    </w:p>
    <w:p>
      <w:pPr>
        <w:widowControl/>
        <w:jc w:val="center"/>
        <w:rPr>
          <w:rFonts w:hint="eastAsia" w:ascii="宋体" w:hAnsi="宋体" w:eastAsia="宋体" w:cs="宋体"/>
          <w:b/>
          <w:strike w:val="0"/>
          <w:dstrike w:val="0"/>
          <w:sz w:val="36"/>
          <w:szCs w:val="36"/>
          <w:highlight w:val="none"/>
        </w:rPr>
      </w:pPr>
      <w:r>
        <w:rPr>
          <w:rFonts w:hint="eastAsia" w:ascii="宋体" w:hAnsi="宋体" w:eastAsia="宋体" w:cs="宋体"/>
          <w:b/>
          <w:strike w:val="0"/>
          <w:dstrike w:val="0"/>
          <w:sz w:val="36"/>
          <w:szCs w:val="36"/>
          <w:highlight w:val="none"/>
          <w:lang w:eastAsia="zh-CN"/>
        </w:rPr>
        <w:t>技术部分（施工组织方案）</w:t>
      </w:r>
      <w:r>
        <w:rPr>
          <w:rFonts w:hint="eastAsia" w:ascii="宋体" w:hAnsi="宋体" w:eastAsia="宋体" w:cs="宋体"/>
          <w:b/>
          <w:strike w:val="0"/>
          <w:dstrike w:val="0"/>
          <w:sz w:val="36"/>
          <w:szCs w:val="36"/>
          <w:highlight w:val="none"/>
        </w:rPr>
        <w:t>编号确认表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jc w:val="center"/>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序号</w:t>
            </w:r>
          </w:p>
        </w:tc>
        <w:tc>
          <w:tcPr>
            <w:tcW w:w="3420" w:type="dxa"/>
            <w:noWrap w:val="0"/>
            <w:vAlign w:val="center"/>
          </w:tcPr>
          <w:p>
            <w:pPr>
              <w:widowControl/>
              <w:jc w:val="center"/>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暗标编号</w:t>
            </w:r>
          </w:p>
        </w:tc>
        <w:tc>
          <w:tcPr>
            <w:tcW w:w="4280" w:type="dxa"/>
            <w:noWrap w:val="0"/>
            <w:vAlign w:val="center"/>
          </w:tcPr>
          <w:p>
            <w:pPr>
              <w:widowControl/>
              <w:jc w:val="center"/>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确认的投标人名称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342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428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342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428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342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428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342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428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342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428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342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428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342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428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342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428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342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428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342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428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342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c>
          <w:tcPr>
            <w:tcW w:w="4280" w:type="dxa"/>
            <w:noWrap w:val="0"/>
            <w:vAlign w:val="top"/>
          </w:tcPr>
          <w:p>
            <w:pPr>
              <w:tabs>
                <w:tab w:val="left" w:pos="4680"/>
              </w:tabs>
              <w:spacing w:line="360" w:lineRule="auto"/>
              <w:rPr>
                <w:rFonts w:hint="eastAsia" w:ascii="宋体" w:hAnsi="宋体" w:eastAsia="宋体" w:cs="宋体"/>
                <w:b/>
                <w:bCs/>
                <w:strike w:val="0"/>
                <w:dstrike w:val="0"/>
                <w:szCs w:val="21"/>
                <w:highlight w:val="none"/>
                <w:u w:val="single"/>
              </w:rPr>
            </w:pPr>
          </w:p>
        </w:tc>
      </w:tr>
    </w:tbl>
    <w:p>
      <w:pPr>
        <w:tabs>
          <w:tab w:val="left" w:pos="4680"/>
        </w:tabs>
        <w:spacing w:line="360" w:lineRule="auto"/>
        <w:ind w:firstLine="1200" w:firstLineChars="500"/>
        <w:rPr>
          <w:rFonts w:hint="eastAsia" w:ascii="宋体" w:hAnsi="宋体" w:eastAsia="宋体" w:cs="宋体"/>
          <w:strike w:val="0"/>
          <w:dstrike w:val="0"/>
          <w:szCs w:val="21"/>
          <w:highlight w:val="none"/>
        </w:rPr>
      </w:pPr>
      <w:r>
        <w:rPr>
          <w:rFonts w:hint="eastAsia" w:ascii="宋体" w:hAnsi="宋体" w:eastAsia="宋体" w:cs="宋体"/>
          <w:strike w:val="0"/>
          <w:dstrike w:val="0"/>
          <w:kern w:val="0"/>
          <w:sz w:val="24"/>
          <w:szCs w:val="24"/>
          <w:highlight w:val="none"/>
        </w:rPr>
        <w:t xml:space="preserve">评标委员会全体成员签名：                                日期： </w:t>
      </w:r>
    </w:p>
    <w:p>
      <w:pPr>
        <w:widowControl/>
        <w:ind w:firstLine="482" w:firstLineChars="200"/>
        <w:jc w:val="left"/>
        <w:rPr>
          <w:rFonts w:hint="eastAsia" w:ascii="宋体" w:hAnsi="宋体" w:eastAsia="宋体" w:cs="宋体"/>
          <w:b/>
          <w:strike w:val="0"/>
          <w:dstrike w:val="0"/>
          <w:kern w:val="0"/>
          <w:sz w:val="24"/>
          <w:szCs w:val="24"/>
          <w:highlight w:val="none"/>
        </w:rPr>
        <w:sectPr>
          <w:endnotePr>
            <w:numFmt w:val="decimal"/>
          </w:endnotePr>
          <w:pgSz w:w="11850" w:h="16783"/>
          <w:pgMar w:top="1247" w:right="567" w:bottom="1134" w:left="567" w:header="284" w:footer="284" w:gutter="0"/>
          <w:pgNumType w:fmt="decimal"/>
          <w:cols w:space="720" w:num="1"/>
          <w:titlePg/>
          <w:docGrid w:type="lines" w:linePitch="312" w:charSpace="0"/>
        </w:sectPr>
      </w:pPr>
    </w:p>
    <w:p>
      <w:pPr>
        <w:outlineLvl w:val="2"/>
        <w:rPr>
          <w:rFonts w:hint="eastAsia" w:ascii="宋体" w:hAnsi="宋体" w:eastAsia="宋体" w:cs="宋体"/>
          <w:strike w:val="0"/>
          <w:dstrike w:val="0"/>
          <w:sz w:val="24"/>
          <w:szCs w:val="24"/>
          <w:highlight w:val="none"/>
        </w:rPr>
      </w:pPr>
      <w:bookmarkStart w:id="184" w:name="_Toc18044"/>
      <w:r>
        <w:rPr>
          <w:rFonts w:hint="eastAsia" w:ascii="宋体" w:hAnsi="宋体" w:eastAsia="宋体" w:cs="宋体"/>
          <w:strike w:val="0"/>
          <w:dstrike w:val="0"/>
          <w:sz w:val="24"/>
          <w:szCs w:val="24"/>
          <w:highlight w:val="none"/>
        </w:rPr>
        <w:t>附件12（适用于办法二）</w:t>
      </w:r>
      <w:bookmarkEnd w:id="184"/>
    </w:p>
    <w:p>
      <w:pPr>
        <w:jc w:val="center"/>
        <w:rPr>
          <w:rFonts w:hint="eastAsia" w:ascii="宋体" w:hAnsi="宋体" w:eastAsia="宋体" w:cs="宋体"/>
          <w:b/>
          <w:strike w:val="0"/>
          <w:dstrike w:val="0"/>
          <w:sz w:val="36"/>
          <w:szCs w:val="36"/>
          <w:highlight w:val="none"/>
        </w:rPr>
      </w:pPr>
      <w:r>
        <w:rPr>
          <w:rFonts w:hint="eastAsia" w:ascii="宋体" w:hAnsi="宋体" w:eastAsia="宋体" w:cs="宋体"/>
          <w:b/>
          <w:strike w:val="0"/>
          <w:dstrike w:val="0"/>
          <w:sz w:val="36"/>
          <w:szCs w:val="36"/>
          <w:highlight w:val="none"/>
          <w:lang w:eastAsia="zh-CN"/>
        </w:rPr>
        <w:t>技术部分（施工组织方案）</w:t>
      </w:r>
      <w:r>
        <w:rPr>
          <w:rFonts w:hint="eastAsia" w:ascii="宋体" w:hAnsi="宋体" w:eastAsia="宋体" w:cs="宋体"/>
          <w:b/>
          <w:strike w:val="0"/>
          <w:dstrike w:val="0"/>
          <w:sz w:val="36"/>
          <w:szCs w:val="36"/>
          <w:highlight w:val="none"/>
        </w:rPr>
        <w:t>审查评分表</w:t>
      </w:r>
    </w:p>
    <w:p>
      <w:pPr>
        <w:rPr>
          <w:rFonts w:hint="eastAsia" w:ascii="宋体" w:hAnsi="宋体" w:eastAsia="宋体" w:cs="宋体"/>
          <w:bCs/>
          <w:strike w:val="0"/>
          <w:dstrike w:val="0"/>
          <w:szCs w:val="21"/>
          <w:highlight w:val="none"/>
        </w:rPr>
      </w:pPr>
      <w:r>
        <w:rPr>
          <w:rFonts w:hint="eastAsia" w:ascii="宋体" w:hAnsi="宋体" w:eastAsia="宋体" w:cs="宋体"/>
          <w:bCs/>
          <w:strike w:val="0"/>
          <w:dstrike w:val="0"/>
          <w:szCs w:val="21"/>
          <w:highlight w:val="none"/>
        </w:rPr>
        <w:t>工程名称：                                                                                 方案编号：</w:t>
      </w:r>
    </w:p>
    <w:tbl>
      <w:tblPr>
        <w:tblStyle w:val="10"/>
        <w:tblW w:w="14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2787"/>
        <w:gridCol w:w="947"/>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0" w:type="dxa"/>
            <w:gridSpan w:val="2"/>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评审项目</w:t>
            </w:r>
          </w:p>
        </w:tc>
        <w:tc>
          <w:tcPr>
            <w:tcW w:w="94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分值</w:t>
            </w:r>
          </w:p>
        </w:tc>
        <w:tc>
          <w:tcPr>
            <w:tcW w:w="7492"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100" w:type="dxa"/>
            <w:gridSpan w:val="2"/>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第一章 概况</w:t>
            </w:r>
          </w:p>
        </w:tc>
        <w:tc>
          <w:tcPr>
            <w:tcW w:w="94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5</w:t>
            </w:r>
          </w:p>
        </w:tc>
        <w:tc>
          <w:tcPr>
            <w:tcW w:w="7492" w:type="dxa"/>
            <w:noWrap w:val="0"/>
            <w:vAlign w:val="center"/>
          </w:tcPr>
          <w:p>
            <w:pPr>
              <w:spacing w:line="22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概况内容全面、概括性强，包括工程概况、工程范围、编制依据等。</w:t>
            </w:r>
          </w:p>
          <w:p>
            <w:pPr>
              <w:spacing w:line="220" w:lineRule="exact"/>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得分规则：优得</w:t>
            </w:r>
            <w:r>
              <w:rPr>
                <w:rFonts w:hint="eastAsia" w:ascii="宋体" w:hAnsi="宋体" w:eastAsia="宋体" w:cs="宋体"/>
                <w:sz w:val="18"/>
                <w:szCs w:val="18"/>
                <w:highlight w:val="none"/>
                <w:u w:val="single"/>
              </w:rPr>
              <w:t xml:space="preserve">  5 </w:t>
            </w:r>
            <w:r>
              <w:rPr>
                <w:rFonts w:hint="eastAsia" w:ascii="宋体" w:hAnsi="宋体" w:eastAsia="宋体" w:cs="宋体"/>
                <w:sz w:val="18"/>
                <w:szCs w:val="18"/>
                <w:highlight w:val="none"/>
              </w:rPr>
              <w:t>分；良得</w:t>
            </w:r>
            <w:r>
              <w:rPr>
                <w:rFonts w:hint="eastAsia" w:ascii="宋体" w:hAnsi="宋体" w:eastAsia="宋体" w:cs="宋体"/>
                <w:sz w:val="18"/>
                <w:szCs w:val="18"/>
                <w:highlight w:val="none"/>
                <w:u w:val="single"/>
              </w:rPr>
              <w:t xml:space="preserve"> 4 </w:t>
            </w:r>
            <w:r>
              <w:rPr>
                <w:rFonts w:hint="eastAsia" w:ascii="宋体" w:hAnsi="宋体" w:eastAsia="宋体" w:cs="宋体"/>
                <w:sz w:val="18"/>
                <w:szCs w:val="18"/>
                <w:highlight w:val="none"/>
              </w:rPr>
              <w:t>分；中得</w:t>
            </w:r>
            <w:r>
              <w:rPr>
                <w:rFonts w:hint="eastAsia" w:ascii="宋体" w:hAnsi="宋体" w:eastAsia="宋体" w:cs="宋体"/>
                <w:sz w:val="18"/>
                <w:szCs w:val="18"/>
                <w:highlight w:val="none"/>
                <w:u w:val="single"/>
              </w:rPr>
              <w:t xml:space="preserve"> 3 </w:t>
            </w:r>
            <w:r>
              <w:rPr>
                <w:rFonts w:hint="eastAsia" w:ascii="宋体" w:hAnsi="宋体" w:eastAsia="宋体" w:cs="宋体"/>
                <w:sz w:val="18"/>
                <w:szCs w:val="18"/>
                <w:highlight w:val="none"/>
              </w:rPr>
              <w:t>分；一般得</w:t>
            </w:r>
            <w:r>
              <w:rPr>
                <w:rFonts w:hint="eastAsia" w:ascii="宋体" w:hAnsi="宋体" w:eastAsia="宋体" w:cs="宋体"/>
                <w:sz w:val="18"/>
                <w:szCs w:val="18"/>
                <w:highlight w:val="none"/>
                <w:u w:val="single"/>
              </w:rPr>
              <w:t xml:space="preserve"> 2 </w:t>
            </w:r>
            <w:r>
              <w:rPr>
                <w:rFonts w:hint="eastAsia" w:ascii="宋体" w:hAnsi="宋体" w:eastAsia="宋体" w:cs="宋体"/>
                <w:sz w:val="18"/>
                <w:szCs w:val="18"/>
                <w:highlight w:val="none"/>
              </w:rPr>
              <w:t>分；差得</w:t>
            </w:r>
            <w:r>
              <w:rPr>
                <w:rFonts w:hint="eastAsia" w:ascii="宋体" w:hAnsi="宋体" w:eastAsia="宋体" w:cs="宋体"/>
                <w:sz w:val="18"/>
                <w:szCs w:val="18"/>
                <w:highlight w:val="none"/>
                <w:u w:val="single"/>
              </w:rPr>
              <w:t>0</w:t>
            </w:r>
            <w:r>
              <w:rPr>
                <w:rFonts w:hint="eastAsia" w:ascii="宋体" w:hAnsi="宋体" w:eastAsia="宋体" w:cs="宋体"/>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restart"/>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第二章 工作目标与组织架构</w:t>
            </w: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工作目标</w:t>
            </w:r>
          </w:p>
        </w:tc>
        <w:tc>
          <w:tcPr>
            <w:tcW w:w="947" w:type="dxa"/>
            <w:vMerge w:val="restart"/>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5</w:t>
            </w:r>
          </w:p>
        </w:tc>
        <w:tc>
          <w:tcPr>
            <w:tcW w:w="7492" w:type="dxa"/>
            <w:vMerge w:val="restart"/>
            <w:noWrap w:val="0"/>
            <w:vAlign w:val="center"/>
          </w:tcPr>
          <w:p>
            <w:pPr>
              <w:spacing w:line="22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了解项目总体情况，编制项目的总体目标、施工目标、质量目标和工期目标等；编制合理的组织架构，满足项目需要等。</w:t>
            </w:r>
          </w:p>
          <w:p>
            <w:pPr>
              <w:spacing w:line="220" w:lineRule="exact"/>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得分规则：优得</w:t>
            </w:r>
            <w:r>
              <w:rPr>
                <w:rFonts w:hint="eastAsia" w:ascii="宋体" w:hAnsi="宋体" w:eastAsia="宋体" w:cs="宋体"/>
                <w:sz w:val="18"/>
                <w:szCs w:val="18"/>
                <w:highlight w:val="none"/>
                <w:u w:val="single"/>
              </w:rPr>
              <w:t xml:space="preserve">  5 </w:t>
            </w:r>
            <w:r>
              <w:rPr>
                <w:rFonts w:hint="eastAsia" w:ascii="宋体" w:hAnsi="宋体" w:eastAsia="宋体" w:cs="宋体"/>
                <w:sz w:val="18"/>
                <w:szCs w:val="18"/>
                <w:highlight w:val="none"/>
              </w:rPr>
              <w:t>分；良得</w:t>
            </w:r>
            <w:r>
              <w:rPr>
                <w:rFonts w:hint="eastAsia" w:ascii="宋体" w:hAnsi="宋体" w:eastAsia="宋体" w:cs="宋体"/>
                <w:sz w:val="18"/>
                <w:szCs w:val="18"/>
                <w:highlight w:val="none"/>
                <w:u w:val="single"/>
              </w:rPr>
              <w:t xml:space="preserve"> 4 </w:t>
            </w:r>
            <w:r>
              <w:rPr>
                <w:rFonts w:hint="eastAsia" w:ascii="宋体" w:hAnsi="宋体" w:eastAsia="宋体" w:cs="宋体"/>
                <w:sz w:val="18"/>
                <w:szCs w:val="18"/>
                <w:highlight w:val="none"/>
              </w:rPr>
              <w:t>分；中得</w:t>
            </w:r>
            <w:r>
              <w:rPr>
                <w:rFonts w:hint="eastAsia" w:ascii="宋体" w:hAnsi="宋体" w:eastAsia="宋体" w:cs="宋体"/>
                <w:sz w:val="18"/>
                <w:szCs w:val="18"/>
                <w:highlight w:val="none"/>
                <w:u w:val="single"/>
              </w:rPr>
              <w:t xml:space="preserve"> 3 </w:t>
            </w:r>
            <w:r>
              <w:rPr>
                <w:rFonts w:hint="eastAsia" w:ascii="宋体" w:hAnsi="宋体" w:eastAsia="宋体" w:cs="宋体"/>
                <w:sz w:val="18"/>
                <w:szCs w:val="18"/>
                <w:highlight w:val="none"/>
              </w:rPr>
              <w:t>分；一般得</w:t>
            </w:r>
            <w:r>
              <w:rPr>
                <w:rFonts w:hint="eastAsia" w:ascii="宋体" w:hAnsi="宋体" w:eastAsia="宋体" w:cs="宋体"/>
                <w:sz w:val="18"/>
                <w:szCs w:val="18"/>
                <w:highlight w:val="none"/>
                <w:u w:val="single"/>
              </w:rPr>
              <w:t xml:space="preserve"> 2 </w:t>
            </w:r>
            <w:r>
              <w:rPr>
                <w:rFonts w:hint="eastAsia" w:ascii="宋体" w:hAnsi="宋体" w:eastAsia="宋体" w:cs="宋体"/>
                <w:sz w:val="18"/>
                <w:szCs w:val="18"/>
                <w:highlight w:val="none"/>
              </w:rPr>
              <w:t>分；差得</w:t>
            </w:r>
            <w:r>
              <w:rPr>
                <w:rFonts w:hint="eastAsia" w:ascii="宋体" w:hAnsi="宋体" w:eastAsia="宋体" w:cs="宋体"/>
                <w:sz w:val="18"/>
                <w:szCs w:val="18"/>
                <w:highlight w:val="none"/>
                <w:u w:val="single"/>
              </w:rPr>
              <w:t>0</w:t>
            </w:r>
            <w:r>
              <w:rPr>
                <w:rFonts w:hint="eastAsia" w:ascii="宋体" w:hAnsi="宋体" w:eastAsia="宋体" w:cs="宋体"/>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pPr>
              <w:jc w:val="center"/>
              <w:rPr>
                <w:rFonts w:hint="eastAsia" w:ascii="宋体" w:hAnsi="宋体" w:eastAsia="宋体" w:cs="宋体"/>
                <w:strike w:val="0"/>
                <w:dstrike w:val="0"/>
                <w:sz w:val="18"/>
                <w:szCs w:val="18"/>
                <w:highlight w:val="none"/>
              </w:rPr>
            </w:pP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组织架构</w:t>
            </w:r>
          </w:p>
        </w:tc>
        <w:tc>
          <w:tcPr>
            <w:tcW w:w="947" w:type="dxa"/>
            <w:vMerge w:val="continue"/>
            <w:noWrap w:val="0"/>
            <w:vAlign w:val="center"/>
          </w:tcPr>
          <w:p>
            <w:pPr>
              <w:jc w:val="center"/>
              <w:rPr>
                <w:rFonts w:hint="eastAsia" w:ascii="宋体" w:hAnsi="宋体" w:eastAsia="宋体" w:cs="宋体"/>
                <w:strike w:val="0"/>
                <w:dstrike w:val="0"/>
                <w:sz w:val="18"/>
                <w:szCs w:val="18"/>
                <w:highlight w:val="none"/>
              </w:rPr>
            </w:pPr>
          </w:p>
        </w:tc>
        <w:tc>
          <w:tcPr>
            <w:tcW w:w="7492" w:type="dxa"/>
            <w:vMerge w:val="continue"/>
            <w:noWrap w:val="0"/>
            <w:vAlign w:val="center"/>
          </w:tcPr>
          <w:p>
            <w:pPr>
              <w:rPr>
                <w:rFonts w:hint="eastAsia" w:ascii="宋体" w:hAnsi="宋体" w:eastAsia="宋体" w:cs="宋体"/>
                <w:strike w:val="0"/>
                <w:dstrike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100" w:type="dxa"/>
            <w:gridSpan w:val="2"/>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第三章 现状调查与分析</w:t>
            </w:r>
          </w:p>
        </w:tc>
        <w:tc>
          <w:tcPr>
            <w:tcW w:w="947" w:type="dxa"/>
            <w:vMerge w:val="restart"/>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15</w:t>
            </w:r>
          </w:p>
        </w:tc>
        <w:tc>
          <w:tcPr>
            <w:tcW w:w="7492" w:type="dxa"/>
            <w:vMerge w:val="restart"/>
            <w:noWrap w:val="0"/>
            <w:vAlign w:val="center"/>
          </w:tcPr>
          <w:p>
            <w:pPr>
              <w:spacing w:line="22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正确理解规划建设意图，对项目现状摸查充分；熟悉项目情况，能深入、合理地分析项目的具体特性，针对周边的区位条件、景观资源、植物现状等情况制定全面、合理的施工方案和处理措施。</w:t>
            </w:r>
          </w:p>
          <w:p>
            <w:pPr>
              <w:spacing w:line="220" w:lineRule="exact"/>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得分规则：优得</w:t>
            </w:r>
            <w:r>
              <w:rPr>
                <w:rFonts w:hint="eastAsia" w:ascii="宋体" w:hAnsi="宋体" w:eastAsia="宋体" w:cs="宋体"/>
                <w:sz w:val="18"/>
                <w:szCs w:val="18"/>
                <w:highlight w:val="none"/>
                <w:u w:val="single"/>
              </w:rPr>
              <w:t xml:space="preserve">  15 </w:t>
            </w:r>
            <w:r>
              <w:rPr>
                <w:rFonts w:hint="eastAsia" w:ascii="宋体" w:hAnsi="宋体" w:eastAsia="宋体" w:cs="宋体"/>
                <w:sz w:val="18"/>
                <w:szCs w:val="18"/>
                <w:highlight w:val="none"/>
              </w:rPr>
              <w:t>分；良得</w:t>
            </w:r>
            <w:r>
              <w:rPr>
                <w:rFonts w:hint="eastAsia" w:ascii="宋体" w:hAnsi="宋体" w:eastAsia="宋体" w:cs="宋体"/>
                <w:sz w:val="18"/>
                <w:szCs w:val="18"/>
                <w:highlight w:val="none"/>
                <w:u w:val="single"/>
              </w:rPr>
              <w:t xml:space="preserve"> 11 </w:t>
            </w:r>
            <w:r>
              <w:rPr>
                <w:rFonts w:hint="eastAsia" w:ascii="宋体" w:hAnsi="宋体" w:eastAsia="宋体" w:cs="宋体"/>
                <w:sz w:val="18"/>
                <w:szCs w:val="18"/>
                <w:highlight w:val="none"/>
              </w:rPr>
              <w:t>分；中得</w:t>
            </w:r>
            <w:r>
              <w:rPr>
                <w:rFonts w:hint="eastAsia" w:ascii="宋体" w:hAnsi="宋体" w:eastAsia="宋体" w:cs="宋体"/>
                <w:sz w:val="18"/>
                <w:szCs w:val="18"/>
                <w:highlight w:val="none"/>
                <w:u w:val="single"/>
              </w:rPr>
              <w:t xml:space="preserve"> 7</w:t>
            </w:r>
            <w:r>
              <w:rPr>
                <w:rFonts w:hint="eastAsia" w:ascii="宋体" w:hAnsi="宋体" w:eastAsia="宋体" w:cs="宋体"/>
                <w:sz w:val="18"/>
                <w:szCs w:val="18"/>
                <w:highlight w:val="none"/>
              </w:rPr>
              <w:t>分；一般得</w:t>
            </w:r>
            <w:r>
              <w:rPr>
                <w:rFonts w:hint="eastAsia" w:ascii="宋体" w:hAnsi="宋体" w:eastAsia="宋体" w:cs="宋体"/>
                <w:sz w:val="18"/>
                <w:szCs w:val="18"/>
                <w:highlight w:val="none"/>
                <w:u w:val="single"/>
              </w:rPr>
              <w:t xml:space="preserve"> 3</w:t>
            </w:r>
            <w:r>
              <w:rPr>
                <w:rFonts w:hint="eastAsia" w:ascii="宋体" w:hAnsi="宋体" w:eastAsia="宋体" w:cs="宋体"/>
                <w:sz w:val="18"/>
                <w:szCs w:val="18"/>
                <w:highlight w:val="none"/>
              </w:rPr>
              <w:t>分；差得</w:t>
            </w:r>
            <w:r>
              <w:rPr>
                <w:rFonts w:hint="eastAsia" w:ascii="宋体" w:hAnsi="宋体" w:eastAsia="宋体" w:cs="宋体"/>
                <w:sz w:val="18"/>
                <w:szCs w:val="18"/>
                <w:highlight w:val="none"/>
                <w:u w:val="single"/>
              </w:rPr>
              <w:t>0</w:t>
            </w:r>
            <w:r>
              <w:rPr>
                <w:rFonts w:hint="eastAsia" w:ascii="宋体" w:hAnsi="宋体" w:eastAsia="宋体" w:cs="宋体"/>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313" w:type="dxa"/>
            <w:vMerge w:val="restart"/>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第四章 实施方案</w:t>
            </w: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施工总体进度计划</w:t>
            </w:r>
          </w:p>
        </w:tc>
        <w:tc>
          <w:tcPr>
            <w:tcW w:w="94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10</w:t>
            </w:r>
          </w:p>
        </w:tc>
        <w:tc>
          <w:tcPr>
            <w:tcW w:w="7492" w:type="dxa"/>
            <w:noWrap w:val="0"/>
            <w:vAlign w:val="center"/>
          </w:tcPr>
          <w:p>
            <w:pPr>
              <w:spacing w:line="22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施工总体工作目标明确，应包括施工的总体目标、质量目标和工期目标等。</w:t>
            </w:r>
          </w:p>
          <w:p>
            <w:pPr>
              <w:spacing w:line="220" w:lineRule="exact"/>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得分规则：优得</w:t>
            </w:r>
            <w:r>
              <w:rPr>
                <w:rFonts w:hint="eastAsia" w:ascii="宋体" w:hAnsi="宋体" w:eastAsia="宋体" w:cs="宋体"/>
                <w:sz w:val="18"/>
                <w:szCs w:val="18"/>
                <w:highlight w:val="none"/>
                <w:u w:val="single"/>
              </w:rPr>
              <w:t xml:space="preserve"> 10</w:t>
            </w:r>
            <w:r>
              <w:rPr>
                <w:rFonts w:hint="eastAsia" w:ascii="宋体" w:hAnsi="宋体" w:eastAsia="宋体" w:cs="宋体"/>
                <w:sz w:val="18"/>
                <w:szCs w:val="18"/>
                <w:highlight w:val="none"/>
              </w:rPr>
              <w:t>分；良得</w:t>
            </w:r>
            <w:r>
              <w:rPr>
                <w:rFonts w:hint="eastAsia" w:ascii="宋体" w:hAnsi="宋体" w:eastAsia="宋体" w:cs="宋体"/>
                <w:sz w:val="18"/>
                <w:szCs w:val="18"/>
                <w:highlight w:val="none"/>
                <w:u w:val="single"/>
              </w:rPr>
              <w:t xml:space="preserve"> 8 </w:t>
            </w:r>
            <w:r>
              <w:rPr>
                <w:rFonts w:hint="eastAsia" w:ascii="宋体" w:hAnsi="宋体" w:eastAsia="宋体" w:cs="宋体"/>
                <w:sz w:val="18"/>
                <w:szCs w:val="18"/>
                <w:highlight w:val="none"/>
              </w:rPr>
              <w:t>分；中得</w:t>
            </w:r>
            <w:r>
              <w:rPr>
                <w:rFonts w:hint="eastAsia" w:ascii="宋体" w:hAnsi="宋体" w:eastAsia="宋体" w:cs="宋体"/>
                <w:sz w:val="18"/>
                <w:szCs w:val="18"/>
                <w:highlight w:val="none"/>
                <w:u w:val="single"/>
              </w:rPr>
              <w:t>6</w:t>
            </w:r>
            <w:r>
              <w:rPr>
                <w:rFonts w:hint="eastAsia" w:ascii="宋体" w:hAnsi="宋体" w:eastAsia="宋体" w:cs="宋体"/>
                <w:sz w:val="18"/>
                <w:szCs w:val="18"/>
                <w:highlight w:val="none"/>
              </w:rPr>
              <w:t>分；一般得</w:t>
            </w:r>
            <w:r>
              <w:rPr>
                <w:rFonts w:hint="eastAsia" w:ascii="宋体" w:hAnsi="宋体" w:eastAsia="宋体" w:cs="宋体"/>
                <w:sz w:val="18"/>
                <w:szCs w:val="18"/>
                <w:highlight w:val="none"/>
                <w:u w:val="single"/>
              </w:rPr>
              <w:t>4</w:t>
            </w:r>
            <w:r>
              <w:rPr>
                <w:rFonts w:hint="eastAsia" w:ascii="宋体" w:hAnsi="宋体" w:eastAsia="宋体" w:cs="宋体"/>
                <w:sz w:val="18"/>
                <w:szCs w:val="18"/>
                <w:highlight w:val="none"/>
              </w:rPr>
              <w:t>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pPr>
              <w:jc w:val="center"/>
              <w:rPr>
                <w:rFonts w:hint="eastAsia" w:ascii="宋体" w:hAnsi="宋体" w:eastAsia="宋体" w:cs="宋体"/>
                <w:strike w:val="0"/>
                <w:dstrike w:val="0"/>
                <w:sz w:val="18"/>
                <w:szCs w:val="18"/>
                <w:highlight w:val="none"/>
              </w:rPr>
            </w:pP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施工组织与部署</w:t>
            </w:r>
          </w:p>
        </w:tc>
        <w:tc>
          <w:tcPr>
            <w:tcW w:w="947" w:type="dxa"/>
            <w:vMerge w:val="restart"/>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20</w:t>
            </w:r>
          </w:p>
        </w:tc>
        <w:tc>
          <w:tcPr>
            <w:tcW w:w="7492" w:type="dxa"/>
            <w:vMerge w:val="restart"/>
            <w:noWrap w:val="0"/>
            <w:vAlign w:val="center"/>
          </w:tcPr>
          <w:p>
            <w:pPr>
              <w:spacing w:line="22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施工组织中的施工组织与部署、主要工程项目施工方法、施工投入（人、机、材等）内容应详实、合理，紧密结合项目现状。能有效保障劳动者权益。</w:t>
            </w:r>
          </w:p>
          <w:p>
            <w:pPr>
              <w:spacing w:line="220" w:lineRule="exact"/>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得分规则：优得</w:t>
            </w:r>
            <w:r>
              <w:rPr>
                <w:rFonts w:hint="eastAsia" w:ascii="宋体" w:hAnsi="宋体" w:eastAsia="宋体" w:cs="宋体"/>
                <w:sz w:val="18"/>
                <w:szCs w:val="18"/>
                <w:highlight w:val="none"/>
                <w:u w:val="single"/>
              </w:rPr>
              <w:t xml:space="preserve"> 20</w:t>
            </w:r>
            <w:r>
              <w:rPr>
                <w:rFonts w:hint="eastAsia" w:ascii="宋体" w:hAnsi="宋体" w:eastAsia="宋体" w:cs="宋体"/>
                <w:sz w:val="18"/>
                <w:szCs w:val="18"/>
                <w:highlight w:val="none"/>
              </w:rPr>
              <w:t>分；良得</w:t>
            </w:r>
            <w:r>
              <w:rPr>
                <w:rFonts w:hint="eastAsia" w:ascii="宋体" w:hAnsi="宋体" w:eastAsia="宋体" w:cs="宋体"/>
                <w:sz w:val="18"/>
                <w:szCs w:val="18"/>
                <w:highlight w:val="none"/>
                <w:u w:val="single"/>
              </w:rPr>
              <w:t>15</w:t>
            </w:r>
            <w:r>
              <w:rPr>
                <w:rFonts w:hint="eastAsia" w:ascii="宋体" w:hAnsi="宋体" w:eastAsia="宋体" w:cs="宋体"/>
                <w:sz w:val="18"/>
                <w:szCs w:val="18"/>
                <w:highlight w:val="none"/>
              </w:rPr>
              <w:t>分；中得</w:t>
            </w:r>
            <w:r>
              <w:rPr>
                <w:rFonts w:hint="eastAsia" w:ascii="宋体" w:hAnsi="宋体" w:eastAsia="宋体" w:cs="宋体"/>
                <w:sz w:val="18"/>
                <w:szCs w:val="18"/>
                <w:highlight w:val="none"/>
                <w:u w:val="single"/>
              </w:rPr>
              <w:t>10</w:t>
            </w:r>
            <w:r>
              <w:rPr>
                <w:rFonts w:hint="eastAsia" w:ascii="宋体" w:hAnsi="宋体" w:eastAsia="宋体" w:cs="宋体"/>
                <w:sz w:val="18"/>
                <w:szCs w:val="18"/>
                <w:highlight w:val="none"/>
              </w:rPr>
              <w:t>分；一般得</w:t>
            </w:r>
            <w:r>
              <w:rPr>
                <w:rFonts w:hint="eastAsia" w:ascii="宋体" w:hAnsi="宋体" w:eastAsia="宋体" w:cs="宋体"/>
                <w:sz w:val="18"/>
                <w:szCs w:val="18"/>
                <w:highlight w:val="none"/>
                <w:u w:val="single"/>
              </w:rPr>
              <w:t>5</w:t>
            </w:r>
            <w:r>
              <w:rPr>
                <w:rFonts w:hint="eastAsia" w:ascii="宋体" w:hAnsi="宋体" w:eastAsia="宋体" w:cs="宋体"/>
                <w:sz w:val="18"/>
                <w:szCs w:val="18"/>
                <w:highlight w:val="none"/>
              </w:rPr>
              <w:t>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pPr>
              <w:jc w:val="center"/>
              <w:rPr>
                <w:rFonts w:hint="eastAsia" w:ascii="宋体" w:hAnsi="宋体" w:eastAsia="宋体" w:cs="宋体"/>
                <w:strike w:val="0"/>
                <w:dstrike w:val="0"/>
                <w:sz w:val="18"/>
                <w:szCs w:val="18"/>
                <w:highlight w:val="none"/>
              </w:rPr>
            </w:pP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主要工程项目施工方法</w:t>
            </w:r>
          </w:p>
        </w:tc>
        <w:tc>
          <w:tcPr>
            <w:tcW w:w="947" w:type="dxa"/>
            <w:vMerge w:val="continue"/>
            <w:noWrap w:val="0"/>
            <w:vAlign w:val="center"/>
          </w:tcPr>
          <w:p>
            <w:pPr>
              <w:jc w:val="center"/>
              <w:rPr>
                <w:rFonts w:hint="eastAsia" w:ascii="宋体" w:hAnsi="宋体" w:eastAsia="宋体" w:cs="宋体"/>
                <w:strike w:val="0"/>
                <w:dstrike w:val="0"/>
                <w:sz w:val="18"/>
                <w:szCs w:val="18"/>
                <w:highlight w:val="none"/>
              </w:rPr>
            </w:pPr>
          </w:p>
        </w:tc>
        <w:tc>
          <w:tcPr>
            <w:tcW w:w="7492" w:type="dxa"/>
            <w:vMerge w:val="continue"/>
            <w:noWrap w:val="0"/>
            <w:vAlign w:val="center"/>
          </w:tcPr>
          <w:p>
            <w:pPr>
              <w:spacing w:line="220" w:lineRule="exact"/>
              <w:rPr>
                <w:rFonts w:hint="eastAsia" w:ascii="宋体" w:hAnsi="宋体" w:eastAsia="宋体" w:cs="宋体"/>
                <w:strike w:val="0"/>
                <w:dstrike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pPr>
              <w:jc w:val="center"/>
              <w:rPr>
                <w:rFonts w:hint="eastAsia" w:ascii="宋体" w:hAnsi="宋体" w:eastAsia="宋体" w:cs="宋体"/>
                <w:strike w:val="0"/>
                <w:dstrike w:val="0"/>
                <w:sz w:val="18"/>
                <w:szCs w:val="18"/>
                <w:highlight w:val="none"/>
              </w:rPr>
            </w:pP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施工投入（人、机、材等）</w:t>
            </w:r>
          </w:p>
        </w:tc>
        <w:tc>
          <w:tcPr>
            <w:tcW w:w="947" w:type="dxa"/>
            <w:vMerge w:val="continue"/>
            <w:noWrap w:val="0"/>
            <w:vAlign w:val="center"/>
          </w:tcPr>
          <w:p>
            <w:pPr>
              <w:jc w:val="center"/>
              <w:rPr>
                <w:rFonts w:hint="eastAsia" w:ascii="宋体" w:hAnsi="宋体" w:eastAsia="宋体" w:cs="宋体"/>
                <w:strike w:val="0"/>
                <w:dstrike w:val="0"/>
                <w:sz w:val="18"/>
                <w:szCs w:val="18"/>
                <w:highlight w:val="none"/>
              </w:rPr>
            </w:pPr>
          </w:p>
        </w:tc>
        <w:tc>
          <w:tcPr>
            <w:tcW w:w="7492" w:type="dxa"/>
            <w:vMerge w:val="continue"/>
            <w:noWrap w:val="0"/>
            <w:vAlign w:val="center"/>
          </w:tcPr>
          <w:p>
            <w:pPr>
              <w:spacing w:line="220" w:lineRule="exact"/>
              <w:rPr>
                <w:rFonts w:hint="eastAsia" w:ascii="宋体" w:hAnsi="宋体" w:eastAsia="宋体" w:cs="宋体"/>
                <w:strike w:val="0"/>
                <w:dstrike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313" w:type="dxa"/>
            <w:vMerge w:val="continue"/>
            <w:noWrap w:val="0"/>
            <w:vAlign w:val="center"/>
          </w:tcPr>
          <w:p>
            <w:pPr>
              <w:jc w:val="center"/>
              <w:rPr>
                <w:rFonts w:hint="eastAsia" w:ascii="宋体" w:hAnsi="宋体" w:eastAsia="宋体" w:cs="宋体"/>
                <w:strike w:val="0"/>
                <w:dstrike w:val="0"/>
                <w:sz w:val="18"/>
                <w:szCs w:val="18"/>
                <w:highlight w:val="none"/>
              </w:rPr>
            </w:pP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材料设备采购计划</w:t>
            </w:r>
          </w:p>
        </w:tc>
        <w:tc>
          <w:tcPr>
            <w:tcW w:w="947" w:type="dxa"/>
            <w:vMerge w:val="restart"/>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15</w:t>
            </w:r>
          </w:p>
        </w:tc>
        <w:tc>
          <w:tcPr>
            <w:tcW w:w="7492" w:type="dxa"/>
            <w:vMerge w:val="restart"/>
            <w:noWrap w:val="0"/>
            <w:vAlign w:val="center"/>
          </w:tcPr>
          <w:p>
            <w:pPr>
              <w:spacing w:line="22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施工组织中的材料设备采购计划、资金使用计划、质量标准与保障措施、档案管理等内容应详实、合理，紧密结合项目现状。</w:t>
            </w:r>
          </w:p>
          <w:p>
            <w:pPr>
              <w:spacing w:line="220" w:lineRule="exact"/>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得分规则：优得</w:t>
            </w:r>
            <w:r>
              <w:rPr>
                <w:rFonts w:hint="eastAsia" w:ascii="宋体" w:hAnsi="宋体" w:eastAsia="宋体" w:cs="宋体"/>
                <w:sz w:val="18"/>
                <w:szCs w:val="18"/>
                <w:highlight w:val="none"/>
                <w:u w:val="single"/>
              </w:rPr>
              <w:t>15</w:t>
            </w:r>
            <w:r>
              <w:rPr>
                <w:rFonts w:hint="eastAsia" w:ascii="宋体" w:hAnsi="宋体" w:eastAsia="宋体" w:cs="宋体"/>
                <w:sz w:val="18"/>
                <w:szCs w:val="18"/>
                <w:highlight w:val="none"/>
              </w:rPr>
              <w:t>分；良得</w:t>
            </w:r>
            <w:r>
              <w:rPr>
                <w:rFonts w:hint="eastAsia" w:ascii="宋体" w:hAnsi="宋体" w:eastAsia="宋体" w:cs="宋体"/>
                <w:sz w:val="18"/>
                <w:szCs w:val="18"/>
                <w:highlight w:val="none"/>
                <w:u w:val="single"/>
              </w:rPr>
              <w:t>11</w:t>
            </w:r>
            <w:r>
              <w:rPr>
                <w:rFonts w:hint="eastAsia" w:ascii="宋体" w:hAnsi="宋体" w:eastAsia="宋体" w:cs="宋体"/>
                <w:sz w:val="18"/>
                <w:szCs w:val="18"/>
                <w:highlight w:val="none"/>
              </w:rPr>
              <w:t>分；中得</w:t>
            </w:r>
            <w:r>
              <w:rPr>
                <w:rFonts w:hint="eastAsia" w:ascii="宋体" w:hAnsi="宋体" w:eastAsia="宋体" w:cs="宋体"/>
                <w:sz w:val="18"/>
                <w:szCs w:val="18"/>
                <w:highlight w:val="none"/>
                <w:u w:val="single"/>
              </w:rPr>
              <w:t>7</w:t>
            </w:r>
            <w:r>
              <w:rPr>
                <w:rFonts w:hint="eastAsia" w:ascii="宋体" w:hAnsi="宋体" w:eastAsia="宋体" w:cs="宋体"/>
                <w:sz w:val="18"/>
                <w:szCs w:val="18"/>
                <w:highlight w:val="none"/>
              </w:rPr>
              <w:t>分；一般得</w:t>
            </w:r>
            <w:r>
              <w:rPr>
                <w:rFonts w:hint="eastAsia" w:ascii="宋体" w:hAnsi="宋体" w:eastAsia="宋体" w:cs="宋体"/>
                <w:sz w:val="18"/>
                <w:szCs w:val="18"/>
                <w:highlight w:val="none"/>
                <w:u w:val="single"/>
              </w:rPr>
              <w:t>3</w:t>
            </w:r>
            <w:r>
              <w:rPr>
                <w:rFonts w:hint="eastAsia" w:ascii="宋体" w:hAnsi="宋体" w:eastAsia="宋体" w:cs="宋体"/>
                <w:sz w:val="18"/>
                <w:szCs w:val="18"/>
                <w:highlight w:val="none"/>
              </w:rPr>
              <w:t>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pPr>
              <w:jc w:val="center"/>
              <w:rPr>
                <w:rFonts w:hint="eastAsia" w:ascii="宋体" w:hAnsi="宋体" w:eastAsia="宋体" w:cs="宋体"/>
                <w:strike w:val="0"/>
                <w:dstrike w:val="0"/>
                <w:sz w:val="18"/>
                <w:szCs w:val="18"/>
                <w:highlight w:val="none"/>
              </w:rPr>
            </w:pP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资金使用计划</w:t>
            </w:r>
          </w:p>
        </w:tc>
        <w:tc>
          <w:tcPr>
            <w:tcW w:w="947" w:type="dxa"/>
            <w:vMerge w:val="continue"/>
            <w:noWrap w:val="0"/>
            <w:vAlign w:val="center"/>
          </w:tcPr>
          <w:p>
            <w:pPr>
              <w:jc w:val="center"/>
              <w:rPr>
                <w:rFonts w:hint="eastAsia" w:ascii="宋体" w:hAnsi="宋体" w:eastAsia="宋体" w:cs="宋体"/>
                <w:strike w:val="0"/>
                <w:dstrike w:val="0"/>
                <w:sz w:val="18"/>
                <w:szCs w:val="18"/>
                <w:highlight w:val="none"/>
              </w:rPr>
            </w:pPr>
          </w:p>
        </w:tc>
        <w:tc>
          <w:tcPr>
            <w:tcW w:w="7492" w:type="dxa"/>
            <w:vMerge w:val="continue"/>
            <w:noWrap w:val="0"/>
            <w:vAlign w:val="center"/>
          </w:tcPr>
          <w:p>
            <w:pPr>
              <w:spacing w:line="220" w:lineRule="exact"/>
              <w:rPr>
                <w:rFonts w:hint="eastAsia" w:ascii="宋体" w:hAnsi="宋体" w:eastAsia="宋体" w:cs="宋体"/>
                <w:strike w:val="0"/>
                <w:dstrike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pPr>
              <w:jc w:val="center"/>
              <w:rPr>
                <w:rFonts w:hint="eastAsia" w:ascii="宋体" w:hAnsi="宋体" w:eastAsia="宋体" w:cs="宋体"/>
                <w:strike w:val="0"/>
                <w:dstrike w:val="0"/>
                <w:sz w:val="18"/>
                <w:szCs w:val="18"/>
                <w:highlight w:val="none"/>
              </w:rPr>
            </w:pP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质量标准</w:t>
            </w:r>
          </w:p>
        </w:tc>
        <w:tc>
          <w:tcPr>
            <w:tcW w:w="947" w:type="dxa"/>
            <w:vMerge w:val="continue"/>
            <w:noWrap w:val="0"/>
            <w:vAlign w:val="center"/>
          </w:tcPr>
          <w:p>
            <w:pPr>
              <w:jc w:val="center"/>
              <w:rPr>
                <w:rFonts w:hint="eastAsia" w:ascii="宋体" w:hAnsi="宋体" w:eastAsia="宋体" w:cs="宋体"/>
                <w:strike w:val="0"/>
                <w:dstrike w:val="0"/>
                <w:sz w:val="18"/>
                <w:szCs w:val="18"/>
                <w:highlight w:val="none"/>
              </w:rPr>
            </w:pPr>
          </w:p>
        </w:tc>
        <w:tc>
          <w:tcPr>
            <w:tcW w:w="7492" w:type="dxa"/>
            <w:vMerge w:val="continue"/>
            <w:noWrap w:val="0"/>
            <w:vAlign w:val="center"/>
          </w:tcPr>
          <w:p>
            <w:pPr>
              <w:spacing w:line="220" w:lineRule="exact"/>
              <w:rPr>
                <w:rFonts w:hint="eastAsia" w:ascii="宋体" w:hAnsi="宋体" w:eastAsia="宋体" w:cs="宋体"/>
                <w:strike w:val="0"/>
                <w:dstrike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pPr>
              <w:jc w:val="center"/>
              <w:rPr>
                <w:rFonts w:hint="eastAsia" w:ascii="宋体" w:hAnsi="宋体" w:eastAsia="宋体" w:cs="宋体"/>
                <w:strike w:val="0"/>
                <w:dstrike w:val="0"/>
                <w:sz w:val="18"/>
                <w:szCs w:val="18"/>
                <w:highlight w:val="none"/>
              </w:rPr>
            </w:pP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档案管理</w:t>
            </w:r>
          </w:p>
        </w:tc>
        <w:tc>
          <w:tcPr>
            <w:tcW w:w="947" w:type="dxa"/>
            <w:vMerge w:val="continue"/>
            <w:noWrap w:val="0"/>
            <w:vAlign w:val="center"/>
          </w:tcPr>
          <w:p>
            <w:pPr>
              <w:jc w:val="center"/>
              <w:rPr>
                <w:rFonts w:hint="eastAsia" w:ascii="宋体" w:hAnsi="宋体" w:eastAsia="宋体" w:cs="宋体"/>
                <w:strike w:val="0"/>
                <w:dstrike w:val="0"/>
                <w:sz w:val="18"/>
                <w:szCs w:val="18"/>
                <w:highlight w:val="none"/>
              </w:rPr>
            </w:pPr>
          </w:p>
        </w:tc>
        <w:tc>
          <w:tcPr>
            <w:tcW w:w="7492" w:type="dxa"/>
            <w:vMerge w:val="continue"/>
            <w:noWrap w:val="0"/>
            <w:vAlign w:val="center"/>
          </w:tcPr>
          <w:p>
            <w:pPr>
              <w:spacing w:line="220" w:lineRule="exact"/>
              <w:rPr>
                <w:rFonts w:hint="eastAsia" w:ascii="宋体" w:hAnsi="宋体" w:eastAsia="宋体" w:cs="宋体"/>
                <w:strike w:val="0"/>
                <w:dstrike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13" w:type="dxa"/>
            <w:vMerge w:val="continue"/>
            <w:noWrap w:val="0"/>
            <w:vAlign w:val="center"/>
          </w:tcPr>
          <w:p>
            <w:pPr>
              <w:jc w:val="center"/>
              <w:rPr>
                <w:rFonts w:hint="eastAsia" w:ascii="宋体" w:hAnsi="宋体" w:eastAsia="宋体" w:cs="宋体"/>
                <w:strike w:val="0"/>
                <w:dstrike w:val="0"/>
                <w:sz w:val="18"/>
                <w:szCs w:val="18"/>
                <w:highlight w:val="none"/>
              </w:rPr>
            </w:pP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安全文明施工和绿色施工</w:t>
            </w:r>
          </w:p>
        </w:tc>
        <w:tc>
          <w:tcPr>
            <w:tcW w:w="94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10</w:t>
            </w:r>
          </w:p>
        </w:tc>
        <w:tc>
          <w:tcPr>
            <w:tcW w:w="7492" w:type="dxa"/>
            <w:noWrap w:val="0"/>
            <w:vAlign w:val="center"/>
          </w:tcPr>
          <w:p>
            <w:pPr>
              <w:spacing w:line="22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安全管理目标明确，防护措施有效；有完善的文明施工管理措施；能合理分析可能存在的应急情况并提出应急处理措施。绿色施工方案合理，能通过科学管理和技术进步，最大限度地节约资源与减少对环境负面影响，实现“四节一环保”；有完善的绿色施工管理体系和管理制度；有环境保护和人员安全与健康等突发事件的应急预案。</w:t>
            </w:r>
          </w:p>
          <w:p>
            <w:pPr>
              <w:spacing w:line="220" w:lineRule="exact"/>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得分规则：优得</w:t>
            </w:r>
            <w:r>
              <w:rPr>
                <w:rFonts w:hint="eastAsia" w:ascii="宋体" w:hAnsi="宋体" w:eastAsia="宋体" w:cs="宋体"/>
                <w:sz w:val="18"/>
                <w:szCs w:val="18"/>
                <w:highlight w:val="none"/>
                <w:u w:val="single"/>
              </w:rPr>
              <w:t>10</w:t>
            </w:r>
            <w:r>
              <w:rPr>
                <w:rFonts w:hint="eastAsia" w:ascii="宋体" w:hAnsi="宋体" w:eastAsia="宋体" w:cs="宋体"/>
                <w:sz w:val="18"/>
                <w:szCs w:val="18"/>
                <w:highlight w:val="none"/>
              </w:rPr>
              <w:t>分；良得</w:t>
            </w:r>
            <w:r>
              <w:rPr>
                <w:rFonts w:hint="eastAsia" w:ascii="宋体" w:hAnsi="宋体" w:eastAsia="宋体" w:cs="宋体"/>
                <w:sz w:val="18"/>
                <w:szCs w:val="18"/>
                <w:highlight w:val="none"/>
                <w:u w:val="single"/>
              </w:rPr>
              <w:t>8</w:t>
            </w:r>
            <w:r>
              <w:rPr>
                <w:rFonts w:hint="eastAsia" w:ascii="宋体" w:hAnsi="宋体" w:eastAsia="宋体" w:cs="宋体"/>
                <w:sz w:val="18"/>
                <w:szCs w:val="18"/>
                <w:highlight w:val="none"/>
              </w:rPr>
              <w:t>分；中得</w:t>
            </w:r>
            <w:r>
              <w:rPr>
                <w:rFonts w:hint="eastAsia" w:ascii="宋体" w:hAnsi="宋体" w:eastAsia="宋体" w:cs="宋体"/>
                <w:sz w:val="18"/>
                <w:szCs w:val="18"/>
                <w:highlight w:val="none"/>
                <w:u w:val="single"/>
              </w:rPr>
              <w:t>6</w:t>
            </w:r>
            <w:r>
              <w:rPr>
                <w:rFonts w:hint="eastAsia" w:ascii="宋体" w:hAnsi="宋体" w:eastAsia="宋体" w:cs="宋体"/>
                <w:sz w:val="18"/>
                <w:szCs w:val="18"/>
                <w:highlight w:val="none"/>
              </w:rPr>
              <w:t>分；一般得</w:t>
            </w:r>
            <w:r>
              <w:rPr>
                <w:rFonts w:hint="eastAsia" w:ascii="宋体" w:hAnsi="宋体" w:eastAsia="宋体" w:cs="宋体"/>
                <w:sz w:val="18"/>
                <w:szCs w:val="18"/>
                <w:highlight w:val="none"/>
                <w:u w:val="single"/>
              </w:rPr>
              <w:t>4</w:t>
            </w:r>
            <w:r>
              <w:rPr>
                <w:rFonts w:hint="eastAsia" w:ascii="宋体" w:hAnsi="宋体" w:eastAsia="宋体" w:cs="宋体"/>
                <w:sz w:val="18"/>
                <w:szCs w:val="18"/>
                <w:highlight w:val="none"/>
              </w:rPr>
              <w:t>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313" w:type="dxa"/>
            <w:vMerge w:val="continue"/>
            <w:noWrap w:val="0"/>
            <w:vAlign w:val="center"/>
          </w:tcPr>
          <w:p>
            <w:pPr>
              <w:jc w:val="center"/>
              <w:rPr>
                <w:rFonts w:hint="eastAsia" w:ascii="宋体" w:hAnsi="宋体" w:eastAsia="宋体" w:cs="宋体"/>
                <w:strike w:val="0"/>
                <w:dstrike w:val="0"/>
                <w:sz w:val="18"/>
                <w:szCs w:val="18"/>
                <w:highlight w:val="none"/>
              </w:rPr>
            </w:pP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工程保修和养护管理措施</w:t>
            </w:r>
          </w:p>
        </w:tc>
        <w:tc>
          <w:tcPr>
            <w:tcW w:w="947" w:type="dxa"/>
            <w:vMerge w:val="restart"/>
            <w:noWrap w:val="0"/>
            <w:vAlign w:val="center"/>
          </w:tcPr>
          <w:p>
            <w:pPr>
              <w:jc w:val="center"/>
              <w:rPr>
                <w:rFonts w:hint="default" w:ascii="宋体" w:hAnsi="宋体" w:eastAsia="宋体" w:cs="宋体"/>
                <w:strike w:val="0"/>
                <w:dstrike w:val="0"/>
                <w:sz w:val="18"/>
                <w:szCs w:val="18"/>
                <w:highlight w:val="none"/>
                <w:lang w:val="en-US" w:eastAsia="zh-CN"/>
              </w:rPr>
            </w:pPr>
            <w:r>
              <w:rPr>
                <w:rFonts w:hint="eastAsia" w:ascii="宋体" w:hAnsi="宋体" w:eastAsia="宋体" w:cs="宋体"/>
                <w:sz w:val="18"/>
                <w:szCs w:val="18"/>
                <w:highlight w:val="none"/>
                <w:lang w:val="en-US" w:eastAsia="zh-CN"/>
              </w:rPr>
              <w:t>10</w:t>
            </w:r>
          </w:p>
        </w:tc>
        <w:tc>
          <w:tcPr>
            <w:tcW w:w="7492" w:type="dxa"/>
            <w:vMerge w:val="restart"/>
            <w:noWrap w:val="0"/>
            <w:vAlign w:val="center"/>
          </w:tcPr>
          <w:p>
            <w:pPr>
              <w:spacing w:line="22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工程保修和养护管理措施内容应详实、合理，紧密结合项目现状。</w:t>
            </w:r>
          </w:p>
          <w:p>
            <w:pPr>
              <w:spacing w:line="220" w:lineRule="exact"/>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得分规则：优得</w:t>
            </w:r>
            <w:r>
              <w:rPr>
                <w:rFonts w:hint="eastAsia" w:ascii="宋体" w:hAnsi="宋体" w:eastAsia="宋体" w:cs="宋体"/>
                <w:sz w:val="18"/>
                <w:szCs w:val="18"/>
                <w:highlight w:val="none"/>
                <w:u w:val="single"/>
              </w:rPr>
              <w:t>10</w:t>
            </w:r>
            <w:r>
              <w:rPr>
                <w:rFonts w:hint="eastAsia" w:ascii="宋体" w:hAnsi="宋体" w:eastAsia="宋体" w:cs="宋体"/>
                <w:sz w:val="18"/>
                <w:szCs w:val="18"/>
                <w:highlight w:val="none"/>
              </w:rPr>
              <w:t>分；良得</w:t>
            </w:r>
            <w:r>
              <w:rPr>
                <w:rFonts w:hint="eastAsia" w:ascii="宋体" w:hAnsi="宋体" w:eastAsia="宋体" w:cs="宋体"/>
                <w:sz w:val="18"/>
                <w:szCs w:val="18"/>
                <w:highlight w:val="none"/>
                <w:u w:val="single"/>
              </w:rPr>
              <w:t>8</w:t>
            </w:r>
            <w:r>
              <w:rPr>
                <w:rFonts w:hint="eastAsia" w:ascii="宋体" w:hAnsi="宋体" w:eastAsia="宋体" w:cs="宋体"/>
                <w:sz w:val="18"/>
                <w:szCs w:val="18"/>
                <w:highlight w:val="none"/>
              </w:rPr>
              <w:t>分；中得</w:t>
            </w:r>
            <w:r>
              <w:rPr>
                <w:rFonts w:hint="eastAsia" w:ascii="宋体" w:hAnsi="宋体" w:eastAsia="宋体" w:cs="宋体"/>
                <w:sz w:val="18"/>
                <w:szCs w:val="18"/>
                <w:highlight w:val="none"/>
                <w:u w:val="single"/>
              </w:rPr>
              <w:t>6</w:t>
            </w:r>
            <w:r>
              <w:rPr>
                <w:rFonts w:hint="eastAsia" w:ascii="宋体" w:hAnsi="宋体" w:eastAsia="宋体" w:cs="宋体"/>
                <w:sz w:val="18"/>
                <w:szCs w:val="18"/>
                <w:highlight w:val="none"/>
              </w:rPr>
              <w:t>分；一般得</w:t>
            </w:r>
            <w:r>
              <w:rPr>
                <w:rFonts w:hint="eastAsia" w:ascii="宋体" w:hAnsi="宋体" w:eastAsia="宋体" w:cs="宋体"/>
                <w:sz w:val="18"/>
                <w:szCs w:val="18"/>
                <w:highlight w:val="none"/>
                <w:u w:val="single"/>
              </w:rPr>
              <w:t>4</w:t>
            </w:r>
            <w:r>
              <w:rPr>
                <w:rFonts w:hint="eastAsia" w:ascii="宋体" w:hAnsi="宋体" w:eastAsia="宋体" w:cs="宋体"/>
                <w:sz w:val="18"/>
                <w:szCs w:val="18"/>
                <w:highlight w:val="none"/>
              </w:rPr>
              <w:t>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313" w:type="dxa"/>
            <w:vMerge w:val="restart"/>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第五章 投资及风险控制</w:t>
            </w: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工程投资节约措施</w:t>
            </w:r>
          </w:p>
        </w:tc>
        <w:tc>
          <w:tcPr>
            <w:tcW w:w="947" w:type="dxa"/>
            <w:vMerge w:val="restart"/>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10</w:t>
            </w:r>
          </w:p>
        </w:tc>
        <w:tc>
          <w:tcPr>
            <w:tcW w:w="7492" w:type="dxa"/>
            <w:vMerge w:val="restart"/>
            <w:noWrap w:val="0"/>
            <w:vAlign w:val="center"/>
          </w:tcPr>
          <w:p>
            <w:pPr>
              <w:spacing w:line="22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节约工程投资的措施及理由合理、可信、可行；能合理分析可能存在的应急情况并提出应急处理措施，做到配合、协调、服务方案考虑全面。</w:t>
            </w:r>
          </w:p>
          <w:p>
            <w:pPr>
              <w:rPr>
                <w:rFonts w:hint="eastAsia" w:ascii="宋体" w:hAnsi="宋体" w:eastAsia="宋体" w:cs="宋体"/>
                <w:strike w:val="0"/>
                <w:dstrike w:val="0"/>
                <w:sz w:val="18"/>
                <w:szCs w:val="18"/>
                <w:highlight w:val="none"/>
              </w:rPr>
            </w:pPr>
            <w:r>
              <w:rPr>
                <w:rFonts w:hint="eastAsia" w:ascii="宋体" w:hAnsi="宋体" w:eastAsia="宋体" w:cs="宋体"/>
                <w:sz w:val="18"/>
                <w:szCs w:val="18"/>
                <w:highlight w:val="none"/>
              </w:rPr>
              <w:t>得分规则：优得</w:t>
            </w:r>
            <w:r>
              <w:rPr>
                <w:rFonts w:hint="eastAsia" w:ascii="宋体" w:hAnsi="宋体" w:eastAsia="宋体" w:cs="宋体"/>
                <w:sz w:val="18"/>
                <w:szCs w:val="18"/>
                <w:highlight w:val="none"/>
                <w:u w:val="single"/>
              </w:rPr>
              <w:t xml:space="preserve">  10 </w:t>
            </w:r>
            <w:r>
              <w:rPr>
                <w:rFonts w:hint="eastAsia" w:ascii="宋体" w:hAnsi="宋体" w:eastAsia="宋体" w:cs="宋体"/>
                <w:sz w:val="18"/>
                <w:szCs w:val="18"/>
                <w:highlight w:val="none"/>
              </w:rPr>
              <w:t>分；良得</w:t>
            </w:r>
            <w:r>
              <w:rPr>
                <w:rFonts w:hint="eastAsia" w:ascii="宋体" w:hAnsi="宋体" w:eastAsia="宋体" w:cs="宋体"/>
                <w:sz w:val="18"/>
                <w:szCs w:val="18"/>
                <w:highlight w:val="none"/>
                <w:u w:val="single"/>
              </w:rPr>
              <w:t xml:space="preserve"> 8</w:t>
            </w:r>
            <w:r>
              <w:rPr>
                <w:rFonts w:hint="eastAsia" w:ascii="宋体" w:hAnsi="宋体" w:eastAsia="宋体" w:cs="宋体"/>
                <w:sz w:val="18"/>
                <w:szCs w:val="18"/>
                <w:highlight w:val="none"/>
              </w:rPr>
              <w:t xml:space="preserve"> 分；中得</w:t>
            </w:r>
            <w:r>
              <w:rPr>
                <w:rFonts w:hint="eastAsia" w:ascii="宋体" w:hAnsi="宋体" w:eastAsia="宋体" w:cs="宋体"/>
                <w:sz w:val="18"/>
                <w:szCs w:val="18"/>
                <w:highlight w:val="none"/>
                <w:u w:val="single"/>
              </w:rPr>
              <w:t xml:space="preserve"> 6 </w:t>
            </w:r>
            <w:r>
              <w:rPr>
                <w:rFonts w:hint="eastAsia" w:ascii="宋体" w:hAnsi="宋体" w:eastAsia="宋体" w:cs="宋体"/>
                <w:sz w:val="18"/>
                <w:szCs w:val="18"/>
                <w:highlight w:val="none"/>
              </w:rPr>
              <w:t>分；一般得</w:t>
            </w:r>
            <w:r>
              <w:rPr>
                <w:rFonts w:hint="eastAsia" w:ascii="宋体" w:hAnsi="宋体" w:eastAsia="宋体" w:cs="宋体"/>
                <w:sz w:val="18"/>
                <w:szCs w:val="18"/>
                <w:highlight w:val="none"/>
                <w:u w:val="single"/>
              </w:rPr>
              <w:t xml:space="preserve"> 4 </w:t>
            </w:r>
            <w:r>
              <w:rPr>
                <w:rFonts w:hint="eastAsia" w:ascii="宋体" w:hAnsi="宋体" w:eastAsia="宋体" w:cs="宋体"/>
                <w:sz w:val="18"/>
                <w:szCs w:val="18"/>
                <w:highlight w:val="none"/>
              </w:rPr>
              <w:t>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313" w:type="dxa"/>
            <w:vMerge w:val="continue"/>
            <w:noWrap w:val="0"/>
            <w:vAlign w:val="center"/>
          </w:tcPr>
          <w:p>
            <w:pPr>
              <w:jc w:val="center"/>
              <w:rPr>
                <w:rFonts w:hint="eastAsia" w:ascii="宋体" w:hAnsi="宋体" w:eastAsia="宋体" w:cs="宋体"/>
                <w:strike w:val="0"/>
                <w:dstrike w:val="0"/>
                <w:szCs w:val="21"/>
                <w:highlight w:val="none"/>
              </w:rPr>
            </w:pPr>
          </w:p>
        </w:tc>
        <w:tc>
          <w:tcPr>
            <w:tcW w:w="2787" w:type="dxa"/>
            <w:noWrap w:val="0"/>
            <w:vAlign w:val="center"/>
          </w:tcPr>
          <w:p>
            <w:pPr>
              <w:jc w:val="center"/>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应急预案和抵抗风险措施</w:t>
            </w:r>
          </w:p>
        </w:tc>
        <w:tc>
          <w:tcPr>
            <w:tcW w:w="947" w:type="dxa"/>
            <w:vMerge w:val="continue"/>
            <w:noWrap w:val="0"/>
            <w:vAlign w:val="center"/>
          </w:tcPr>
          <w:p>
            <w:pPr>
              <w:jc w:val="center"/>
              <w:rPr>
                <w:rFonts w:hint="eastAsia" w:ascii="宋体" w:hAnsi="宋体" w:eastAsia="宋体" w:cs="宋体"/>
                <w:strike w:val="0"/>
                <w:dstrike w:val="0"/>
                <w:szCs w:val="21"/>
                <w:highlight w:val="none"/>
              </w:rPr>
            </w:pPr>
          </w:p>
        </w:tc>
        <w:tc>
          <w:tcPr>
            <w:tcW w:w="7492" w:type="dxa"/>
            <w:vMerge w:val="continue"/>
            <w:noWrap w:val="0"/>
            <w:vAlign w:val="center"/>
          </w:tcPr>
          <w:p>
            <w:pPr>
              <w:rPr>
                <w:rFonts w:hint="eastAsia" w:ascii="宋体" w:hAnsi="宋体" w:eastAsia="宋体" w:cs="宋体"/>
                <w:strike w:val="0"/>
                <w:dstrike w:val="0"/>
                <w:szCs w:val="21"/>
                <w:highlight w:val="none"/>
              </w:rPr>
            </w:pPr>
          </w:p>
        </w:tc>
      </w:tr>
    </w:tbl>
    <w:p>
      <w:pPr>
        <w:spacing w:line="240" w:lineRule="exact"/>
        <w:ind w:left="-540" w:leftChars="-257" w:right="-827" w:rightChars="-394"/>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备注：1.招标人可根据招标项目实际需要合理设置评审内容，不得设置排斥性条款及明显高于或偏离项目实施要求的内容；设置等次得分的，得分应为等差排列。</w:t>
      </w:r>
    </w:p>
    <w:p>
      <w:pPr>
        <w:spacing w:line="240" w:lineRule="exact"/>
        <w:ind w:left="-540" w:leftChars="-257" w:right="-827" w:rightChars="-394"/>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 xml:space="preserve">      2.评审项目总分应为100分,各评审子项的分值不得超出取值范围。</w:t>
      </w:r>
    </w:p>
    <w:p>
      <w:pPr>
        <w:spacing w:line="240" w:lineRule="exact"/>
        <w:ind w:left="-540" w:leftChars="-257" w:right="-827" w:rightChars="-394" w:firstLine="540" w:firstLineChars="300"/>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3.最终得分按投标须知前附表第32项所规定的方式进行汇总；分数出现小数点，保留小数点后二位小数，第三位小数四舍五入。</w:t>
      </w:r>
    </w:p>
    <w:p>
      <w:pPr>
        <w:spacing w:line="240" w:lineRule="exact"/>
        <w:ind w:left="-540" w:leftChars="-257" w:right="-827" w:rightChars="-394" w:firstLine="540" w:firstLineChars="300"/>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评标委员会签名：                                                                      日期：</w:t>
      </w:r>
    </w:p>
    <w:p>
      <w:pPr>
        <w:outlineLvl w:val="2"/>
        <w:rPr>
          <w:rFonts w:hint="eastAsia" w:ascii="宋体" w:hAnsi="宋体" w:eastAsia="宋体" w:cs="宋体"/>
          <w:strike w:val="0"/>
          <w:dstrike w:val="0"/>
          <w:sz w:val="24"/>
          <w:szCs w:val="24"/>
          <w:highlight w:val="none"/>
        </w:rPr>
      </w:pPr>
      <w:bookmarkStart w:id="185" w:name="_Toc16072"/>
    </w:p>
    <w:p>
      <w:pPr>
        <w:outlineLvl w:val="2"/>
        <w:rPr>
          <w:rFonts w:hint="eastAsia" w:ascii="宋体" w:hAnsi="宋体" w:eastAsia="宋体" w:cs="宋体"/>
          <w:strike w:val="0"/>
          <w:dstrike w:val="0"/>
          <w:sz w:val="24"/>
          <w:szCs w:val="24"/>
          <w:highlight w:val="none"/>
        </w:rPr>
      </w:pPr>
    </w:p>
    <w:p>
      <w:pPr>
        <w:outlineLvl w:val="2"/>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附件13（适用于办法二）</w:t>
      </w:r>
      <w:bookmarkEnd w:id="185"/>
    </w:p>
    <w:p>
      <w:pPr>
        <w:spacing w:line="400" w:lineRule="exact"/>
        <w:jc w:val="center"/>
        <w:rPr>
          <w:rFonts w:hint="eastAsia" w:ascii="宋体" w:hAnsi="宋体" w:eastAsia="宋体" w:cs="宋体"/>
          <w:b/>
          <w:strike w:val="0"/>
          <w:dstrike w:val="0"/>
          <w:sz w:val="36"/>
          <w:szCs w:val="36"/>
          <w:highlight w:val="none"/>
        </w:rPr>
      </w:pPr>
      <w:r>
        <w:rPr>
          <w:rFonts w:hint="eastAsia" w:ascii="宋体" w:hAnsi="宋体" w:eastAsia="宋体" w:cs="宋体"/>
          <w:b/>
          <w:strike w:val="0"/>
          <w:dstrike w:val="0"/>
          <w:sz w:val="36"/>
          <w:szCs w:val="36"/>
          <w:highlight w:val="none"/>
          <w:lang w:eastAsia="zh-CN"/>
        </w:rPr>
        <w:t>技术部分（项目实施能力）</w:t>
      </w:r>
      <w:r>
        <w:rPr>
          <w:rFonts w:hint="eastAsia" w:ascii="宋体" w:hAnsi="宋体" w:eastAsia="宋体" w:cs="宋体"/>
          <w:b/>
          <w:strike w:val="0"/>
          <w:dstrike w:val="0"/>
          <w:sz w:val="36"/>
          <w:szCs w:val="36"/>
          <w:highlight w:val="none"/>
        </w:rPr>
        <w:t>审查评分表设置说明</w:t>
      </w:r>
    </w:p>
    <w:tbl>
      <w:tblPr>
        <w:tblStyle w:val="10"/>
        <w:tblW w:w="14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885"/>
        <w:gridCol w:w="615"/>
        <w:gridCol w:w="1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2" w:type="dxa"/>
            <w:gridSpan w:val="2"/>
            <w:noWrap/>
            <w:vAlign w:val="center"/>
          </w:tcPr>
          <w:p>
            <w:pPr>
              <w:spacing w:line="220" w:lineRule="exact"/>
              <w:jc w:val="center"/>
              <w:rPr>
                <w:rFonts w:hint="eastAsia" w:ascii="宋体" w:hAnsi="宋体" w:eastAsia="宋体" w:cs="宋体"/>
                <w:b/>
                <w:bCs/>
                <w:sz w:val="16"/>
                <w:szCs w:val="16"/>
                <w:highlight w:val="none"/>
              </w:rPr>
            </w:pPr>
            <w:bookmarkStart w:id="186" w:name="_Toc19126"/>
            <w:r>
              <w:rPr>
                <w:rFonts w:hint="eastAsia" w:ascii="宋体" w:hAnsi="宋体" w:eastAsia="宋体" w:cs="宋体"/>
                <w:b/>
                <w:bCs/>
                <w:sz w:val="16"/>
                <w:szCs w:val="16"/>
                <w:highlight w:val="none"/>
              </w:rPr>
              <w:t>评审项目</w:t>
            </w:r>
          </w:p>
        </w:tc>
        <w:tc>
          <w:tcPr>
            <w:tcW w:w="615" w:type="dxa"/>
            <w:vMerge w:val="restart"/>
            <w:noWrap/>
            <w:vAlign w:val="center"/>
          </w:tcPr>
          <w:p>
            <w:pPr>
              <w:spacing w:line="220" w:lineRule="exact"/>
              <w:jc w:val="center"/>
              <w:rPr>
                <w:rFonts w:hint="eastAsia" w:ascii="宋体" w:hAnsi="宋体" w:eastAsia="宋体" w:cs="宋体"/>
                <w:b/>
                <w:bCs/>
                <w:sz w:val="16"/>
                <w:szCs w:val="16"/>
                <w:highlight w:val="none"/>
              </w:rPr>
            </w:pPr>
            <w:r>
              <w:rPr>
                <w:rFonts w:hint="eastAsia" w:ascii="宋体" w:hAnsi="宋体" w:eastAsia="宋体" w:cs="宋体"/>
                <w:b/>
                <w:bCs/>
                <w:sz w:val="16"/>
                <w:szCs w:val="16"/>
                <w:highlight w:val="none"/>
              </w:rPr>
              <w:t>取值范围</w:t>
            </w:r>
          </w:p>
        </w:tc>
        <w:tc>
          <w:tcPr>
            <w:tcW w:w="11658" w:type="dxa"/>
            <w:vMerge w:val="restart"/>
            <w:noWrap/>
            <w:vAlign w:val="center"/>
          </w:tcPr>
          <w:p>
            <w:pPr>
              <w:spacing w:line="220" w:lineRule="exact"/>
              <w:jc w:val="center"/>
              <w:rPr>
                <w:rFonts w:hint="eastAsia" w:ascii="宋体" w:hAnsi="宋体" w:eastAsia="宋体" w:cs="宋体"/>
                <w:b/>
                <w:bCs/>
                <w:sz w:val="16"/>
                <w:szCs w:val="16"/>
                <w:highlight w:val="none"/>
              </w:rPr>
            </w:pPr>
            <w:r>
              <w:rPr>
                <w:rFonts w:hint="eastAsia" w:ascii="宋体" w:hAnsi="宋体" w:eastAsia="宋体" w:cs="宋体"/>
                <w:b/>
                <w:bCs/>
                <w:sz w:val="16"/>
                <w:szCs w:val="16"/>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noWrap/>
            <w:vAlign w:val="center"/>
          </w:tcPr>
          <w:p>
            <w:pPr>
              <w:spacing w:line="220" w:lineRule="exact"/>
              <w:jc w:val="center"/>
              <w:rPr>
                <w:rFonts w:hint="eastAsia" w:ascii="宋体" w:hAnsi="宋体" w:eastAsia="宋体" w:cs="宋体"/>
                <w:b/>
                <w:bCs/>
                <w:sz w:val="16"/>
                <w:szCs w:val="16"/>
                <w:highlight w:val="none"/>
              </w:rPr>
            </w:pPr>
            <w:r>
              <w:rPr>
                <w:rFonts w:hint="eastAsia" w:ascii="宋体" w:hAnsi="宋体" w:eastAsia="宋体" w:cs="宋体"/>
                <w:b/>
                <w:bCs/>
                <w:sz w:val="16"/>
                <w:szCs w:val="16"/>
                <w:highlight w:val="none"/>
              </w:rPr>
              <w:t>名称</w:t>
            </w:r>
          </w:p>
        </w:tc>
        <w:tc>
          <w:tcPr>
            <w:tcW w:w="885" w:type="dxa"/>
            <w:noWrap/>
            <w:vAlign w:val="center"/>
          </w:tcPr>
          <w:p>
            <w:pPr>
              <w:spacing w:line="220" w:lineRule="exact"/>
              <w:jc w:val="center"/>
              <w:rPr>
                <w:rFonts w:hint="eastAsia" w:ascii="宋体" w:hAnsi="宋体" w:eastAsia="宋体" w:cs="宋体"/>
                <w:b/>
                <w:bCs/>
                <w:sz w:val="16"/>
                <w:szCs w:val="16"/>
                <w:highlight w:val="none"/>
              </w:rPr>
            </w:pPr>
            <w:r>
              <w:rPr>
                <w:rFonts w:hint="eastAsia" w:ascii="宋体" w:hAnsi="宋体" w:eastAsia="宋体" w:cs="宋体"/>
                <w:b/>
                <w:bCs/>
                <w:sz w:val="16"/>
                <w:szCs w:val="16"/>
                <w:highlight w:val="none"/>
              </w:rPr>
              <w:t>子项</w:t>
            </w:r>
          </w:p>
        </w:tc>
        <w:tc>
          <w:tcPr>
            <w:tcW w:w="615" w:type="dxa"/>
            <w:vMerge w:val="continue"/>
            <w:noWrap/>
            <w:vAlign w:val="center"/>
          </w:tcPr>
          <w:p>
            <w:pPr>
              <w:rPr>
                <w:rFonts w:hint="eastAsia" w:ascii="宋体" w:hAnsi="宋体" w:eastAsia="宋体" w:cs="宋体"/>
                <w:sz w:val="16"/>
                <w:szCs w:val="16"/>
                <w:highlight w:val="none"/>
              </w:rPr>
            </w:pPr>
          </w:p>
        </w:tc>
        <w:tc>
          <w:tcPr>
            <w:tcW w:w="11658" w:type="dxa"/>
            <w:vMerge w:val="continue"/>
            <w:noWrap/>
            <w:vAlign w:val="center"/>
          </w:tcPr>
          <w:p>
            <w:pPr>
              <w:rPr>
                <w:rFonts w:hint="eastAsia" w:ascii="宋体" w:hAnsi="宋体" w:eastAsia="宋体" w:cs="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7" w:type="dxa"/>
            <w:vMerge w:val="restart"/>
            <w:noWrap/>
            <w:vAlign w:val="center"/>
          </w:tcPr>
          <w:p>
            <w:pPr>
              <w:widowControl/>
              <w:numPr>
                <w:ilvl w:val="0"/>
                <w:numId w:val="2"/>
              </w:numPr>
              <w:spacing w:line="360" w:lineRule="exact"/>
              <w:jc w:val="center"/>
              <w:rPr>
                <w:rFonts w:hint="eastAsia" w:ascii="宋体" w:hAnsi="宋体" w:eastAsia="宋体" w:cs="宋体"/>
                <w:b/>
                <w:bCs/>
                <w:kern w:val="0"/>
                <w:sz w:val="16"/>
                <w:szCs w:val="16"/>
                <w:highlight w:val="none"/>
              </w:rPr>
            </w:pPr>
            <w:r>
              <w:rPr>
                <w:rFonts w:hint="eastAsia" w:ascii="宋体" w:hAnsi="宋体" w:eastAsia="宋体" w:cs="宋体"/>
                <w:b/>
                <w:bCs/>
                <w:kern w:val="0"/>
                <w:sz w:val="16"/>
                <w:szCs w:val="16"/>
                <w:highlight w:val="none"/>
              </w:rPr>
              <w:t>项目管理机构能力</w:t>
            </w:r>
          </w:p>
          <w:p>
            <w:pPr>
              <w:widowControl/>
              <w:numPr>
                <w:ilvl w:val="0"/>
                <w:numId w:val="0"/>
              </w:numPr>
              <w:spacing w:line="360" w:lineRule="exact"/>
              <w:jc w:val="both"/>
              <w:rPr>
                <w:rFonts w:hint="eastAsia" w:ascii="宋体" w:hAnsi="宋体" w:eastAsia="宋体" w:cs="宋体"/>
                <w:b/>
                <w:bCs/>
                <w:kern w:val="0"/>
                <w:sz w:val="16"/>
                <w:szCs w:val="16"/>
                <w:highlight w:val="none"/>
                <w:lang w:eastAsia="zh-CN"/>
              </w:rPr>
            </w:pPr>
            <w:r>
              <w:rPr>
                <w:rFonts w:hint="eastAsia" w:ascii="宋体" w:hAnsi="宋体" w:eastAsia="宋体" w:cs="宋体"/>
                <w:b/>
                <w:bCs/>
                <w:kern w:val="0"/>
                <w:sz w:val="16"/>
                <w:szCs w:val="16"/>
                <w:highlight w:val="none"/>
                <w:lang w:eastAsia="zh-CN"/>
              </w:rPr>
              <w:t>（</w:t>
            </w:r>
            <w:r>
              <w:rPr>
                <w:rFonts w:hint="eastAsia" w:ascii="宋体" w:hAnsi="宋体" w:eastAsia="宋体" w:cs="宋体"/>
                <w:b/>
                <w:bCs/>
                <w:kern w:val="0"/>
                <w:sz w:val="16"/>
                <w:szCs w:val="16"/>
                <w:highlight w:val="none"/>
                <w:lang w:val="en-US" w:eastAsia="zh-CN"/>
              </w:rPr>
              <w:t>50分</w:t>
            </w:r>
            <w:r>
              <w:rPr>
                <w:rFonts w:hint="eastAsia" w:ascii="宋体" w:hAnsi="宋体" w:eastAsia="宋体" w:cs="宋体"/>
                <w:b/>
                <w:bCs/>
                <w:kern w:val="0"/>
                <w:sz w:val="16"/>
                <w:szCs w:val="16"/>
                <w:highlight w:val="none"/>
                <w:lang w:eastAsia="zh-CN"/>
              </w:rPr>
              <w:t>）</w:t>
            </w:r>
          </w:p>
          <w:p>
            <w:pPr>
              <w:spacing w:line="220" w:lineRule="exact"/>
              <w:jc w:val="center"/>
              <w:rPr>
                <w:rFonts w:hint="eastAsia" w:ascii="宋体" w:hAnsi="宋体" w:eastAsia="宋体" w:cs="宋体"/>
                <w:sz w:val="16"/>
                <w:szCs w:val="16"/>
                <w:highlight w:val="none"/>
              </w:rPr>
            </w:pPr>
          </w:p>
        </w:tc>
        <w:tc>
          <w:tcPr>
            <w:tcW w:w="885" w:type="dxa"/>
            <w:vMerge w:val="restart"/>
            <w:noWrap/>
            <w:vAlign w:val="center"/>
          </w:tcPr>
          <w:p>
            <w:pPr>
              <w:spacing w:line="22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项目负责人能力</w:t>
            </w:r>
          </w:p>
          <w:p>
            <w:pPr>
              <w:spacing w:line="220" w:lineRule="exact"/>
              <w:jc w:val="center"/>
              <w:rPr>
                <w:rFonts w:hint="eastAsia" w:ascii="宋体" w:hAnsi="宋体" w:eastAsia="宋体" w:cs="宋体"/>
                <w:sz w:val="16"/>
                <w:szCs w:val="16"/>
                <w:highlight w:val="none"/>
                <w:lang w:eastAsia="zh-CN"/>
              </w:rPr>
            </w:pPr>
            <w:r>
              <w:rPr>
                <w:rFonts w:hint="eastAsia" w:ascii="宋体" w:hAnsi="宋体" w:eastAsia="宋体" w:cs="宋体"/>
                <w:sz w:val="16"/>
                <w:szCs w:val="16"/>
                <w:highlight w:val="none"/>
                <w:lang w:eastAsia="zh-CN"/>
              </w:rPr>
              <w:t>（</w:t>
            </w:r>
            <w:r>
              <w:rPr>
                <w:rFonts w:hint="eastAsia" w:ascii="宋体" w:hAnsi="宋体" w:eastAsia="宋体" w:cs="宋体"/>
                <w:sz w:val="16"/>
                <w:szCs w:val="16"/>
                <w:highlight w:val="none"/>
                <w:lang w:val="en-US" w:eastAsia="zh-CN"/>
              </w:rPr>
              <w:t>20分</w:t>
            </w:r>
            <w:r>
              <w:rPr>
                <w:rFonts w:hint="eastAsia" w:ascii="宋体" w:hAnsi="宋体" w:eastAsia="宋体" w:cs="宋体"/>
                <w:sz w:val="16"/>
                <w:szCs w:val="16"/>
                <w:highlight w:val="none"/>
                <w:lang w:eastAsia="zh-CN"/>
              </w:rPr>
              <w:t>）</w:t>
            </w:r>
          </w:p>
        </w:tc>
        <w:tc>
          <w:tcPr>
            <w:tcW w:w="615" w:type="dxa"/>
            <w:noWrap/>
            <w:vAlign w:val="center"/>
          </w:tcPr>
          <w:p>
            <w:pPr>
              <w:spacing w:line="22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lang w:val="en-US" w:eastAsia="zh-CN"/>
              </w:rPr>
              <w:t>1</w:t>
            </w:r>
            <w:r>
              <w:rPr>
                <w:rFonts w:hint="eastAsia" w:ascii="宋体" w:hAnsi="宋体" w:eastAsia="宋体" w:cs="宋体"/>
                <w:sz w:val="16"/>
                <w:szCs w:val="16"/>
                <w:highlight w:val="none"/>
              </w:rPr>
              <w:t>0</w:t>
            </w:r>
          </w:p>
        </w:tc>
        <w:tc>
          <w:tcPr>
            <w:tcW w:w="11658" w:type="dxa"/>
            <w:noWrap/>
            <w:vAlign w:val="center"/>
          </w:tcPr>
          <w:p>
            <w:pPr>
              <w:snapToGrid w:val="0"/>
              <w:spacing w:line="240" w:lineRule="exact"/>
              <w:jc w:val="left"/>
              <w:rPr>
                <w:rFonts w:hint="eastAsia" w:ascii="宋体" w:hAnsi="宋体" w:eastAsia="宋体" w:cs="宋体"/>
                <w:sz w:val="16"/>
                <w:szCs w:val="16"/>
                <w:highlight w:val="none"/>
              </w:rPr>
            </w:pPr>
            <w:r>
              <w:rPr>
                <w:rFonts w:hint="eastAsia" w:ascii="宋体" w:hAnsi="宋体" w:eastAsia="宋体" w:cs="宋体"/>
                <w:sz w:val="16"/>
                <w:szCs w:val="16"/>
                <w:highlight w:val="none"/>
              </w:rPr>
              <w:t>拟委派项目负责人从业经历在15年（含本数）或以上的得</w:t>
            </w:r>
            <w:r>
              <w:rPr>
                <w:rFonts w:hint="eastAsia" w:ascii="宋体" w:hAnsi="宋体" w:eastAsia="宋体" w:cs="宋体"/>
                <w:sz w:val="16"/>
                <w:szCs w:val="16"/>
                <w:highlight w:val="none"/>
                <w:lang w:val="en-US" w:eastAsia="zh-CN"/>
              </w:rPr>
              <w:t>10</w:t>
            </w:r>
            <w:r>
              <w:rPr>
                <w:rFonts w:hint="eastAsia" w:ascii="宋体" w:hAnsi="宋体" w:eastAsia="宋体" w:cs="宋体"/>
                <w:sz w:val="16"/>
                <w:szCs w:val="16"/>
                <w:highlight w:val="none"/>
              </w:rPr>
              <w:t>分；从业经历在10年（含本数）-15年（不含）的得</w:t>
            </w:r>
            <w:r>
              <w:rPr>
                <w:rFonts w:hint="eastAsia" w:ascii="宋体" w:hAnsi="宋体" w:eastAsia="宋体" w:cs="宋体"/>
                <w:sz w:val="16"/>
                <w:szCs w:val="16"/>
                <w:highlight w:val="none"/>
                <w:lang w:val="en-US" w:eastAsia="zh-CN"/>
              </w:rPr>
              <w:t>5</w:t>
            </w:r>
            <w:r>
              <w:rPr>
                <w:rFonts w:hint="eastAsia" w:ascii="宋体" w:hAnsi="宋体" w:eastAsia="宋体" w:cs="宋体"/>
                <w:sz w:val="16"/>
                <w:szCs w:val="16"/>
                <w:highlight w:val="none"/>
              </w:rPr>
              <w:t>分；从业经历在10年（不含本数）以下的得1分。</w:t>
            </w:r>
          </w:p>
          <w:p>
            <w:pPr>
              <w:snapToGrid w:val="0"/>
              <w:spacing w:line="240" w:lineRule="exact"/>
              <w:jc w:val="left"/>
              <w:rPr>
                <w:rFonts w:hint="eastAsia" w:ascii="宋体" w:hAnsi="宋体" w:eastAsia="宋体" w:cs="宋体"/>
                <w:sz w:val="16"/>
                <w:szCs w:val="16"/>
                <w:highlight w:val="none"/>
              </w:rPr>
            </w:pPr>
            <w:r>
              <w:rPr>
                <w:rFonts w:hint="eastAsia" w:ascii="宋体" w:hAnsi="宋体" w:eastAsia="宋体" w:cs="宋体"/>
                <w:b/>
                <w:bCs/>
                <w:sz w:val="16"/>
                <w:szCs w:val="16"/>
                <w:highlight w:val="none"/>
              </w:rPr>
              <w:t>注：从业经历以具有全日制大专或以上学历毕业证的发证日期起计，提供毕业证、身份证及近</w:t>
            </w:r>
            <w:r>
              <w:rPr>
                <w:rFonts w:hint="eastAsia" w:ascii="宋体" w:hAnsi="宋体" w:eastAsia="宋体" w:cs="宋体"/>
                <w:b/>
                <w:bCs/>
                <w:sz w:val="16"/>
                <w:szCs w:val="16"/>
                <w:highlight w:val="none"/>
                <w:lang w:val="en-US" w:eastAsia="zh-CN"/>
              </w:rPr>
              <w:t>1</w:t>
            </w:r>
            <w:r>
              <w:rPr>
                <w:rFonts w:hint="eastAsia" w:ascii="宋体" w:hAnsi="宋体" w:eastAsia="宋体" w:cs="宋体"/>
                <w:b/>
                <w:bCs/>
                <w:sz w:val="16"/>
                <w:szCs w:val="16"/>
                <w:highlight w:val="none"/>
              </w:rPr>
              <w:t>个月（202</w:t>
            </w:r>
            <w:r>
              <w:rPr>
                <w:rFonts w:hint="eastAsia" w:ascii="宋体" w:hAnsi="宋体" w:eastAsia="宋体" w:cs="宋体"/>
                <w:b/>
                <w:bCs/>
                <w:sz w:val="16"/>
                <w:szCs w:val="16"/>
                <w:highlight w:val="none"/>
                <w:lang w:val="en-US" w:eastAsia="zh-CN"/>
              </w:rPr>
              <w:t>2</w:t>
            </w:r>
            <w:r>
              <w:rPr>
                <w:rFonts w:hint="eastAsia" w:ascii="宋体" w:hAnsi="宋体" w:eastAsia="宋体" w:cs="宋体"/>
                <w:b/>
                <w:bCs/>
                <w:sz w:val="16"/>
                <w:szCs w:val="16"/>
                <w:highlight w:val="none"/>
              </w:rPr>
              <w:t>年</w:t>
            </w:r>
            <w:r>
              <w:rPr>
                <w:rFonts w:hint="eastAsia" w:ascii="宋体" w:hAnsi="宋体" w:eastAsia="宋体" w:cs="宋体"/>
                <w:b/>
                <w:bCs/>
                <w:sz w:val="16"/>
                <w:szCs w:val="16"/>
                <w:highlight w:val="none"/>
                <w:lang w:val="en-US" w:eastAsia="zh-CN"/>
              </w:rPr>
              <w:t>4</w:t>
            </w:r>
            <w:r>
              <w:rPr>
                <w:rFonts w:hint="eastAsia" w:ascii="宋体" w:hAnsi="宋体" w:eastAsia="宋体" w:cs="宋体"/>
                <w:b/>
                <w:bCs/>
                <w:sz w:val="16"/>
                <w:szCs w:val="16"/>
                <w:highlight w:val="none"/>
              </w:rPr>
              <w:t>月）在投标人单位购买社保（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的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27" w:type="dxa"/>
            <w:vMerge w:val="continue"/>
            <w:noWrap/>
            <w:vAlign w:val="center"/>
          </w:tcPr>
          <w:p>
            <w:pPr>
              <w:jc w:val="center"/>
              <w:rPr>
                <w:rFonts w:hint="eastAsia" w:ascii="宋体" w:hAnsi="宋体" w:eastAsia="宋体" w:cs="宋体"/>
                <w:sz w:val="16"/>
                <w:szCs w:val="16"/>
                <w:highlight w:val="none"/>
              </w:rPr>
            </w:pPr>
          </w:p>
        </w:tc>
        <w:tc>
          <w:tcPr>
            <w:tcW w:w="885" w:type="dxa"/>
            <w:vMerge w:val="continue"/>
            <w:noWrap/>
            <w:vAlign w:val="center"/>
          </w:tcPr>
          <w:p>
            <w:pPr>
              <w:spacing w:line="220" w:lineRule="exact"/>
              <w:jc w:val="center"/>
              <w:rPr>
                <w:rFonts w:hint="eastAsia" w:ascii="宋体" w:hAnsi="宋体" w:eastAsia="宋体" w:cs="宋体"/>
                <w:sz w:val="16"/>
                <w:szCs w:val="16"/>
                <w:highlight w:val="none"/>
              </w:rPr>
            </w:pPr>
          </w:p>
        </w:tc>
        <w:tc>
          <w:tcPr>
            <w:tcW w:w="615" w:type="dxa"/>
            <w:noWrap/>
            <w:vAlign w:val="center"/>
          </w:tcPr>
          <w:p>
            <w:pPr>
              <w:spacing w:line="220" w:lineRule="exact"/>
              <w:jc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10</w:t>
            </w:r>
          </w:p>
        </w:tc>
        <w:tc>
          <w:tcPr>
            <w:tcW w:w="11658" w:type="dxa"/>
            <w:noWrap/>
            <w:vAlign w:val="center"/>
          </w:tcPr>
          <w:p>
            <w:pPr>
              <w:snapToGrid w:val="0"/>
              <w:spacing w:line="240" w:lineRule="exact"/>
              <w:jc w:val="left"/>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1.</w:t>
            </w:r>
            <w:r>
              <w:rPr>
                <w:rFonts w:hint="eastAsia" w:ascii="宋体" w:hAnsi="宋体" w:eastAsia="宋体" w:cs="宋体"/>
                <w:sz w:val="16"/>
                <w:szCs w:val="16"/>
                <w:highlight w:val="none"/>
              </w:rPr>
              <w:t>拟委派项目负责人具有园林</w:t>
            </w:r>
            <w:r>
              <w:rPr>
                <w:rFonts w:hint="eastAsia" w:ascii="宋体" w:hAnsi="宋体" w:eastAsia="宋体" w:cs="宋体"/>
                <w:sz w:val="16"/>
                <w:szCs w:val="16"/>
                <w:highlight w:val="none"/>
                <w:lang w:val="en-US" w:eastAsia="zh-CN"/>
              </w:rPr>
              <w:t>绿化</w:t>
            </w:r>
            <w:r>
              <w:rPr>
                <w:rFonts w:hint="eastAsia" w:ascii="宋体" w:hAnsi="宋体" w:eastAsia="宋体" w:cs="宋体"/>
                <w:sz w:val="16"/>
                <w:szCs w:val="16"/>
                <w:highlight w:val="none"/>
              </w:rPr>
              <w:t>或风景园林</w:t>
            </w:r>
            <w:r>
              <w:rPr>
                <w:rFonts w:hint="eastAsia" w:ascii="宋体" w:hAnsi="宋体" w:eastAsia="宋体" w:cs="宋体"/>
                <w:sz w:val="16"/>
                <w:szCs w:val="16"/>
                <w:highlight w:val="none"/>
                <w:lang w:val="en-US" w:eastAsia="zh-CN"/>
              </w:rPr>
              <w:t>类</w:t>
            </w:r>
            <w:r>
              <w:rPr>
                <w:rFonts w:hint="eastAsia" w:ascii="宋体" w:hAnsi="宋体" w:eastAsia="宋体" w:cs="宋体"/>
                <w:sz w:val="16"/>
                <w:szCs w:val="16"/>
                <w:highlight w:val="none"/>
              </w:rPr>
              <w:t>高级</w:t>
            </w:r>
            <w:r>
              <w:rPr>
                <w:rFonts w:hint="eastAsia" w:ascii="宋体" w:hAnsi="宋体" w:eastAsia="宋体" w:cs="宋体"/>
                <w:sz w:val="16"/>
                <w:szCs w:val="16"/>
                <w:highlight w:val="none"/>
                <w:lang w:val="en-US" w:eastAsia="zh-CN"/>
              </w:rPr>
              <w:t>或以上职称的，得5分；</w:t>
            </w:r>
          </w:p>
          <w:p>
            <w:pPr>
              <w:snapToGrid w:val="0"/>
              <w:spacing w:line="240" w:lineRule="exact"/>
              <w:jc w:val="left"/>
              <w:rPr>
                <w:rFonts w:hint="eastAsia" w:ascii="宋体" w:hAnsi="宋体" w:eastAsia="宋体" w:cs="宋体"/>
                <w:sz w:val="16"/>
                <w:szCs w:val="16"/>
                <w:highlight w:val="none"/>
              </w:rPr>
            </w:pPr>
            <w:r>
              <w:rPr>
                <w:rFonts w:hint="eastAsia" w:ascii="宋体" w:hAnsi="宋体" w:eastAsia="宋体" w:cs="宋体"/>
                <w:sz w:val="16"/>
                <w:szCs w:val="16"/>
                <w:highlight w:val="none"/>
                <w:lang w:val="en-US" w:eastAsia="zh-CN"/>
              </w:rPr>
              <w:t>2.</w:t>
            </w:r>
            <w:r>
              <w:rPr>
                <w:rFonts w:hint="eastAsia" w:ascii="宋体" w:hAnsi="宋体" w:eastAsia="宋体" w:cs="宋体"/>
                <w:sz w:val="16"/>
                <w:szCs w:val="16"/>
                <w:highlight w:val="none"/>
              </w:rPr>
              <w:t>拟委派项目负责人</w:t>
            </w:r>
            <w:r>
              <w:rPr>
                <w:rFonts w:hint="eastAsia" w:ascii="宋体" w:hAnsi="宋体" w:eastAsia="宋体" w:cs="宋体"/>
                <w:sz w:val="16"/>
                <w:szCs w:val="16"/>
                <w:highlight w:val="none"/>
                <w:lang w:val="en-US" w:eastAsia="zh-CN"/>
              </w:rPr>
              <w:t>具有</w:t>
            </w:r>
            <w:r>
              <w:rPr>
                <w:rFonts w:hint="eastAsia" w:ascii="宋体" w:hAnsi="宋体" w:eastAsia="宋体" w:cs="宋体"/>
                <w:sz w:val="16"/>
                <w:szCs w:val="16"/>
                <w:highlight w:val="none"/>
              </w:rPr>
              <w:t>市政公用工程一级注册建造师的得</w:t>
            </w:r>
            <w:r>
              <w:rPr>
                <w:rFonts w:hint="eastAsia" w:ascii="宋体" w:hAnsi="宋体" w:eastAsia="宋体" w:cs="宋体"/>
                <w:sz w:val="16"/>
                <w:szCs w:val="16"/>
                <w:highlight w:val="none"/>
                <w:lang w:val="en-US" w:eastAsia="zh-CN"/>
              </w:rPr>
              <w:t>5</w:t>
            </w:r>
            <w:r>
              <w:rPr>
                <w:rFonts w:hint="eastAsia" w:ascii="宋体" w:hAnsi="宋体" w:eastAsia="宋体" w:cs="宋体"/>
                <w:sz w:val="16"/>
                <w:szCs w:val="16"/>
                <w:highlight w:val="none"/>
              </w:rPr>
              <w:t>分；</w:t>
            </w:r>
          </w:p>
          <w:p>
            <w:pPr>
              <w:snapToGrid w:val="0"/>
              <w:spacing w:line="240" w:lineRule="exact"/>
              <w:rPr>
                <w:rFonts w:hint="eastAsia" w:ascii="宋体" w:hAnsi="宋体" w:eastAsia="宋体" w:cs="宋体"/>
                <w:sz w:val="16"/>
                <w:szCs w:val="16"/>
                <w:highlight w:val="none"/>
              </w:rPr>
            </w:pPr>
            <w:r>
              <w:rPr>
                <w:rFonts w:hint="eastAsia" w:ascii="宋体" w:hAnsi="宋体" w:eastAsia="宋体" w:cs="宋体"/>
                <w:sz w:val="16"/>
                <w:szCs w:val="16"/>
                <w:highlight w:val="none"/>
                <w:lang w:val="en-US" w:eastAsia="zh-CN"/>
              </w:rPr>
              <w:t>本点最多得10分，</w:t>
            </w:r>
            <w:r>
              <w:rPr>
                <w:rFonts w:hint="eastAsia" w:ascii="宋体" w:hAnsi="宋体" w:eastAsia="宋体" w:cs="宋体"/>
                <w:sz w:val="16"/>
                <w:szCs w:val="16"/>
                <w:highlight w:val="none"/>
              </w:rPr>
              <w:t>不提供得0分。</w:t>
            </w:r>
          </w:p>
          <w:p>
            <w:pPr>
              <w:pStyle w:val="2"/>
              <w:rPr>
                <w:rFonts w:hint="eastAsia" w:ascii="宋体" w:hAnsi="宋体" w:eastAsia="宋体" w:cs="宋体"/>
                <w:sz w:val="16"/>
                <w:szCs w:val="16"/>
                <w:highlight w:val="none"/>
                <w:lang w:val="en-US" w:eastAsia="zh-CN"/>
              </w:rPr>
            </w:pPr>
            <w:r>
              <w:rPr>
                <w:rFonts w:hint="eastAsia" w:ascii="宋体" w:hAnsi="宋体" w:eastAsia="宋体" w:cs="宋体"/>
                <w:b/>
                <w:bCs/>
                <w:sz w:val="16"/>
                <w:szCs w:val="16"/>
                <w:highlight w:val="none"/>
              </w:rPr>
              <w:t>注：（1）提供职称证、执业注册证、身份证及近</w:t>
            </w:r>
            <w:r>
              <w:rPr>
                <w:rFonts w:hint="eastAsia" w:ascii="宋体" w:hAnsi="宋体" w:eastAsia="宋体" w:cs="宋体"/>
                <w:b/>
                <w:bCs/>
                <w:sz w:val="16"/>
                <w:szCs w:val="16"/>
                <w:highlight w:val="none"/>
                <w:lang w:val="en-US" w:eastAsia="zh-CN"/>
              </w:rPr>
              <w:t>1</w:t>
            </w:r>
            <w:r>
              <w:rPr>
                <w:rFonts w:hint="eastAsia" w:ascii="宋体" w:hAnsi="宋体" w:eastAsia="宋体" w:cs="宋体"/>
                <w:b/>
                <w:bCs/>
                <w:sz w:val="16"/>
                <w:szCs w:val="16"/>
                <w:highlight w:val="none"/>
              </w:rPr>
              <w:t>个月（202</w:t>
            </w:r>
            <w:r>
              <w:rPr>
                <w:rFonts w:hint="eastAsia" w:ascii="宋体" w:hAnsi="宋体" w:eastAsia="宋体" w:cs="宋体"/>
                <w:b/>
                <w:bCs/>
                <w:sz w:val="16"/>
                <w:szCs w:val="16"/>
                <w:highlight w:val="none"/>
                <w:lang w:val="en-US" w:eastAsia="zh-CN"/>
              </w:rPr>
              <w:t>2</w:t>
            </w:r>
            <w:r>
              <w:rPr>
                <w:rFonts w:hint="eastAsia" w:ascii="宋体" w:hAnsi="宋体" w:eastAsia="宋体" w:cs="宋体"/>
                <w:b/>
                <w:bCs/>
                <w:sz w:val="16"/>
                <w:szCs w:val="16"/>
                <w:highlight w:val="none"/>
              </w:rPr>
              <w:t>年</w:t>
            </w:r>
            <w:r>
              <w:rPr>
                <w:rFonts w:hint="eastAsia" w:ascii="宋体" w:hAnsi="宋体" w:eastAsia="宋体" w:cs="宋体"/>
                <w:b/>
                <w:bCs/>
                <w:sz w:val="16"/>
                <w:szCs w:val="16"/>
                <w:highlight w:val="none"/>
                <w:lang w:val="en-US" w:eastAsia="zh-CN"/>
              </w:rPr>
              <w:t>4</w:t>
            </w:r>
            <w:r>
              <w:rPr>
                <w:rFonts w:hint="eastAsia" w:ascii="宋体" w:hAnsi="宋体" w:eastAsia="宋体" w:cs="宋体"/>
                <w:b/>
                <w:bCs/>
                <w:sz w:val="16"/>
                <w:szCs w:val="16"/>
                <w:highlight w:val="none"/>
              </w:rPr>
              <w:t>月）在投标人单位购买社保（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的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vMerge w:val="continue"/>
            <w:noWrap/>
            <w:vAlign w:val="center"/>
          </w:tcPr>
          <w:p>
            <w:pPr>
              <w:jc w:val="center"/>
              <w:rPr>
                <w:rFonts w:hint="eastAsia" w:ascii="宋体" w:hAnsi="宋体" w:eastAsia="宋体" w:cs="宋体"/>
                <w:sz w:val="16"/>
                <w:szCs w:val="16"/>
                <w:highlight w:val="none"/>
              </w:rPr>
            </w:pPr>
          </w:p>
        </w:tc>
        <w:tc>
          <w:tcPr>
            <w:tcW w:w="885" w:type="dxa"/>
            <w:vMerge w:val="restart"/>
            <w:noWrap/>
            <w:vAlign w:val="center"/>
          </w:tcPr>
          <w:p>
            <w:pPr>
              <w:spacing w:line="22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企业技术力量配备情况</w:t>
            </w:r>
          </w:p>
          <w:p>
            <w:pPr>
              <w:spacing w:line="22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（30分）</w:t>
            </w:r>
          </w:p>
        </w:tc>
        <w:tc>
          <w:tcPr>
            <w:tcW w:w="615" w:type="dxa"/>
            <w:noWrap/>
            <w:vAlign w:val="center"/>
          </w:tcPr>
          <w:p>
            <w:pPr>
              <w:spacing w:line="220" w:lineRule="exact"/>
              <w:jc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15</w:t>
            </w:r>
          </w:p>
        </w:tc>
        <w:tc>
          <w:tcPr>
            <w:tcW w:w="11658" w:type="dxa"/>
            <w:noWrap/>
            <w:vAlign w:val="center"/>
          </w:tcPr>
          <w:p>
            <w:pPr>
              <w:snapToGrid w:val="0"/>
              <w:spacing w:line="240" w:lineRule="exact"/>
              <w:jc w:val="left"/>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rPr>
              <w:t>拟委派技术负责人具有园林</w:t>
            </w:r>
            <w:r>
              <w:rPr>
                <w:rFonts w:hint="eastAsia" w:ascii="宋体" w:hAnsi="宋体" w:eastAsia="宋体" w:cs="宋体"/>
                <w:sz w:val="16"/>
                <w:szCs w:val="16"/>
                <w:highlight w:val="none"/>
                <w:lang w:val="en-US" w:eastAsia="zh-CN"/>
              </w:rPr>
              <w:t>绿化</w:t>
            </w:r>
            <w:r>
              <w:rPr>
                <w:rFonts w:hint="eastAsia" w:ascii="宋体" w:hAnsi="宋体" w:eastAsia="宋体" w:cs="宋体"/>
                <w:sz w:val="16"/>
                <w:szCs w:val="16"/>
                <w:highlight w:val="none"/>
              </w:rPr>
              <w:t>或风景园林</w:t>
            </w:r>
            <w:r>
              <w:rPr>
                <w:rFonts w:hint="eastAsia" w:ascii="宋体" w:hAnsi="宋体" w:eastAsia="宋体" w:cs="宋体"/>
                <w:sz w:val="16"/>
                <w:szCs w:val="16"/>
                <w:highlight w:val="none"/>
                <w:lang w:val="en-US" w:eastAsia="zh-CN"/>
              </w:rPr>
              <w:t>类</w:t>
            </w:r>
            <w:r>
              <w:rPr>
                <w:rFonts w:hint="eastAsia" w:ascii="宋体" w:hAnsi="宋体" w:eastAsia="宋体" w:cs="宋体"/>
                <w:sz w:val="16"/>
                <w:szCs w:val="16"/>
                <w:highlight w:val="none"/>
              </w:rPr>
              <w:t>高级</w:t>
            </w:r>
            <w:r>
              <w:rPr>
                <w:rFonts w:hint="eastAsia" w:ascii="宋体" w:hAnsi="宋体" w:eastAsia="宋体" w:cs="宋体"/>
                <w:sz w:val="16"/>
                <w:szCs w:val="16"/>
                <w:highlight w:val="none"/>
                <w:lang w:val="en-US" w:eastAsia="zh-CN"/>
              </w:rPr>
              <w:t>或以上职称的，得15分；</w:t>
            </w:r>
            <w:r>
              <w:rPr>
                <w:rFonts w:hint="eastAsia" w:ascii="宋体" w:hAnsi="宋体" w:eastAsia="宋体" w:cs="宋体"/>
                <w:sz w:val="16"/>
                <w:szCs w:val="16"/>
                <w:highlight w:val="none"/>
              </w:rPr>
              <w:t>园林或风景园林</w:t>
            </w:r>
            <w:r>
              <w:rPr>
                <w:rFonts w:hint="eastAsia" w:ascii="宋体" w:hAnsi="宋体" w:eastAsia="宋体" w:cs="宋体"/>
                <w:sz w:val="16"/>
                <w:szCs w:val="16"/>
                <w:highlight w:val="none"/>
                <w:lang w:val="en-US" w:eastAsia="zh-CN"/>
              </w:rPr>
              <w:t>中级或以上职称的，得10分。</w:t>
            </w:r>
          </w:p>
          <w:p>
            <w:pPr>
              <w:snapToGrid w:val="0"/>
              <w:spacing w:line="240" w:lineRule="exact"/>
              <w:rPr>
                <w:rFonts w:hint="eastAsia" w:ascii="宋体" w:hAnsi="宋体" w:eastAsia="宋体" w:cs="宋体"/>
                <w:sz w:val="16"/>
                <w:szCs w:val="16"/>
                <w:highlight w:val="none"/>
              </w:rPr>
            </w:pPr>
            <w:r>
              <w:rPr>
                <w:rFonts w:hint="eastAsia" w:ascii="宋体" w:hAnsi="宋体" w:eastAsia="宋体" w:cs="宋体"/>
                <w:sz w:val="16"/>
                <w:szCs w:val="16"/>
                <w:highlight w:val="none"/>
                <w:lang w:val="en-US" w:eastAsia="zh-CN"/>
              </w:rPr>
              <w:t>本点最多得15分，</w:t>
            </w:r>
            <w:r>
              <w:rPr>
                <w:rFonts w:hint="eastAsia" w:ascii="宋体" w:hAnsi="宋体" w:eastAsia="宋体" w:cs="宋体"/>
                <w:sz w:val="16"/>
                <w:szCs w:val="16"/>
                <w:highlight w:val="none"/>
              </w:rPr>
              <w:t>不提供得0分。</w:t>
            </w:r>
          </w:p>
          <w:p>
            <w:pPr>
              <w:snapToGrid w:val="0"/>
              <w:spacing w:line="240" w:lineRule="exact"/>
              <w:rPr>
                <w:rFonts w:hint="eastAsia" w:ascii="宋体" w:hAnsi="宋体" w:eastAsia="宋体" w:cs="宋体"/>
                <w:sz w:val="16"/>
                <w:szCs w:val="16"/>
                <w:highlight w:val="none"/>
              </w:rPr>
            </w:pPr>
            <w:r>
              <w:rPr>
                <w:rFonts w:hint="eastAsia" w:ascii="宋体" w:hAnsi="宋体" w:eastAsia="宋体" w:cs="宋体"/>
                <w:b/>
                <w:bCs/>
                <w:sz w:val="16"/>
                <w:szCs w:val="16"/>
                <w:highlight w:val="none"/>
              </w:rPr>
              <w:t>注：（1）提供职称证、身份证及近</w:t>
            </w:r>
            <w:r>
              <w:rPr>
                <w:rFonts w:hint="eastAsia" w:ascii="宋体" w:hAnsi="宋体" w:eastAsia="宋体" w:cs="宋体"/>
                <w:b/>
                <w:bCs/>
                <w:sz w:val="16"/>
                <w:szCs w:val="16"/>
                <w:highlight w:val="none"/>
                <w:lang w:val="en-US" w:eastAsia="zh-CN"/>
              </w:rPr>
              <w:t>1</w:t>
            </w:r>
            <w:r>
              <w:rPr>
                <w:rFonts w:hint="eastAsia" w:ascii="宋体" w:hAnsi="宋体" w:eastAsia="宋体" w:cs="宋体"/>
                <w:b/>
                <w:bCs/>
                <w:sz w:val="16"/>
                <w:szCs w:val="16"/>
                <w:highlight w:val="none"/>
              </w:rPr>
              <w:t>个月（202</w:t>
            </w:r>
            <w:r>
              <w:rPr>
                <w:rFonts w:hint="eastAsia" w:ascii="宋体" w:hAnsi="宋体" w:eastAsia="宋体" w:cs="宋体"/>
                <w:b/>
                <w:bCs/>
                <w:sz w:val="16"/>
                <w:szCs w:val="16"/>
                <w:highlight w:val="none"/>
                <w:lang w:val="en-US" w:eastAsia="zh-CN"/>
              </w:rPr>
              <w:t>2</w:t>
            </w:r>
            <w:r>
              <w:rPr>
                <w:rFonts w:hint="eastAsia" w:ascii="宋体" w:hAnsi="宋体" w:eastAsia="宋体" w:cs="宋体"/>
                <w:b/>
                <w:bCs/>
                <w:sz w:val="16"/>
                <w:szCs w:val="16"/>
                <w:highlight w:val="none"/>
              </w:rPr>
              <w:t>年</w:t>
            </w:r>
            <w:r>
              <w:rPr>
                <w:rFonts w:hint="eastAsia" w:ascii="宋体" w:hAnsi="宋体" w:eastAsia="宋体" w:cs="宋体"/>
                <w:b/>
                <w:bCs/>
                <w:sz w:val="16"/>
                <w:szCs w:val="16"/>
                <w:highlight w:val="none"/>
                <w:lang w:val="en-US" w:eastAsia="zh-CN"/>
              </w:rPr>
              <w:t>4</w:t>
            </w:r>
            <w:r>
              <w:rPr>
                <w:rFonts w:hint="eastAsia" w:ascii="宋体" w:hAnsi="宋体" w:eastAsia="宋体" w:cs="宋体"/>
                <w:b/>
                <w:bCs/>
                <w:sz w:val="16"/>
                <w:szCs w:val="16"/>
                <w:highlight w:val="none"/>
              </w:rPr>
              <w:t>月）在投标人单位购买社保（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的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vMerge w:val="continue"/>
            <w:noWrap/>
            <w:vAlign w:val="center"/>
          </w:tcPr>
          <w:p>
            <w:pPr>
              <w:jc w:val="center"/>
              <w:rPr>
                <w:rFonts w:hint="eastAsia" w:ascii="宋体" w:hAnsi="宋体" w:eastAsia="宋体" w:cs="宋体"/>
                <w:sz w:val="16"/>
                <w:szCs w:val="16"/>
                <w:highlight w:val="none"/>
              </w:rPr>
            </w:pPr>
          </w:p>
        </w:tc>
        <w:tc>
          <w:tcPr>
            <w:tcW w:w="885" w:type="dxa"/>
            <w:vMerge w:val="continue"/>
            <w:noWrap/>
            <w:vAlign w:val="center"/>
          </w:tcPr>
          <w:p>
            <w:pPr>
              <w:spacing w:line="220" w:lineRule="exact"/>
              <w:jc w:val="center"/>
              <w:rPr>
                <w:rFonts w:hint="eastAsia" w:ascii="宋体" w:hAnsi="宋体" w:eastAsia="宋体" w:cs="宋体"/>
                <w:sz w:val="16"/>
                <w:szCs w:val="16"/>
                <w:highlight w:val="none"/>
              </w:rPr>
            </w:pPr>
          </w:p>
        </w:tc>
        <w:tc>
          <w:tcPr>
            <w:tcW w:w="615" w:type="dxa"/>
            <w:noWrap/>
            <w:vAlign w:val="center"/>
          </w:tcPr>
          <w:p>
            <w:pPr>
              <w:spacing w:line="220" w:lineRule="exact"/>
              <w:jc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15</w:t>
            </w:r>
          </w:p>
        </w:tc>
        <w:tc>
          <w:tcPr>
            <w:tcW w:w="11658" w:type="dxa"/>
            <w:noWrap/>
            <w:vAlign w:val="center"/>
          </w:tcPr>
          <w:p>
            <w:pPr>
              <w:snapToGrid w:val="0"/>
              <w:spacing w:line="240" w:lineRule="exact"/>
              <w:rPr>
                <w:rFonts w:hint="eastAsia" w:ascii="宋体" w:hAnsi="宋体" w:eastAsia="宋体" w:cs="宋体"/>
                <w:sz w:val="16"/>
                <w:szCs w:val="16"/>
                <w:highlight w:val="none"/>
              </w:rPr>
            </w:pPr>
            <w:r>
              <w:rPr>
                <w:rFonts w:hint="eastAsia" w:ascii="宋体" w:hAnsi="宋体" w:eastAsia="宋体" w:cs="宋体"/>
                <w:sz w:val="16"/>
                <w:szCs w:val="16"/>
                <w:highlight w:val="none"/>
              </w:rPr>
              <w:t>拟投入人员须包含园林</w:t>
            </w:r>
            <w:r>
              <w:rPr>
                <w:rFonts w:hint="eastAsia" w:ascii="宋体" w:hAnsi="宋体" w:eastAsia="宋体" w:cs="宋体"/>
                <w:sz w:val="16"/>
                <w:szCs w:val="16"/>
                <w:highlight w:val="none"/>
                <w:lang w:val="en-US" w:eastAsia="zh-CN"/>
              </w:rPr>
              <w:t>绿化</w:t>
            </w:r>
            <w:r>
              <w:rPr>
                <w:rFonts w:hint="eastAsia" w:ascii="宋体" w:hAnsi="宋体" w:eastAsia="宋体" w:cs="宋体"/>
                <w:sz w:val="16"/>
                <w:szCs w:val="16"/>
                <w:highlight w:val="none"/>
              </w:rPr>
              <w:t>或风景园林类</w:t>
            </w:r>
            <w:r>
              <w:rPr>
                <w:rFonts w:hint="eastAsia" w:ascii="宋体" w:hAnsi="宋体" w:eastAsia="宋体" w:cs="宋体"/>
                <w:sz w:val="16"/>
                <w:szCs w:val="16"/>
                <w:highlight w:val="none"/>
                <w:lang w:val="en-US" w:eastAsia="zh-CN"/>
              </w:rPr>
              <w:t>中</w:t>
            </w:r>
            <w:r>
              <w:rPr>
                <w:rFonts w:hint="eastAsia" w:ascii="宋体" w:hAnsi="宋体" w:eastAsia="宋体" w:cs="宋体"/>
                <w:sz w:val="16"/>
                <w:szCs w:val="16"/>
                <w:highlight w:val="none"/>
              </w:rPr>
              <w:t>级或以上专业技术职称2名、</w:t>
            </w:r>
            <w:r>
              <w:rPr>
                <w:rFonts w:hint="eastAsia" w:ascii="宋体" w:hAnsi="宋体" w:eastAsia="宋体" w:cs="宋体"/>
                <w:sz w:val="16"/>
                <w:szCs w:val="16"/>
                <w:highlight w:val="none"/>
                <w:lang w:val="en-US" w:eastAsia="zh-CN"/>
              </w:rPr>
              <w:t>市政工程类相关中级</w:t>
            </w:r>
            <w:r>
              <w:rPr>
                <w:rFonts w:hint="eastAsia" w:ascii="宋体" w:hAnsi="宋体" w:eastAsia="宋体" w:cs="宋体"/>
                <w:sz w:val="16"/>
                <w:szCs w:val="16"/>
                <w:highlight w:val="none"/>
              </w:rPr>
              <w:t>或以上专业技术职称</w:t>
            </w:r>
            <w:r>
              <w:rPr>
                <w:rFonts w:hint="eastAsia" w:ascii="宋体" w:hAnsi="宋体" w:eastAsia="宋体" w:cs="宋体"/>
                <w:sz w:val="16"/>
                <w:szCs w:val="16"/>
                <w:highlight w:val="none"/>
                <w:lang w:val="en-US" w:eastAsia="zh-CN"/>
              </w:rPr>
              <w:t>2</w:t>
            </w:r>
            <w:r>
              <w:rPr>
                <w:rFonts w:hint="eastAsia" w:ascii="宋体" w:hAnsi="宋体" w:eastAsia="宋体" w:cs="宋体"/>
                <w:sz w:val="16"/>
                <w:szCs w:val="16"/>
                <w:highlight w:val="none"/>
              </w:rPr>
              <w:t>名、</w:t>
            </w:r>
            <w:r>
              <w:rPr>
                <w:rFonts w:hint="eastAsia" w:ascii="宋体" w:hAnsi="宋体" w:eastAsia="宋体" w:cs="宋体"/>
                <w:sz w:val="16"/>
                <w:szCs w:val="16"/>
                <w:highlight w:val="none"/>
                <w:lang w:val="en-US" w:eastAsia="zh-CN"/>
              </w:rPr>
              <w:t>注册造价工程师1</w:t>
            </w:r>
            <w:r>
              <w:rPr>
                <w:rFonts w:hint="eastAsia" w:ascii="宋体" w:hAnsi="宋体" w:eastAsia="宋体" w:cs="宋体"/>
                <w:sz w:val="16"/>
                <w:szCs w:val="16"/>
                <w:highlight w:val="none"/>
              </w:rPr>
              <w:t>名，上述岗位不得兼任。</w:t>
            </w:r>
          </w:p>
          <w:p>
            <w:pPr>
              <w:snapToGrid w:val="0"/>
              <w:spacing w:line="240" w:lineRule="exact"/>
              <w:rPr>
                <w:rFonts w:hint="eastAsia" w:ascii="宋体" w:hAnsi="宋体" w:eastAsia="宋体" w:cs="宋体"/>
                <w:sz w:val="16"/>
                <w:szCs w:val="16"/>
                <w:highlight w:val="none"/>
              </w:rPr>
            </w:pPr>
            <w:r>
              <w:rPr>
                <w:rFonts w:hint="eastAsia" w:ascii="宋体" w:hAnsi="宋体" w:eastAsia="宋体" w:cs="宋体"/>
                <w:sz w:val="16"/>
                <w:szCs w:val="16"/>
                <w:highlight w:val="none"/>
              </w:rPr>
              <w:t>符合上述人员要求且齐全的得</w:t>
            </w:r>
            <w:r>
              <w:rPr>
                <w:rFonts w:hint="eastAsia" w:ascii="宋体" w:hAnsi="宋体" w:eastAsia="宋体" w:cs="宋体"/>
                <w:sz w:val="16"/>
                <w:szCs w:val="16"/>
                <w:highlight w:val="none"/>
                <w:lang w:val="en-US" w:eastAsia="zh-CN"/>
              </w:rPr>
              <w:t>15</w:t>
            </w:r>
            <w:r>
              <w:rPr>
                <w:rFonts w:hint="eastAsia" w:ascii="宋体" w:hAnsi="宋体" w:eastAsia="宋体" w:cs="宋体"/>
                <w:sz w:val="16"/>
                <w:szCs w:val="16"/>
                <w:highlight w:val="none"/>
              </w:rPr>
              <w:t>分，</w:t>
            </w:r>
            <w:r>
              <w:rPr>
                <w:rFonts w:hint="eastAsia" w:ascii="宋体" w:hAnsi="宋体" w:eastAsia="宋体" w:cs="宋体"/>
                <w:sz w:val="16"/>
                <w:szCs w:val="16"/>
                <w:highlight w:val="none"/>
                <w:lang w:val="en-US" w:eastAsia="zh-CN"/>
              </w:rPr>
              <w:t>每缺少1名人员的扣3分，最多扣至0分</w:t>
            </w:r>
            <w:r>
              <w:rPr>
                <w:rFonts w:hint="eastAsia" w:ascii="宋体" w:hAnsi="宋体" w:eastAsia="宋体" w:cs="宋体"/>
                <w:sz w:val="16"/>
                <w:szCs w:val="16"/>
                <w:highlight w:val="none"/>
              </w:rPr>
              <w:t>。</w:t>
            </w:r>
          </w:p>
          <w:p>
            <w:pPr>
              <w:snapToGrid w:val="0"/>
              <w:spacing w:line="240" w:lineRule="exact"/>
              <w:rPr>
                <w:rFonts w:hint="eastAsia" w:ascii="宋体" w:hAnsi="宋体" w:eastAsia="宋体" w:cs="宋体"/>
                <w:sz w:val="16"/>
                <w:szCs w:val="16"/>
                <w:highlight w:val="none"/>
              </w:rPr>
            </w:pPr>
            <w:r>
              <w:rPr>
                <w:rFonts w:hint="eastAsia" w:ascii="宋体" w:hAnsi="宋体" w:eastAsia="宋体" w:cs="宋体"/>
                <w:b/>
                <w:bCs/>
                <w:sz w:val="16"/>
                <w:szCs w:val="16"/>
                <w:highlight w:val="none"/>
              </w:rPr>
              <w:t>注：提供上述各岗位人员职称证书或资格证书、身份证、近</w:t>
            </w:r>
            <w:r>
              <w:rPr>
                <w:rFonts w:hint="eastAsia" w:ascii="宋体" w:hAnsi="宋体" w:eastAsia="宋体" w:cs="宋体"/>
                <w:b/>
                <w:bCs/>
                <w:sz w:val="16"/>
                <w:szCs w:val="16"/>
                <w:highlight w:val="none"/>
                <w:lang w:val="en-US" w:eastAsia="zh-CN"/>
              </w:rPr>
              <w:t>1</w:t>
            </w:r>
            <w:r>
              <w:rPr>
                <w:rFonts w:hint="eastAsia" w:ascii="宋体" w:hAnsi="宋体" w:eastAsia="宋体" w:cs="宋体"/>
                <w:b/>
                <w:bCs/>
                <w:sz w:val="16"/>
                <w:szCs w:val="16"/>
                <w:highlight w:val="none"/>
              </w:rPr>
              <w:t>个月（202</w:t>
            </w:r>
            <w:r>
              <w:rPr>
                <w:rFonts w:hint="eastAsia" w:ascii="宋体" w:hAnsi="宋体" w:eastAsia="宋体" w:cs="宋体"/>
                <w:b/>
                <w:bCs/>
                <w:sz w:val="16"/>
                <w:szCs w:val="16"/>
                <w:highlight w:val="none"/>
                <w:lang w:val="en-US" w:eastAsia="zh-CN"/>
              </w:rPr>
              <w:t>2</w:t>
            </w:r>
            <w:r>
              <w:rPr>
                <w:rFonts w:hint="eastAsia" w:ascii="宋体" w:hAnsi="宋体" w:eastAsia="宋体" w:cs="宋体"/>
                <w:b/>
                <w:bCs/>
                <w:sz w:val="16"/>
                <w:szCs w:val="16"/>
                <w:highlight w:val="none"/>
              </w:rPr>
              <w:t>年</w:t>
            </w:r>
            <w:r>
              <w:rPr>
                <w:rFonts w:hint="eastAsia" w:ascii="宋体" w:hAnsi="宋体" w:eastAsia="宋体" w:cs="宋体"/>
                <w:b/>
                <w:bCs/>
                <w:sz w:val="16"/>
                <w:szCs w:val="16"/>
                <w:highlight w:val="none"/>
                <w:lang w:val="en-US" w:eastAsia="zh-CN"/>
              </w:rPr>
              <w:t>4</w:t>
            </w:r>
            <w:r>
              <w:rPr>
                <w:rFonts w:hint="eastAsia" w:ascii="宋体" w:hAnsi="宋体" w:eastAsia="宋体" w:cs="宋体"/>
                <w:b/>
                <w:bCs/>
                <w:sz w:val="16"/>
                <w:szCs w:val="16"/>
                <w:highlight w:val="none"/>
              </w:rPr>
              <w:t>月）在投标人单位购买社保（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的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27" w:type="dxa"/>
            <w:noWrap/>
            <w:vAlign w:val="center"/>
          </w:tcPr>
          <w:p>
            <w:pPr>
              <w:numPr>
                <w:ilvl w:val="0"/>
                <w:numId w:val="2"/>
              </w:numPr>
              <w:ind w:left="0" w:leftChars="0" w:firstLine="0" w:firstLineChars="0"/>
              <w:jc w:val="center"/>
              <w:rPr>
                <w:rFonts w:hint="eastAsia" w:ascii="宋体" w:hAnsi="宋体" w:eastAsia="宋体" w:cs="宋体"/>
                <w:b/>
                <w:bCs/>
                <w:kern w:val="0"/>
                <w:sz w:val="16"/>
                <w:szCs w:val="16"/>
                <w:highlight w:val="none"/>
                <w:lang w:val="en-US" w:eastAsia="zh-CN"/>
              </w:rPr>
            </w:pPr>
            <w:r>
              <w:rPr>
                <w:rFonts w:hint="eastAsia" w:ascii="宋体" w:hAnsi="宋体" w:eastAsia="宋体" w:cs="宋体"/>
                <w:b/>
                <w:bCs/>
                <w:kern w:val="0"/>
                <w:sz w:val="16"/>
                <w:szCs w:val="16"/>
                <w:highlight w:val="none"/>
              </w:rPr>
              <w:t>机械设备投入情况</w:t>
            </w:r>
          </w:p>
          <w:p>
            <w:pPr>
              <w:numPr>
                <w:ilvl w:val="0"/>
                <w:numId w:val="0"/>
              </w:numPr>
              <w:jc w:val="both"/>
              <w:rPr>
                <w:rFonts w:hint="eastAsia" w:ascii="宋体" w:hAnsi="宋体" w:eastAsia="宋体" w:cs="宋体"/>
                <w:sz w:val="16"/>
                <w:szCs w:val="16"/>
                <w:highlight w:val="none"/>
                <w:lang w:eastAsia="zh-CN"/>
              </w:rPr>
            </w:pPr>
            <w:r>
              <w:rPr>
                <w:rFonts w:hint="eastAsia" w:ascii="宋体" w:hAnsi="宋体" w:eastAsia="宋体" w:cs="宋体"/>
                <w:b/>
                <w:bCs/>
                <w:kern w:val="0"/>
                <w:sz w:val="16"/>
                <w:szCs w:val="16"/>
                <w:highlight w:val="none"/>
                <w:lang w:val="en-US" w:eastAsia="zh-CN"/>
              </w:rPr>
              <w:t>（10分</w:t>
            </w:r>
            <w:r>
              <w:rPr>
                <w:rFonts w:hint="eastAsia" w:ascii="宋体" w:hAnsi="宋体" w:eastAsia="宋体" w:cs="宋体"/>
                <w:b/>
                <w:bCs/>
                <w:kern w:val="0"/>
                <w:sz w:val="16"/>
                <w:szCs w:val="16"/>
                <w:highlight w:val="none"/>
                <w:lang w:eastAsia="zh-CN"/>
              </w:rPr>
              <w:t>）</w:t>
            </w:r>
          </w:p>
        </w:tc>
        <w:tc>
          <w:tcPr>
            <w:tcW w:w="885" w:type="dxa"/>
            <w:noWrap/>
            <w:vAlign w:val="center"/>
          </w:tcPr>
          <w:p>
            <w:pPr>
              <w:spacing w:line="22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机械设备</w:t>
            </w:r>
          </w:p>
          <w:p>
            <w:pPr>
              <w:spacing w:line="22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配备</w:t>
            </w:r>
          </w:p>
          <w:p>
            <w:pPr>
              <w:spacing w:line="22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（10分）</w:t>
            </w:r>
          </w:p>
        </w:tc>
        <w:tc>
          <w:tcPr>
            <w:tcW w:w="615" w:type="dxa"/>
            <w:noWrap/>
            <w:vAlign w:val="center"/>
          </w:tcPr>
          <w:p>
            <w:pPr>
              <w:spacing w:line="22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10</w:t>
            </w:r>
          </w:p>
        </w:tc>
        <w:tc>
          <w:tcPr>
            <w:tcW w:w="11658" w:type="dxa"/>
            <w:noWrap/>
            <w:vAlign w:val="center"/>
          </w:tcPr>
          <w:p>
            <w:pPr>
              <w:snapToGrid w:val="0"/>
              <w:spacing w:line="240" w:lineRule="exact"/>
              <w:rPr>
                <w:rFonts w:hint="eastAsia" w:ascii="宋体" w:hAnsi="宋体" w:eastAsia="宋体" w:cs="宋体"/>
                <w:sz w:val="16"/>
                <w:szCs w:val="16"/>
                <w:highlight w:val="none"/>
              </w:rPr>
            </w:pPr>
            <w:r>
              <w:rPr>
                <w:rFonts w:hint="eastAsia" w:ascii="宋体" w:hAnsi="宋体" w:eastAsia="宋体" w:cs="宋体"/>
                <w:sz w:val="16"/>
                <w:szCs w:val="16"/>
                <w:highlight w:val="none"/>
              </w:rPr>
              <w:t>为满足施工要求，配备机械设备要求如下：高空作业车</w:t>
            </w:r>
            <w:r>
              <w:rPr>
                <w:rFonts w:hint="eastAsia" w:ascii="宋体" w:hAnsi="宋体" w:eastAsia="宋体" w:cs="宋体"/>
                <w:sz w:val="16"/>
                <w:szCs w:val="16"/>
                <w:highlight w:val="none"/>
                <w:lang w:val="en-US" w:eastAsia="zh-CN"/>
              </w:rPr>
              <w:t>1</w:t>
            </w:r>
            <w:r>
              <w:rPr>
                <w:rFonts w:hint="eastAsia" w:ascii="宋体" w:hAnsi="宋体" w:eastAsia="宋体" w:cs="宋体"/>
                <w:sz w:val="16"/>
                <w:szCs w:val="16"/>
                <w:highlight w:val="none"/>
              </w:rPr>
              <w:t>辆，洒水车</w:t>
            </w:r>
            <w:r>
              <w:rPr>
                <w:rFonts w:hint="eastAsia" w:ascii="宋体" w:hAnsi="宋体" w:eastAsia="宋体" w:cs="宋体"/>
                <w:sz w:val="16"/>
                <w:szCs w:val="16"/>
                <w:highlight w:val="none"/>
                <w:lang w:val="en-US" w:eastAsia="zh-CN"/>
              </w:rPr>
              <w:t>2</w:t>
            </w:r>
            <w:r>
              <w:rPr>
                <w:rFonts w:hint="eastAsia" w:ascii="宋体" w:hAnsi="宋体" w:eastAsia="宋体" w:cs="宋体"/>
                <w:sz w:val="16"/>
                <w:szCs w:val="16"/>
                <w:highlight w:val="none"/>
              </w:rPr>
              <w:t>辆，货车</w:t>
            </w:r>
            <w:r>
              <w:rPr>
                <w:rFonts w:hint="eastAsia" w:ascii="宋体" w:hAnsi="宋体" w:eastAsia="宋体" w:cs="宋体"/>
                <w:sz w:val="16"/>
                <w:szCs w:val="16"/>
                <w:highlight w:val="none"/>
                <w:lang w:val="en-US" w:eastAsia="zh-CN"/>
              </w:rPr>
              <w:t>3</w:t>
            </w:r>
            <w:r>
              <w:rPr>
                <w:rFonts w:hint="eastAsia" w:ascii="宋体" w:hAnsi="宋体" w:eastAsia="宋体" w:cs="宋体"/>
                <w:sz w:val="16"/>
                <w:szCs w:val="16"/>
                <w:highlight w:val="none"/>
              </w:rPr>
              <w:t>辆，专门管理用车</w:t>
            </w:r>
            <w:r>
              <w:rPr>
                <w:rFonts w:hint="eastAsia" w:ascii="宋体" w:hAnsi="宋体" w:eastAsia="宋体" w:cs="宋体"/>
                <w:sz w:val="16"/>
                <w:szCs w:val="16"/>
                <w:highlight w:val="none"/>
                <w:lang w:val="en-US" w:eastAsia="zh-CN"/>
              </w:rPr>
              <w:t>4</w:t>
            </w:r>
            <w:r>
              <w:rPr>
                <w:rFonts w:hint="eastAsia" w:ascii="宋体" w:hAnsi="宋体" w:eastAsia="宋体" w:cs="宋体"/>
                <w:sz w:val="16"/>
                <w:szCs w:val="16"/>
                <w:highlight w:val="none"/>
              </w:rPr>
              <w:t>辆。</w:t>
            </w:r>
          </w:p>
          <w:p>
            <w:pPr>
              <w:snapToGrid w:val="0"/>
              <w:spacing w:line="240" w:lineRule="exact"/>
              <w:rPr>
                <w:rFonts w:hint="eastAsia" w:ascii="宋体" w:hAnsi="宋体" w:eastAsia="宋体" w:cs="宋体"/>
                <w:sz w:val="16"/>
                <w:szCs w:val="16"/>
                <w:highlight w:val="none"/>
              </w:rPr>
            </w:pPr>
            <w:r>
              <w:rPr>
                <w:rFonts w:hint="eastAsia" w:ascii="宋体" w:hAnsi="宋体" w:eastAsia="宋体" w:cs="宋体"/>
                <w:sz w:val="16"/>
                <w:szCs w:val="16"/>
                <w:highlight w:val="none"/>
              </w:rPr>
              <w:t>满足以上要求得10分，</w:t>
            </w:r>
            <w:r>
              <w:rPr>
                <w:rFonts w:hint="eastAsia" w:ascii="宋体" w:hAnsi="宋体" w:eastAsia="宋体" w:cs="宋体"/>
                <w:sz w:val="16"/>
                <w:szCs w:val="16"/>
                <w:highlight w:val="none"/>
                <w:lang w:val="en-US" w:eastAsia="zh-CN"/>
              </w:rPr>
              <w:t>每缺少1辆设备的扣1分，最多扣至0分</w:t>
            </w:r>
            <w:r>
              <w:rPr>
                <w:rFonts w:hint="eastAsia" w:ascii="宋体" w:hAnsi="宋体" w:eastAsia="宋体" w:cs="宋体"/>
                <w:sz w:val="16"/>
                <w:szCs w:val="16"/>
                <w:highlight w:val="none"/>
              </w:rPr>
              <w:t>。</w:t>
            </w:r>
          </w:p>
          <w:p>
            <w:pPr>
              <w:snapToGrid w:val="0"/>
              <w:spacing w:line="240" w:lineRule="exact"/>
              <w:rPr>
                <w:rFonts w:hint="eastAsia" w:ascii="宋体" w:hAnsi="宋体" w:eastAsia="宋体" w:cs="宋体"/>
                <w:sz w:val="16"/>
                <w:szCs w:val="16"/>
                <w:highlight w:val="none"/>
              </w:rPr>
            </w:pPr>
            <w:r>
              <w:rPr>
                <w:rFonts w:hint="eastAsia" w:ascii="宋体" w:hAnsi="宋体" w:eastAsia="宋体" w:cs="宋体"/>
                <w:b/>
                <w:bCs/>
                <w:sz w:val="16"/>
                <w:szCs w:val="16"/>
                <w:highlight w:val="none"/>
              </w:rPr>
              <w:t>注：自有和租赁设备视为同等施工能力。设备证明材料提供要求：设备为自有的，提供设备发票并加盖公章；如为租赁的，提供租赁合同、在检验有效期内的行驶证原件扫描件以及出租方购买机械设备的发票原件扫描件及承租方缴纳的租金发票原件扫描件</w:t>
            </w:r>
            <w:r>
              <w:rPr>
                <w:rFonts w:hint="eastAsia" w:ascii="宋体" w:hAnsi="宋体" w:eastAsia="宋体" w:cs="宋体"/>
                <w:b/>
                <w:bCs/>
                <w:sz w:val="16"/>
                <w:szCs w:val="16"/>
                <w:highlight w:val="none"/>
                <w:lang w:eastAsia="zh-CN"/>
              </w:rPr>
              <w:t>。</w:t>
            </w:r>
            <w:r>
              <w:rPr>
                <w:rFonts w:hint="eastAsia" w:ascii="宋体" w:hAnsi="宋体" w:eastAsia="宋体" w:cs="宋体"/>
                <w:b/>
                <w:bCs/>
                <w:sz w:val="16"/>
                <w:szCs w:val="16"/>
                <w:highlight w:val="none"/>
                <w:lang w:val="en-US" w:eastAsia="zh-CN"/>
              </w:rPr>
              <w:t>以上证明材料均需提供复印件并加盖投标人公章，</w:t>
            </w:r>
            <w:r>
              <w:rPr>
                <w:rFonts w:hint="eastAsia" w:ascii="宋体" w:hAnsi="宋体" w:eastAsia="宋体" w:cs="宋体"/>
                <w:b/>
                <w:bCs/>
                <w:sz w:val="16"/>
                <w:szCs w:val="16"/>
                <w:highlight w:val="none"/>
                <w:lang w:val="en-US" w:eastAsia="en-US"/>
              </w:rPr>
              <w:t>不提供或提供证明材料不齐全均不得分</w:t>
            </w:r>
            <w:r>
              <w:rPr>
                <w:rFonts w:hint="eastAsia" w:ascii="宋体" w:hAnsi="宋体" w:eastAsia="宋体" w:cs="宋体"/>
                <w:b/>
                <w:bCs/>
                <w:sz w:val="16"/>
                <w:szCs w:val="1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27" w:type="dxa"/>
            <w:noWrap/>
            <w:vAlign w:val="center"/>
          </w:tcPr>
          <w:p>
            <w:pPr>
              <w:spacing w:line="220" w:lineRule="exact"/>
              <w:jc w:val="center"/>
              <w:rPr>
                <w:rFonts w:hint="eastAsia" w:ascii="宋体" w:hAnsi="宋体" w:eastAsia="宋体" w:cs="宋体"/>
                <w:b/>
                <w:bCs/>
                <w:sz w:val="16"/>
                <w:szCs w:val="16"/>
                <w:highlight w:val="none"/>
                <w:lang w:eastAsia="zh-CN"/>
              </w:rPr>
            </w:pPr>
            <w:r>
              <w:rPr>
                <w:rFonts w:hint="eastAsia" w:ascii="宋体" w:hAnsi="宋体" w:eastAsia="宋体" w:cs="宋体"/>
                <w:b/>
                <w:bCs/>
                <w:sz w:val="16"/>
                <w:szCs w:val="16"/>
                <w:highlight w:val="none"/>
              </w:rPr>
              <w:t>三、企业施工经验</w:t>
            </w:r>
            <w:r>
              <w:rPr>
                <w:rFonts w:hint="eastAsia" w:ascii="宋体" w:hAnsi="宋体" w:eastAsia="宋体" w:cs="宋体"/>
                <w:b/>
                <w:bCs/>
                <w:sz w:val="16"/>
                <w:szCs w:val="16"/>
                <w:highlight w:val="none"/>
                <w:lang w:eastAsia="zh-CN"/>
              </w:rPr>
              <w:t>（</w:t>
            </w:r>
            <w:r>
              <w:rPr>
                <w:rFonts w:hint="eastAsia" w:ascii="宋体" w:hAnsi="宋体" w:eastAsia="宋体" w:cs="宋体"/>
                <w:b/>
                <w:bCs/>
                <w:sz w:val="16"/>
                <w:szCs w:val="16"/>
                <w:highlight w:val="none"/>
                <w:lang w:val="en-US" w:eastAsia="zh-CN"/>
              </w:rPr>
              <w:t>30分</w:t>
            </w:r>
            <w:r>
              <w:rPr>
                <w:rFonts w:hint="eastAsia" w:ascii="宋体" w:hAnsi="宋体" w:eastAsia="宋体" w:cs="宋体"/>
                <w:b/>
                <w:bCs/>
                <w:sz w:val="16"/>
                <w:szCs w:val="16"/>
                <w:highlight w:val="none"/>
                <w:lang w:eastAsia="zh-CN"/>
              </w:rPr>
              <w:t>）</w:t>
            </w:r>
          </w:p>
          <w:p>
            <w:pPr>
              <w:spacing w:line="220" w:lineRule="exact"/>
              <w:jc w:val="center"/>
              <w:rPr>
                <w:rFonts w:hint="eastAsia" w:ascii="宋体" w:hAnsi="宋体" w:eastAsia="宋体" w:cs="宋体"/>
                <w:sz w:val="16"/>
                <w:szCs w:val="16"/>
                <w:highlight w:val="none"/>
              </w:rPr>
            </w:pPr>
          </w:p>
        </w:tc>
        <w:tc>
          <w:tcPr>
            <w:tcW w:w="885" w:type="dxa"/>
            <w:noWrap/>
            <w:vAlign w:val="center"/>
          </w:tcPr>
          <w:p>
            <w:pPr>
              <w:spacing w:line="220" w:lineRule="exact"/>
              <w:jc w:val="center"/>
              <w:rPr>
                <w:rFonts w:hint="eastAsia" w:ascii="宋体" w:hAnsi="宋体" w:eastAsia="宋体" w:cs="宋体"/>
                <w:sz w:val="16"/>
                <w:szCs w:val="16"/>
                <w:highlight w:val="none"/>
                <w:lang w:eastAsia="zh-CN"/>
              </w:rPr>
            </w:pPr>
            <w:r>
              <w:rPr>
                <w:rFonts w:hint="eastAsia" w:ascii="宋体" w:hAnsi="宋体" w:eastAsia="宋体" w:cs="宋体"/>
                <w:sz w:val="16"/>
                <w:szCs w:val="16"/>
                <w:highlight w:val="none"/>
              </w:rPr>
              <w:t>类似业绩</w:t>
            </w:r>
            <w:r>
              <w:rPr>
                <w:rFonts w:hint="eastAsia" w:ascii="宋体" w:hAnsi="宋体" w:eastAsia="宋体" w:cs="宋体"/>
                <w:sz w:val="16"/>
                <w:szCs w:val="16"/>
                <w:highlight w:val="none"/>
                <w:lang w:eastAsia="zh-CN"/>
              </w:rPr>
              <w:t>（</w:t>
            </w:r>
            <w:r>
              <w:rPr>
                <w:rFonts w:hint="eastAsia" w:ascii="宋体" w:hAnsi="宋体" w:eastAsia="宋体" w:cs="宋体"/>
                <w:sz w:val="16"/>
                <w:szCs w:val="16"/>
                <w:highlight w:val="none"/>
                <w:lang w:val="en-US" w:eastAsia="zh-CN"/>
              </w:rPr>
              <w:t>30分</w:t>
            </w:r>
            <w:r>
              <w:rPr>
                <w:rFonts w:hint="eastAsia" w:ascii="宋体" w:hAnsi="宋体" w:eastAsia="宋体" w:cs="宋体"/>
                <w:sz w:val="16"/>
                <w:szCs w:val="16"/>
                <w:highlight w:val="none"/>
                <w:lang w:eastAsia="zh-CN"/>
              </w:rPr>
              <w:t>）</w:t>
            </w:r>
          </w:p>
        </w:tc>
        <w:tc>
          <w:tcPr>
            <w:tcW w:w="615" w:type="dxa"/>
            <w:noWrap/>
            <w:vAlign w:val="center"/>
          </w:tcPr>
          <w:p>
            <w:pPr>
              <w:spacing w:line="220" w:lineRule="exact"/>
              <w:jc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30</w:t>
            </w:r>
          </w:p>
        </w:tc>
        <w:tc>
          <w:tcPr>
            <w:tcW w:w="11658" w:type="dxa"/>
            <w:noWrap/>
            <w:vAlign w:val="center"/>
          </w:tcPr>
          <w:p>
            <w:pPr>
              <w:snapToGrid w:val="0"/>
              <w:spacing w:line="240" w:lineRule="exact"/>
              <w:rPr>
                <w:rFonts w:hint="eastAsia" w:ascii="宋体" w:hAnsi="宋体" w:eastAsia="宋体" w:cs="宋体"/>
                <w:sz w:val="16"/>
                <w:szCs w:val="16"/>
                <w:highlight w:val="none"/>
              </w:rPr>
            </w:pPr>
            <w:r>
              <w:rPr>
                <w:rFonts w:hint="eastAsia" w:ascii="宋体" w:hAnsi="宋体" w:eastAsia="宋体" w:cs="宋体"/>
                <w:sz w:val="16"/>
                <w:szCs w:val="16"/>
                <w:highlight w:val="none"/>
              </w:rPr>
              <w:t>投标人2019年1月1日至投标截止时间前，已完成过质量合格的类似工程业绩(类似工程业绩指工程造价大于或等于</w:t>
            </w:r>
            <w:r>
              <w:rPr>
                <w:rFonts w:hint="eastAsia" w:ascii="宋体" w:hAnsi="宋体" w:eastAsia="宋体" w:cs="宋体"/>
                <w:sz w:val="16"/>
                <w:szCs w:val="16"/>
                <w:highlight w:val="none"/>
                <w:lang w:val="en-US" w:eastAsia="zh-CN"/>
              </w:rPr>
              <w:t>700</w:t>
            </w:r>
            <w:r>
              <w:rPr>
                <w:rFonts w:hint="eastAsia" w:ascii="宋体" w:hAnsi="宋体" w:eastAsia="宋体" w:cs="宋体"/>
                <w:sz w:val="16"/>
                <w:szCs w:val="16"/>
                <w:highlight w:val="none"/>
              </w:rPr>
              <w:t>万元的园林绿化工程业绩)，每个</w:t>
            </w:r>
            <w:r>
              <w:rPr>
                <w:rFonts w:hint="eastAsia" w:ascii="宋体" w:hAnsi="宋体" w:eastAsia="宋体" w:cs="宋体"/>
                <w:sz w:val="16"/>
                <w:szCs w:val="16"/>
                <w:highlight w:val="none"/>
                <w:lang w:val="en-US" w:eastAsia="zh-CN"/>
              </w:rPr>
              <w:t>10</w:t>
            </w:r>
            <w:r>
              <w:rPr>
                <w:rFonts w:hint="eastAsia" w:ascii="宋体" w:hAnsi="宋体" w:eastAsia="宋体" w:cs="宋体"/>
                <w:sz w:val="16"/>
                <w:szCs w:val="16"/>
                <w:highlight w:val="none"/>
              </w:rPr>
              <w:t>分，最多30分。</w:t>
            </w:r>
          </w:p>
          <w:p>
            <w:pPr>
              <w:snapToGrid w:val="0"/>
              <w:spacing w:line="240" w:lineRule="exact"/>
              <w:rPr>
                <w:rFonts w:hint="eastAsia" w:ascii="宋体" w:hAnsi="宋体" w:eastAsia="宋体" w:cs="宋体"/>
                <w:sz w:val="16"/>
                <w:szCs w:val="16"/>
                <w:highlight w:val="none"/>
              </w:rPr>
            </w:pPr>
            <w:r>
              <w:rPr>
                <w:rFonts w:hint="eastAsia" w:ascii="宋体" w:hAnsi="宋体" w:eastAsia="宋体" w:cs="宋体"/>
                <w:b/>
                <w:bCs/>
                <w:sz w:val="16"/>
                <w:szCs w:val="16"/>
                <w:highlight w:val="none"/>
              </w:rPr>
              <w:t>注：（1）业绩取自广州公共资源交易中心城市园林绿化企业工程业绩库；（2）园林绿化工程业绩，需同时提供招标公告和中标候选人公示页的打印页、中标通知书或免招标证明、施工合同、竣工验收报告或竣工验收证明。如以上资料不能证明业绩规模的，提供可证明业绩指标的其他资料；（3）业绩金额以中标通知书为准，中标通知书没有金额的，以施工合同（不含补充合同）为准，完成时间以竣工验收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noWrap/>
            <w:vAlign w:val="center"/>
          </w:tcPr>
          <w:p>
            <w:pPr>
              <w:widowControl/>
              <w:spacing w:line="360" w:lineRule="exact"/>
              <w:jc w:val="center"/>
              <w:rPr>
                <w:rFonts w:hint="eastAsia" w:ascii="宋体" w:hAnsi="宋体" w:eastAsia="宋体" w:cs="宋体"/>
                <w:b/>
                <w:bCs/>
                <w:kern w:val="0"/>
                <w:sz w:val="16"/>
                <w:szCs w:val="16"/>
                <w:highlight w:val="none"/>
                <w:lang w:eastAsia="zh-CN"/>
              </w:rPr>
            </w:pPr>
            <w:r>
              <w:rPr>
                <w:rFonts w:hint="eastAsia" w:ascii="宋体" w:hAnsi="宋体" w:eastAsia="宋体" w:cs="宋体"/>
                <w:b/>
                <w:bCs/>
                <w:kern w:val="0"/>
                <w:sz w:val="16"/>
                <w:szCs w:val="16"/>
                <w:highlight w:val="none"/>
              </w:rPr>
              <w:t>四、其他评审内容</w:t>
            </w:r>
            <w:r>
              <w:rPr>
                <w:rFonts w:hint="eastAsia" w:ascii="宋体" w:hAnsi="宋体" w:eastAsia="宋体" w:cs="宋体"/>
                <w:b/>
                <w:bCs/>
                <w:kern w:val="0"/>
                <w:sz w:val="16"/>
                <w:szCs w:val="16"/>
                <w:highlight w:val="none"/>
                <w:lang w:eastAsia="zh-CN"/>
              </w:rPr>
              <w:t>（</w:t>
            </w:r>
            <w:r>
              <w:rPr>
                <w:rFonts w:hint="eastAsia" w:ascii="宋体" w:hAnsi="宋体" w:eastAsia="宋体" w:cs="宋体"/>
                <w:b/>
                <w:bCs/>
                <w:kern w:val="0"/>
                <w:sz w:val="16"/>
                <w:szCs w:val="16"/>
                <w:highlight w:val="none"/>
                <w:lang w:val="en-US" w:eastAsia="zh-CN"/>
              </w:rPr>
              <w:t>10分</w:t>
            </w:r>
            <w:r>
              <w:rPr>
                <w:rFonts w:hint="eastAsia" w:ascii="宋体" w:hAnsi="宋体" w:eastAsia="宋体" w:cs="宋体"/>
                <w:b/>
                <w:bCs/>
                <w:kern w:val="0"/>
                <w:sz w:val="16"/>
                <w:szCs w:val="16"/>
                <w:highlight w:val="none"/>
                <w:lang w:eastAsia="zh-CN"/>
              </w:rPr>
              <w:t>）</w:t>
            </w:r>
          </w:p>
          <w:p>
            <w:pPr>
              <w:spacing w:line="220" w:lineRule="exact"/>
              <w:jc w:val="center"/>
              <w:rPr>
                <w:rFonts w:hint="eastAsia" w:ascii="宋体" w:hAnsi="宋体" w:eastAsia="宋体" w:cs="宋体"/>
                <w:sz w:val="16"/>
                <w:szCs w:val="16"/>
                <w:highlight w:val="none"/>
              </w:rPr>
            </w:pPr>
          </w:p>
        </w:tc>
        <w:tc>
          <w:tcPr>
            <w:tcW w:w="885" w:type="dxa"/>
            <w:noWrap/>
            <w:vAlign w:val="center"/>
          </w:tcPr>
          <w:p>
            <w:pPr>
              <w:spacing w:line="22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其他评审内容</w:t>
            </w:r>
          </w:p>
          <w:p>
            <w:pPr>
              <w:spacing w:line="220" w:lineRule="exact"/>
              <w:jc w:val="center"/>
              <w:rPr>
                <w:rFonts w:hint="eastAsia" w:ascii="宋体" w:hAnsi="宋体" w:eastAsia="宋体" w:cs="宋体"/>
                <w:sz w:val="16"/>
                <w:szCs w:val="16"/>
                <w:highlight w:val="none"/>
                <w:lang w:eastAsia="zh-CN"/>
              </w:rPr>
            </w:pPr>
            <w:r>
              <w:rPr>
                <w:rFonts w:hint="eastAsia" w:ascii="宋体" w:hAnsi="宋体" w:eastAsia="宋体" w:cs="宋体"/>
                <w:sz w:val="16"/>
                <w:szCs w:val="16"/>
                <w:highlight w:val="none"/>
                <w:lang w:eastAsia="zh-CN"/>
              </w:rPr>
              <w:t>（</w:t>
            </w:r>
            <w:r>
              <w:rPr>
                <w:rFonts w:hint="eastAsia" w:ascii="宋体" w:hAnsi="宋体" w:eastAsia="宋体" w:cs="宋体"/>
                <w:sz w:val="16"/>
                <w:szCs w:val="16"/>
                <w:highlight w:val="none"/>
                <w:lang w:val="en-US" w:eastAsia="zh-CN"/>
              </w:rPr>
              <w:t>10分</w:t>
            </w:r>
            <w:r>
              <w:rPr>
                <w:rFonts w:hint="eastAsia" w:ascii="宋体" w:hAnsi="宋体" w:eastAsia="宋体" w:cs="宋体"/>
                <w:sz w:val="16"/>
                <w:szCs w:val="16"/>
                <w:highlight w:val="none"/>
                <w:lang w:eastAsia="zh-CN"/>
              </w:rPr>
              <w:t>）</w:t>
            </w:r>
          </w:p>
        </w:tc>
        <w:tc>
          <w:tcPr>
            <w:tcW w:w="615" w:type="dxa"/>
            <w:noWrap/>
            <w:vAlign w:val="center"/>
          </w:tcPr>
          <w:p>
            <w:pPr>
              <w:spacing w:line="22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10</w:t>
            </w:r>
          </w:p>
        </w:tc>
        <w:tc>
          <w:tcPr>
            <w:tcW w:w="11658" w:type="dxa"/>
            <w:noWrap/>
            <w:vAlign w:val="center"/>
          </w:tcPr>
          <w:p>
            <w:pPr>
              <w:snapToGrid w:val="0"/>
              <w:spacing w:line="240" w:lineRule="exact"/>
              <w:rPr>
                <w:rFonts w:hint="eastAsia" w:ascii="宋体" w:hAnsi="宋体" w:eastAsia="宋体" w:cs="宋体"/>
                <w:sz w:val="16"/>
                <w:szCs w:val="16"/>
                <w:highlight w:val="none"/>
              </w:rPr>
            </w:pPr>
            <w:r>
              <w:rPr>
                <w:rFonts w:hint="eastAsia" w:ascii="宋体" w:hAnsi="宋体" w:eastAsia="宋体" w:cs="宋体"/>
                <w:sz w:val="16"/>
                <w:szCs w:val="16"/>
                <w:highlight w:val="none"/>
              </w:rPr>
              <w:t>企业近三年（20</w:t>
            </w:r>
            <w:r>
              <w:rPr>
                <w:rFonts w:hint="eastAsia" w:ascii="宋体" w:hAnsi="宋体" w:eastAsia="宋体" w:cs="宋体"/>
                <w:sz w:val="16"/>
                <w:szCs w:val="16"/>
                <w:highlight w:val="none"/>
                <w:lang w:val="en-US" w:eastAsia="zh-CN"/>
              </w:rPr>
              <w:t>21</w:t>
            </w:r>
            <w:r>
              <w:rPr>
                <w:rFonts w:hint="eastAsia" w:ascii="宋体" w:hAnsi="宋体" w:eastAsia="宋体" w:cs="宋体"/>
                <w:sz w:val="16"/>
                <w:szCs w:val="16"/>
                <w:highlight w:val="none"/>
              </w:rPr>
              <w:t>年、20</w:t>
            </w:r>
            <w:r>
              <w:rPr>
                <w:rFonts w:hint="eastAsia" w:ascii="宋体" w:hAnsi="宋体" w:eastAsia="宋体" w:cs="宋体"/>
                <w:sz w:val="16"/>
                <w:szCs w:val="16"/>
                <w:highlight w:val="none"/>
                <w:lang w:val="en-US" w:eastAsia="zh-CN"/>
              </w:rPr>
              <w:t>20</w:t>
            </w:r>
            <w:r>
              <w:rPr>
                <w:rFonts w:hint="eastAsia" w:ascii="宋体" w:hAnsi="宋体" w:eastAsia="宋体" w:cs="宋体"/>
                <w:sz w:val="16"/>
                <w:szCs w:val="16"/>
                <w:highlight w:val="none"/>
              </w:rPr>
              <w:t>年、20</w:t>
            </w:r>
            <w:r>
              <w:rPr>
                <w:rFonts w:hint="eastAsia" w:ascii="宋体" w:hAnsi="宋体" w:eastAsia="宋体" w:cs="宋体"/>
                <w:sz w:val="16"/>
                <w:szCs w:val="16"/>
                <w:highlight w:val="none"/>
                <w:lang w:val="en-US" w:eastAsia="zh-CN"/>
              </w:rPr>
              <w:t>19</w:t>
            </w:r>
            <w:r>
              <w:rPr>
                <w:rFonts w:hint="eastAsia" w:ascii="宋体" w:hAnsi="宋体" w:eastAsia="宋体" w:cs="宋体"/>
                <w:sz w:val="16"/>
                <w:szCs w:val="16"/>
                <w:highlight w:val="none"/>
              </w:rPr>
              <w:t>年）年度经营状况：连续三年(</w:t>
            </w:r>
            <w:r>
              <w:rPr>
                <w:rFonts w:hint="eastAsia" w:ascii="宋体" w:hAnsi="宋体" w:eastAsia="宋体" w:cs="宋体"/>
                <w:sz w:val="16"/>
                <w:szCs w:val="16"/>
                <w:highlight w:val="none"/>
                <w:lang w:val="en-US" w:eastAsia="zh-CN"/>
              </w:rPr>
              <w:t>2019-2021</w:t>
            </w:r>
            <w:r>
              <w:rPr>
                <w:rFonts w:hint="eastAsia" w:ascii="宋体" w:hAnsi="宋体" w:eastAsia="宋体" w:cs="宋体"/>
                <w:sz w:val="16"/>
                <w:szCs w:val="16"/>
                <w:highlight w:val="none"/>
              </w:rPr>
              <w:t>年度)盈利的，得10分；连续两年(</w:t>
            </w:r>
            <w:r>
              <w:rPr>
                <w:rFonts w:hint="eastAsia" w:ascii="宋体" w:hAnsi="宋体" w:eastAsia="宋体" w:cs="宋体"/>
                <w:sz w:val="16"/>
                <w:szCs w:val="16"/>
                <w:highlight w:val="none"/>
                <w:lang w:val="en-US" w:eastAsia="zh-CN"/>
              </w:rPr>
              <w:t>2020-2021</w:t>
            </w:r>
            <w:r>
              <w:rPr>
                <w:rFonts w:hint="eastAsia" w:ascii="宋体" w:hAnsi="宋体" w:eastAsia="宋体" w:cs="宋体"/>
                <w:sz w:val="16"/>
                <w:szCs w:val="16"/>
                <w:highlight w:val="none"/>
              </w:rPr>
              <w:t>年度)盈利的，得6分；</w:t>
            </w:r>
            <w:r>
              <w:rPr>
                <w:rFonts w:hint="eastAsia" w:ascii="宋体" w:hAnsi="宋体" w:eastAsia="宋体" w:cs="宋体"/>
                <w:sz w:val="16"/>
                <w:szCs w:val="16"/>
                <w:highlight w:val="none"/>
                <w:lang w:val="en-US" w:eastAsia="zh-CN"/>
              </w:rPr>
              <w:t>2021</w:t>
            </w:r>
            <w:r>
              <w:rPr>
                <w:rFonts w:hint="eastAsia" w:ascii="宋体" w:hAnsi="宋体" w:eastAsia="宋体" w:cs="宋体"/>
                <w:sz w:val="16"/>
                <w:szCs w:val="16"/>
                <w:highlight w:val="none"/>
              </w:rPr>
              <w:t>年度盈利的，得2分。</w:t>
            </w:r>
          </w:p>
          <w:p>
            <w:pPr>
              <w:snapToGrid w:val="0"/>
              <w:spacing w:line="240" w:lineRule="exact"/>
              <w:rPr>
                <w:rFonts w:hint="eastAsia" w:ascii="宋体" w:hAnsi="宋体" w:eastAsia="宋体" w:cs="宋体"/>
                <w:sz w:val="16"/>
                <w:szCs w:val="16"/>
                <w:highlight w:val="none"/>
              </w:rPr>
            </w:pPr>
            <w:r>
              <w:rPr>
                <w:rFonts w:hint="eastAsia" w:ascii="宋体" w:hAnsi="宋体" w:eastAsia="宋体" w:cs="宋体"/>
                <w:b/>
                <w:bCs/>
                <w:sz w:val="16"/>
                <w:szCs w:val="16"/>
                <w:highlight w:val="none"/>
              </w:rPr>
              <w:t>注：须提供20</w:t>
            </w:r>
            <w:r>
              <w:rPr>
                <w:rFonts w:hint="eastAsia" w:ascii="宋体" w:hAnsi="宋体" w:eastAsia="宋体" w:cs="宋体"/>
                <w:b/>
                <w:bCs/>
                <w:sz w:val="16"/>
                <w:szCs w:val="16"/>
                <w:highlight w:val="none"/>
                <w:lang w:val="en-US" w:eastAsia="zh-CN"/>
              </w:rPr>
              <w:t>19</w:t>
            </w:r>
            <w:r>
              <w:rPr>
                <w:rFonts w:hint="eastAsia" w:ascii="宋体" w:hAnsi="宋体" w:eastAsia="宋体" w:cs="宋体"/>
                <w:b/>
                <w:bCs/>
                <w:sz w:val="16"/>
                <w:szCs w:val="16"/>
                <w:highlight w:val="none"/>
              </w:rPr>
              <w:t>-20</w:t>
            </w:r>
            <w:r>
              <w:rPr>
                <w:rFonts w:hint="eastAsia" w:ascii="宋体" w:hAnsi="宋体" w:eastAsia="宋体" w:cs="宋体"/>
                <w:b/>
                <w:bCs/>
                <w:sz w:val="16"/>
                <w:szCs w:val="16"/>
                <w:highlight w:val="none"/>
                <w:lang w:val="en-US" w:eastAsia="zh-CN"/>
              </w:rPr>
              <w:t>21</w:t>
            </w:r>
            <w:r>
              <w:rPr>
                <w:rFonts w:hint="eastAsia" w:ascii="宋体" w:hAnsi="宋体" w:eastAsia="宋体" w:cs="宋体"/>
                <w:b/>
                <w:bCs/>
                <w:sz w:val="16"/>
                <w:szCs w:val="16"/>
                <w:highlight w:val="none"/>
              </w:rPr>
              <w:t>年度经会计师事务所出具的年度审计报告</w:t>
            </w:r>
            <w:r>
              <w:rPr>
                <w:rFonts w:hint="eastAsia" w:ascii="宋体" w:hAnsi="宋体" w:eastAsia="宋体" w:cs="宋体"/>
                <w:b/>
                <w:bCs/>
                <w:sz w:val="16"/>
                <w:szCs w:val="16"/>
                <w:highlight w:val="none"/>
                <w:lang w:val="en-US" w:eastAsia="zh-CN"/>
              </w:rPr>
              <w:t>原件</w:t>
            </w:r>
            <w:r>
              <w:rPr>
                <w:rFonts w:hint="eastAsia" w:ascii="宋体" w:hAnsi="宋体" w:eastAsia="宋体" w:cs="宋体"/>
                <w:b/>
                <w:bCs/>
                <w:sz w:val="16"/>
                <w:szCs w:val="16"/>
                <w:highlight w:val="none"/>
              </w:rPr>
              <w:t>扫描件（包括资产负债表、利润表、现金流量表等，财务报表附注可不提供）。如年度审计报告未经会计事务所审计或不符合上述情况的，则以0分计；此项得分最高为10分。</w:t>
            </w:r>
          </w:p>
        </w:tc>
      </w:tr>
    </w:tbl>
    <w:p>
      <w:pPr>
        <w:outlineLvl w:val="2"/>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附件14（适用于办法二）</w:t>
      </w:r>
      <w:bookmarkEnd w:id="186"/>
    </w:p>
    <w:p>
      <w:pPr>
        <w:rPr>
          <w:rFonts w:hint="eastAsia" w:ascii="宋体" w:hAnsi="宋体" w:eastAsia="宋体" w:cs="宋体"/>
          <w:strike w:val="0"/>
          <w:dstrike w:val="0"/>
          <w:sz w:val="24"/>
          <w:szCs w:val="24"/>
          <w:highlight w:val="none"/>
        </w:rPr>
      </w:pPr>
    </w:p>
    <w:p>
      <w:pPr>
        <w:jc w:val="center"/>
        <w:rPr>
          <w:rFonts w:hint="eastAsia" w:ascii="宋体" w:hAnsi="宋体" w:eastAsia="宋体" w:cs="宋体"/>
          <w:b/>
          <w:strike w:val="0"/>
          <w:dstrike w:val="0"/>
          <w:sz w:val="36"/>
          <w:szCs w:val="36"/>
          <w:highlight w:val="none"/>
        </w:rPr>
      </w:pPr>
      <w:r>
        <w:rPr>
          <w:rFonts w:hint="eastAsia" w:ascii="宋体" w:hAnsi="宋体" w:eastAsia="宋体" w:cs="宋体"/>
          <w:b/>
          <w:strike w:val="0"/>
          <w:dstrike w:val="0"/>
          <w:sz w:val="36"/>
          <w:szCs w:val="36"/>
          <w:highlight w:val="none"/>
        </w:rPr>
        <w:t>投标报价评分表</w:t>
      </w:r>
    </w:p>
    <w:p>
      <w:pP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工程名称：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投标报价PT（元）</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计算评标参考价的下浮率X%</w:t>
            </w:r>
          </w:p>
        </w:tc>
        <w:tc>
          <w:tcPr>
            <w:tcW w:w="12577"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偏差（（PT-PC）/PC）（%）</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减分（A）</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trike w:val="0"/>
                <w:dstrike w:val="0"/>
                <w:szCs w:val="21"/>
                <w:highlight w:val="none"/>
              </w:rPr>
            </w:pPr>
            <w:r>
              <w:rPr>
                <w:rFonts w:hint="eastAsia" w:ascii="宋体" w:hAnsi="宋体" w:eastAsia="宋体" w:cs="宋体"/>
                <w:strike w:val="0"/>
                <w:dstrike w:val="0"/>
                <w:szCs w:val="21"/>
                <w:highlight w:val="none"/>
              </w:rPr>
              <w:t>得分(I=100-A)</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trike w:val="0"/>
                <w:dstrike w:val="0"/>
                <w:szCs w:val="21"/>
                <w:highlight w:val="none"/>
              </w:rPr>
            </w:pPr>
          </w:p>
        </w:tc>
      </w:tr>
    </w:tbl>
    <w:p>
      <w:pPr>
        <w:ind w:left="-199" w:leftChars="-95" w:right="-827" w:rightChars="-394"/>
        <w:jc w:val="left"/>
        <w:rPr>
          <w:rFonts w:hint="eastAsia" w:ascii="宋体" w:hAnsi="宋体" w:eastAsia="宋体" w:cs="宋体"/>
          <w:b/>
          <w:strike w:val="0"/>
          <w:dstrike w:val="0"/>
          <w:kern w:val="0"/>
          <w:sz w:val="24"/>
          <w:szCs w:val="24"/>
          <w:highlight w:val="none"/>
        </w:rPr>
      </w:pPr>
      <w:r>
        <w:rPr>
          <w:rFonts w:hint="eastAsia" w:ascii="宋体" w:hAnsi="宋体" w:eastAsia="宋体" w:cs="宋体"/>
          <w:b/>
          <w:strike w:val="0"/>
          <w:dstrike w:val="0"/>
          <w:kern w:val="0"/>
          <w:sz w:val="24"/>
          <w:szCs w:val="24"/>
          <w:highlight w:val="none"/>
        </w:rPr>
        <w:t>评委签名：</w:t>
      </w:r>
    </w:p>
    <w:p>
      <w:pPr>
        <w:rPr>
          <w:rFonts w:hint="eastAsia" w:ascii="宋体" w:hAnsi="宋体" w:eastAsia="宋体" w:cs="宋体"/>
          <w:b/>
          <w:strike w:val="0"/>
          <w:dstrike w:val="0"/>
          <w:sz w:val="24"/>
          <w:highlight w:val="none"/>
        </w:rPr>
      </w:pPr>
    </w:p>
    <w:p>
      <w:pPr>
        <w:widowControl/>
        <w:jc w:val="left"/>
        <w:rPr>
          <w:rFonts w:hint="eastAsia" w:ascii="宋体" w:hAnsi="宋体" w:eastAsia="宋体" w:cs="宋体"/>
          <w:strike w:val="0"/>
          <w:dstrike w:val="0"/>
          <w:szCs w:val="21"/>
          <w:highlight w:val="none"/>
        </w:rPr>
        <w:sectPr>
          <w:endnotePr>
            <w:numFmt w:val="decimal"/>
          </w:endnotePr>
          <w:pgSz w:w="16783" w:h="11850" w:orient="landscape"/>
          <w:pgMar w:top="567" w:right="1616" w:bottom="567" w:left="1293" w:header="851" w:footer="907" w:gutter="567"/>
          <w:pgNumType w:fmt="decimal"/>
          <w:cols w:space="720" w:num="1"/>
        </w:sectPr>
      </w:pPr>
    </w:p>
    <w:p>
      <w:pPr>
        <w:outlineLvl w:val="2"/>
        <w:rPr>
          <w:rFonts w:hint="eastAsia" w:ascii="宋体" w:hAnsi="宋体" w:eastAsia="宋体" w:cs="宋体"/>
          <w:strike/>
          <w:dstrike w:val="0"/>
          <w:sz w:val="24"/>
          <w:szCs w:val="24"/>
          <w:highlight w:val="none"/>
        </w:rPr>
      </w:pPr>
      <w:bookmarkStart w:id="187" w:name="_第三章__合同条款"/>
      <w:bookmarkEnd w:id="187"/>
      <w:bookmarkStart w:id="188" w:name="_Toc14657"/>
      <w:bookmarkStart w:id="189" w:name="_Toc12342"/>
      <w:bookmarkStart w:id="190" w:name="_Toc5739"/>
      <w:bookmarkStart w:id="191" w:name="_Toc14247"/>
      <w:bookmarkStart w:id="192" w:name="_Toc16566"/>
      <w:bookmarkStart w:id="193" w:name="_Toc262229174"/>
      <w:r>
        <w:rPr>
          <w:rFonts w:hint="eastAsia" w:ascii="宋体" w:hAnsi="宋体" w:eastAsia="宋体" w:cs="宋体"/>
          <w:strike/>
          <w:dstrike w:val="0"/>
          <w:sz w:val="24"/>
          <w:szCs w:val="24"/>
          <w:highlight w:val="none"/>
        </w:rPr>
        <w:t>附件15 定标委员会组建办法及定标方法</w:t>
      </w:r>
      <w:bookmarkEnd w:id="188"/>
      <w:bookmarkEnd w:id="189"/>
      <w:bookmarkEnd w:id="190"/>
      <w:bookmarkEnd w:id="191"/>
    </w:p>
    <w:p>
      <w:pPr>
        <w:rPr>
          <w:rFonts w:hint="eastAsia" w:ascii="宋体" w:hAnsi="宋体" w:eastAsia="宋体" w:cs="宋体"/>
          <w:strike/>
          <w:dstrike w:val="0"/>
          <w:sz w:val="24"/>
          <w:szCs w:val="24"/>
          <w:highlight w:val="none"/>
        </w:rPr>
      </w:pPr>
    </w:p>
    <w:p>
      <w:pPr>
        <w:jc w:val="center"/>
        <w:rPr>
          <w:rFonts w:hint="eastAsia" w:ascii="宋体" w:hAnsi="宋体" w:eastAsia="宋体" w:cs="宋体"/>
          <w:b/>
          <w:bCs/>
          <w:strike/>
          <w:dstrike w:val="0"/>
          <w:sz w:val="36"/>
          <w:szCs w:val="36"/>
          <w:highlight w:val="none"/>
        </w:rPr>
      </w:pPr>
    </w:p>
    <w:p>
      <w:pPr>
        <w:jc w:val="center"/>
        <w:rPr>
          <w:rFonts w:hint="eastAsia" w:ascii="宋体" w:hAnsi="宋体" w:eastAsia="宋体" w:cs="宋体"/>
          <w:b/>
          <w:bCs/>
          <w:strike/>
          <w:dstrike w:val="0"/>
          <w:sz w:val="36"/>
          <w:szCs w:val="36"/>
          <w:highlight w:val="none"/>
        </w:rPr>
      </w:pPr>
      <w:r>
        <w:rPr>
          <w:rFonts w:hint="eastAsia" w:ascii="宋体" w:hAnsi="宋体" w:eastAsia="宋体" w:cs="宋体"/>
          <w:b/>
          <w:bCs/>
          <w:strike/>
          <w:dstrike w:val="0"/>
          <w:sz w:val="36"/>
          <w:szCs w:val="36"/>
          <w:highlight w:val="none"/>
        </w:rPr>
        <w:t>定标委员会组建办法及定标办法</w:t>
      </w:r>
    </w:p>
    <w:p>
      <w:pPr>
        <w:jc w:val="left"/>
        <w:rPr>
          <w:rFonts w:hint="eastAsia" w:ascii="宋体" w:hAnsi="宋体" w:eastAsia="宋体" w:cs="宋体"/>
          <w:strike/>
          <w:dstrike w:val="0"/>
          <w:szCs w:val="21"/>
          <w:highlight w:val="none"/>
        </w:rPr>
      </w:pPr>
    </w:p>
    <w:p>
      <w:pPr>
        <w:jc w:val="left"/>
        <w:rPr>
          <w:rFonts w:hint="eastAsia" w:ascii="宋体" w:hAnsi="宋体" w:eastAsia="宋体" w:cs="宋体"/>
          <w:strike/>
          <w:dstrike w:val="0"/>
          <w:highlight w:val="none"/>
        </w:rPr>
      </w:pPr>
      <w:r>
        <w:rPr>
          <w:rFonts w:hint="eastAsia" w:ascii="宋体" w:hAnsi="宋体" w:eastAsia="宋体" w:cs="宋体"/>
          <w:strike/>
          <w:dstrike w:val="0"/>
          <w:sz w:val="24"/>
          <w:szCs w:val="24"/>
          <w:highlight w:val="none"/>
        </w:rPr>
        <w:t>注：本项由招标人自行制定。</w:t>
      </w:r>
    </w:p>
    <w:p>
      <w:pPr>
        <w:pStyle w:val="12"/>
        <w:rPr>
          <w:rFonts w:hint="eastAsia" w:ascii="宋体" w:hAnsi="宋体" w:eastAsia="宋体" w:cs="宋体"/>
          <w:strike/>
          <w:dstrike w:val="0"/>
          <w:highlight w:val="none"/>
        </w:rPr>
      </w:pPr>
    </w:p>
    <w:p>
      <w:pPr>
        <w:spacing w:line="360" w:lineRule="auto"/>
        <w:jc w:val="left"/>
        <w:rPr>
          <w:rFonts w:hint="eastAsia" w:ascii="宋体" w:hAnsi="宋体" w:eastAsia="宋体" w:cs="宋体"/>
          <w:strike/>
          <w:dstrike w:val="0"/>
          <w:sz w:val="24"/>
          <w:szCs w:val="24"/>
          <w:highlight w:val="none"/>
        </w:rPr>
      </w:pPr>
      <w:r>
        <w:rPr>
          <w:rFonts w:hint="eastAsia" w:ascii="宋体" w:hAnsi="宋体" w:eastAsia="宋体" w:cs="宋体"/>
          <w:strike/>
          <w:dstrike w:val="0"/>
          <w:sz w:val="24"/>
          <w:szCs w:val="24"/>
          <w:highlight w:val="none"/>
        </w:rPr>
        <w:t>定标办法设置说明：</w:t>
      </w:r>
    </w:p>
    <w:p>
      <w:pPr>
        <w:pStyle w:val="12"/>
        <w:spacing w:line="360" w:lineRule="auto"/>
        <w:ind w:firstLine="480" w:firstLineChars="200"/>
        <w:rPr>
          <w:rFonts w:hint="eastAsia" w:ascii="宋体" w:hAnsi="宋体" w:eastAsia="宋体" w:cs="宋体"/>
          <w:strike/>
          <w:dstrike w:val="0"/>
          <w:highlight w:val="none"/>
        </w:rPr>
      </w:pPr>
      <w:r>
        <w:rPr>
          <w:rFonts w:hint="eastAsia" w:ascii="宋体" w:hAnsi="宋体" w:eastAsia="宋体" w:cs="宋体"/>
          <w:strike/>
          <w:dstrike w:val="0"/>
          <w:highlight w:val="none"/>
        </w:rPr>
        <w:t>一、招标公告发布前，招标人应当根据招标项目特点，事先制定科学、合理的定标委员会组建及定标办法，并在招标文件中详细载明。定标时必须严格遵守定标办法，不得临时改变。</w:t>
      </w:r>
    </w:p>
    <w:p>
      <w:pPr>
        <w:pStyle w:val="12"/>
        <w:spacing w:line="360" w:lineRule="auto"/>
        <w:ind w:firstLine="480" w:firstLineChars="200"/>
        <w:rPr>
          <w:rFonts w:hint="eastAsia" w:ascii="宋体" w:hAnsi="宋体" w:eastAsia="宋体" w:cs="宋体"/>
          <w:strike/>
          <w:dstrike w:val="0"/>
          <w:highlight w:val="none"/>
        </w:rPr>
      </w:pPr>
      <w:r>
        <w:rPr>
          <w:rFonts w:hint="eastAsia" w:ascii="宋体" w:hAnsi="宋体" w:eastAsia="宋体" w:cs="宋体"/>
          <w:strike/>
          <w:dstrike w:val="0"/>
          <w:highlight w:val="none"/>
        </w:rPr>
        <w:t>二、定标办法应当对定标因素、定标程序等内容予以明确。可采用价格优势排名、票决、抽签、集体议事决策等办法。</w:t>
      </w:r>
    </w:p>
    <w:p>
      <w:pPr>
        <w:pStyle w:val="12"/>
        <w:spacing w:line="360" w:lineRule="auto"/>
        <w:ind w:firstLine="480" w:firstLineChars="200"/>
        <w:rPr>
          <w:rFonts w:hint="eastAsia" w:ascii="宋体" w:hAnsi="宋体" w:eastAsia="宋体" w:cs="宋体"/>
          <w:strike/>
          <w:dstrike w:val="0"/>
          <w:highlight w:val="none"/>
        </w:rPr>
      </w:pPr>
      <w:r>
        <w:rPr>
          <w:rFonts w:hint="eastAsia" w:ascii="宋体" w:hAnsi="宋体" w:eastAsia="宋体" w:cs="宋体"/>
          <w:strike/>
          <w:dstrike w:val="0"/>
          <w:highlight w:val="none"/>
        </w:rPr>
        <w:t>定标委员会成员原则上从招标人、项目业主或者使用单位的领导班子成员、经营管理人员中产生，成员数量为3人以上单数。</w:t>
      </w:r>
    </w:p>
    <w:p>
      <w:pPr>
        <w:pStyle w:val="12"/>
        <w:spacing w:line="360" w:lineRule="auto"/>
        <w:ind w:firstLine="480" w:firstLineChars="200"/>
        <w:rPr>
          <w:rFonts w:hint="eastAsia" w:ascii="宋体" w:hAnsi="宋体" w:eastAsia="宋体" w:cs="宋体"/>
          <w:strike/>
          <w:dstrike w:val="0"/>
          <w:highlight w:val="none"/>
        </w:rPr>
      </w:pPr>
      <w:r>
        <w:rPr>
          <w:rFonts w:hint="eastAsia" w:ascii="宋体" w:hAnsi="宋体" w:eastAsia="宋体" w:cs="宋体"/>
          <w:strike/>
          <w:dstrike w:val="0"/>
          <w:highlight w:val="none"/>
        </w:rPr>
        <w:t>评标结束后，评标过程中使用的文件、表格及其他纸质资料由招标人收齐并妥善保管。招标人应当自中标候选人公示结束后5个工作日内进入交易中心召开定标会。定标过程应当公开、公平、公正，定标委员会按有关规定及招标文件约定的定标办法确定中标人。</w:t>
      </w:r>
    </w:p>
    <w:p>
      <w:pPr>
        <w:pStyle w:val="12"/>
        <w:spacing w:line="360" w:lineRule="auto"/>
        <w:ind w:firstLine="480" w:firstLineChars="200"/>
        <w:rPr>
          <w:rFonts w:hint="eastAsia" w:ascii="宋体" w:hAnsi="宋体" w:eastAsia="宋体" w:cs="宋体"/>
          <w:strike/>
          <w:dstrike w:val="0"/>
          <w:highlight w:val="none"/>
        </w:rPr>
      </w:pPr>
      <w:r>
        <w:rPr>
          <w:rFonts w:hint="eastAsia" w:ascii="宋体" w:hAnsi="宋体" w:eastAsia="宋体" w:cs="宋体"/>
          <w:strike/>
          <w:dstrike w:val="0"/>
          <w:highlight w:val="none"/>
        </w:rPr>
        <w:t>三、招标人应当对定标过程进行记录，并存档备查。</w:t>
      </w:r>
    </w:p>
    <w:p>
      <w:pPr>
        <w:pStyle w:val="9"/>
        <w:rPr>
          <w:rFonts w:hint="eastAsia" w:ascii="宋体" w:hAnsi="宋体" w:eastAsia="宋体" w:cs="宋体"/>
          <w:strike/>
          <w:dstrike w:val="0"/>
          <w:highlight w:val="none"/>
        </w:rPr>
      </w:pPr>
    </w:p>
    <w:p>
      <w:pPr>
        <w:pStyle w:val="9"/>
        <w:rPr>
          <w:rFonts w:hint="eastAsia" w:ascii="宋体" w:hAnsi="宋体" w:eastAsia="宋体" w:cs="宋体"/>
          <w:strike/>
          <w:dstrike w:val="0"/>
          <w:highlight w:val="none"/>
        </w:rPr>
      </w:pPr>
    </w:p>
    <w:p>
      <w:pPr>
        <w:pStyle w:val="9"/>
        <w:rPr>
          <w:rFonts w:hint="eastAsia" w:ascii="宋体" w:hAnsi="宋体" w:eastAsia="宋体" w:cs="宋体"/>
          <w:strike/>
          <w:dstrike w:val="0"/>
          <w:highlight w:val="none"/>
        </w:rPr>
      </w:pPr>
    </w:p>
    <w:p>
      <w:pPr>
        <w:pStyle w:val="9"/>
        <w:rPr>
          <w:rFonts w:hint="eastAsia" w:ascii="宋体" w:hAnsi="宋体" w:eastAsia="宋体" w:cs="宋体"/>
          <w:strike/>
          <w:dstrike w:val="0"/>
          <w:highlight w:val="none"/>
        </w:rPr>
      </w:pPr>
    </w:p>
    <w:p>
      <w:pPr>
        <w:pStyle w:val="9"/>
        <w:rPr>
          <w:rFonts w:hint="eastAsia" w:ascii="宋体" w:hAnsi="宋体" w:eastAsia="宋体" w:cs="宋体"/>
          <w:strike/>
          <w:dstrike w:val="0"/>
          <w:highlight w:val="none"/>
        </w:rPr>
      </w:pPr>
    </w:p>
    <w:p>
      <w:pPr>
        <w:pStyle w:val="9"/>
        <w:rPr>
          <w:rFonts w:hint="eastAsia" w:ascii="宋体" w:hAnsi="宋体" w:eastAsia="宋体" w:cs="宋体"/>
          <w:strike/>
          <w:dstrike w:val="0"/>
          <w:highlight w:val="none"/>
        </w:rPr>
      </w:pPr>
    </w:p>
    <w:p>
      <w:pPr>
        <w:pStyle w:val="9"/>
        <w:rPr>
          <w:rFonts w:hint="eastAsia" w:ascii="宋体" w:hAnsi="宋体" w:eastAsia="宋体" w:cs="宋体"/>
          <w:strike/>
          <w:dstrike w:val="0"/>
          <w:highlight w:val="none"/>
        </w:rPr>
      </w:pPr>
    </w:p>
    <w:p>
      <w:pPr>
        <w:pStyle w:val="9"/>
        <w:rPr>
          <w:rFonts w:hint="eastAsia" w:ascii="宋体" w:hAnsi="宋体" w:eastAsia="宋体" w:cs="宋体"/>
          <w:highlight w:val="none"/>
        </w:rPr>
      </w:pPr>
    </w:p>
    <w:p>
      <w:pPr>
        <w:pStyle w:val="9"/>
        <w:rPr>
          <w:rFonts w:hint="eastAsia" w:ascii="宋体" w:hAnsi="宋体" w:eastAsia="宋体" w:cs="宋体"/>
          <w:highlight w:val="none"/>
        </w:rPr>
      </w:pPr>
    </w:p>
    <w:p>
      <w:pPr>
        <w:pStyle w:val="9"/>
        <w:rPr>
          <w:rFonts w:hint="eastAsia" w:ascii="宋体" w:hAnsi="宋体" w:eastAsia="宋体" w:cs="宋体"/>
          <w:highlight w:val="none"/>
        </w:rPr>
      </w:pPr>
    </w:p>
    <w:p>
      <w:pPr>
        <w:pStyle w:val="9"/>
        <w:rPr>
          <w:rFonts w:hint="eastAsia" w:ascii="宋体" w:hAnsi="宋体" w:eastAsia="宋体" w:cs="宋体"/>
          <w:highlight w:val="none"/>
        </w:rPr>
      </w:pPr>
    </w:p>
    <w:p>
      <w:pPr>
        <w:pStyle w:val="9"/>
        <w:rPr>
          <w:rFonts w:hint="eastAsia" w:ascii="宋体" w:hAnsi="宋体" w:eastAsia="宋体" w:cs="宋体"/>
          <w:highlight w:val="none"/>
        </w:rPr>
      </w:pPr>
    </w:p>
    <w:p>
      <w:pPr>
        <w:pStyle w:val="9"/>
        <w:rPr>
          <w:rFonts w:hint="eastAsia" w:ascii="宋体" w:hAnsi="宋体" w:eastAsia="宋体" w:cs="宋体"/>
          <w:highlight w:val="none"/>
        </w:rPr>
      </w:pPr>
    </w:p>
    <w:bookmarkEnd w:id="192"/>
    <w:bookmarkEnd w:id="193"/>
    <w:p>
      <w:pPr>
        <w:pStyle w:val="3"/>
        <w:rPr>
          <w:rFonts w:hint="eastAsia" w:ascii="宋体" w:hAnsi="宋体" w:eastAsia="宋体" w:cs="宋体"/>
          <w:highlight w:val="none"/>
        </w:rPr>
      </w:pPr>
      <w:bookmarkStart w:id="194" w:name="_Toc21721"/>
      <w:bookmarkStart w:id="195" w:name="_Toc2939"/>
      <w:bookmarkStart w:id="196" w:name="_Toc8475"/>
      <w:bookmarkStart w:id="197" w:name="_Toc12568"/>
      <w:bookmarkStart w:id="198" w:name="_Toc22595"/>
      <w:bookmarkStart w:id="199" w:name="_Toc17798"/>
      <w:bookmarkStart w:id="200" w:name="_Toc27406"/>
      <w:r>
        <w:rPr>
          <w:rFonts w:hint="eastAsia" w:ascii="宋体" w:hAnsi="宋体" w:eastAsia="宋体" w:cs="宋体"/>
          <w:highlight w:val="none"/>
        </w:rPr>
        <w:t>第三章  合同条款</w:t>
      </w:r>
      <w:bookmarkEnd w:id="194"/>
      <w:bookmarkEnd w:id="195"/>
      <w:bookmarkEnd w:id="196"/>
      <w:bookmarkEnd w:id="197"/>
      <w:bookmarkEnd w:id="198"/>
      <w:bookmarkEnd w:id="199"/>
      <w:bookmarkEnd w:id="200"/>
    </w:p>
    <w:p>
      <w:pPr>
        <w:pStyle w:val="9"/>
        <w:spacing w:line="360" w:lineRule="auto"/>
        <w:ind w:firstLine="0"/>
        <w:jc w:val="center"/>
        <w:rPr>
          <w:rFonts w:hint="eastAsia" w:ascii="宋体" w:hAnsi="宋体" w:eastAsia="宋体" w:cs="宋体"/>
          <w:highlight w:val="none"/>
        </w:rPr>
      </w:pPr>
      <w:r>
        <w:rPr>
          <w:rFonts w:hint="eastAsia" w:ascii="宋体" w:hAnsi="宋体" w:eastAsia="宋体" w:cs="宋体"/>
          <w:sz w:val="24"/>
          <w:szCs w:val="24"/>
          <w:highlight w:val="none"/>
        </w:rPr>
        <w:t>注：本章由招标人自行制定，另册。</w:t>
      </w: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jc w:val="left"/>
        <w:rPr>
          <w:rFonts w:hint="eastAsia" w:ascii="宋体" w:hAnsi="宋体" w:eastAsia="宋体" w:cs="宋体"/>
          <w:sz w:val="24"/>
          <w:szCs w:val="24"/>
          <w:highlight w:val="none"/>
        </w:rPr>
      </w:pPr>
      <w:bookmarkStart w:id="201" w:name="_第四章__投标文件格式"/>
      <w:bookmarkEnd w:id="201"/>
      <w:bookmarkStart w:id="202" w:name="_Toc262229175"/>
      <w:bookmarkStart w:id="203" w:name="_Toc12872"/>
      <w:bookmarkStart w:id="204" w:name="_Toc85854822"/>
      <w:bookmarkStart w:id="205" w:name="_Toc101777645"/>
    </w:p>
    <w:p>
      <w:pPr>
        <w:pStyle w:val="9"/>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spacing w:line="360" w:lineRule="auto"/>
        <w:ind w:firstLine="0"/>
        <w:jc w:val="left"/>
        <w:rPr>
          <w:rFonts w:hint="eastAsia" w:ascii="宋体" w:hAnsi="宋体" w:eastAsia="宋体" w:cs="宋体"/>
          <w:sz w:val="24"/>
          <w:szCs w:val="24"/>
          <w:highlight w:val="none"/>
        </w:rPr>
      </w:pPr>
    </w:p>
    <w:p>
      <w:pPr>
        <w:pStyle w:val="9"/>
        <w:jc w:val="left"/>
        <w:rPr>
          <w:rFonts w:hint="eastAsia" w:ascii="宋体" w:hAnsi="宋体" w:eastAsia="宋体" w:cs="宋体"/>
          <w:sz w:val="24"/>
          <w:szCs w:val="24"/>
          <w:highlight w:val="none"/>
        </w:rPr>
      </w:pPr>
      <w:bookmarkStart w:id="206" w:name="_Toc18379"/>
      <w:bookmarkStart w:id="207" w:name="_Toc23279"/>
      <w:bookmarkStart w:id="208" w:name="_Toc623"/>
    </w:p>
    <w:p>
      <w:pPr>
        <w:pStyle w:val="9"/>
        <w:jc w:val="left"/>
        <w:rPr>
          <w:rFonts w:hint="eastAsia" w:ascii="宋体" w:hAnsi="宋体" w:eastAsia="宋体" w:cs="宋体"/>
          <w:sz w:val="24"/>
          <w:szCs w:val="24"/>
          <w:highlight w:val="none"/>
        </w:rPr>
      </w:pPr>
    </w:p>
    <w:bookmarkEnd w:id="202"/>
    <w:bookmarkEnd w:id="203"/>
    <w:bookmarkEnd w:id="206"/>
    <w:bookmarkEnd w:id="207"/>
    <w:bookmarkEnd w:id="208"/>
    <w:p>
      <w:pPr>
        <w:pStyle w:val="3"/>
        <w:rPr>
          <w:rFonts w:hint="eastAsia" w:ascii="宋体" w:hAnsi="宋体" w:eastAsia="宋体" w:cs="宋体"/>
          <w:highlight w:val="none"/>
        </w:rPr>
      </w:pPr>
      <w:bookmarkStart w:id="209" w:name="_Toc16137"/>
      <w:bookmarkStart w:id="210" w:name="_Toc27821"/>
      <w:bookmarkStart w:id="211" w:name="_Toc5442"/>
      <w:bookmarkStart w:id="212" w:name="_Toc19987"/>
      <w:r>
        <w:rPr>
          <w:rFonts w:hint="eastAsia" w:ascii="宋体" w:hAnsi="宋体" w:eastAsia="宋体" w:cs="宋体"/>
          <w:highlight w:val="none"/>
        </w:rPr>
        <w:t>第四章  投标文件格式</w:t>
      </w:r>
      <w:bookmarkEnd w:id="209"/>
      <w:bookmarkEnd w:id="210"/>
      <w:bookmarkEnd w:id="211"/>
      <w:bookmarkEnd w:id="212"/>
    </w:p>
    <w:p>
      <w:pPr>
        <w:pStyle w:val="9"/>
        <w:spacing w:after="0" w:line="360" w:lineRule="auto"/>
        <w:ind w:firstLine="480" w:firstLineChars="200"/>
        <w:rPr>
          <w:rFonts w:hint="eastAsia" w:ascii="宋体" w:hAnsi="宋体" w:eastAsia="宋体" w:cs="宋体"/>
          <w:sz w:val="24"/>
          <w:szCs w:val="24"/>
          <w:highlight w:val="none"/>
        </w:rPr>
      </w:pPr>
    </w:p>
    <w:p>
      <w:pPr>
        <w:pStyle w:val="9"/>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按以下规定的格式及要求编制投标文件，如电子投标文件没有按招标文件规定的格式及要求编制，因其所引起系统无法检索、读取电子投标文件中的数据时，其后果将由投标人承担。本格式及要求规定适用于电子评标项目的投标文件的编制。</w:t>
      </w:r>
    </w:p>
    <w:p>
      <w:pPr>
        <w:pStyle w:val="9"/>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1.1《广州园林绿化工程施工招标投标书》是投标文件的重要组成部分，其内容是投标人开标信息的主要来源，投标人应准确填写《广州园林绿化工程施工招标投标书》的相关内容。</w:t>
      </w:r>
    </w:p>
    <w:p>
      <w:pPr>
        <w:pStyle w:val="9"/>
        <w:spacing w:after="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1.2</w:t>
      </w:r>
      <w:r>
        <w:rPr>
          <w:rFonts w:hint="eastAsia" w:ascii="宋体" w:hAnsi="宋体" w:eastAsia="宋体" w:cs="宋体"/>
          <w:bCs/>
          <w:sz w:val="24"/>
          <w:szCs w:val="24"/>
          <w:highlight w:val="none"/>
        </w:rPr>
        <w:t>工程量清单报价表应符合广东省《建设工程造价文件数据交换标准（电子评标部分）》的有关规定，《广州园林绿化工程施工招标投标书》使用广州公共资源交易中心提供的电子投标文件管理软件直接填写，投标文件的其他内容均以电子文件编制。扫描图片电子文件要求为从扫描原纸质文件所形成的电子图片。图片文件格式要求为JPG格式，文件名称要求与上述对应名称一致且唯一，文件内容（即扫描图片内容）要求与文件名称相符，电子图片要求清晰可辨，每个JPG文件可包含多张扫描图片，单个JPG文件大小要求在1M以下。</w:t>
      </w:r>
    </w:p>
    <w:p>
      <w:pPr>
        <w:pStyle w:val="9"/>
        <w:spacing w:after="0" w:line="360" w:lineRule="auto"/>
        <w:ind w:firstLine="480" w:firstLineChars="200"/>
        <w:rPr>
          <w:rFonts w:hint="eastAsia" w:ascii="宋体" w:hAnsi="宋体" w:eastAsia="宋体" w:cs="宋体"/>
          <w:bCs/>
          <w:strike/>
          <w:dstrike w:val="0"/>
          <w:sz w:val="24"/>
          <w:szCs w:val="24"/>
          <w:highlight w:val="none"/>
        </w:rPr>
      </w:pPr>
      <w:r>
        <w:rPr>
          <w:rFonts w:hint="eastAsia" w:ascii="宋体" w:hAnsi="宋体" w:eastAsia="宋体" w:cs="宋体"/>
          <w:bCs/>
          <w:strike/>
          <w:dstrike w:val="0"/>
          <w:sz w:val="24"/>
          <w:szCs w:val="24"/>
          <w:highlight w:val="none"/>
        </w:rPr>
        <w:t>1.3投标人为联合体投标时，应按以下规定填写：</w:t>
      </w:r>
    </w:p>
    <w:p>
      <w:pPr>
        <w:pStyle w:val="9"/>
        <w:spacing w:after="0" w:line="360" w:lineRule="auto"/>
        <w:ind w:firstLine="480" w:firstLineChars="200"/>
        <w:rPr>
          <w:rFonts w:hint="eastAsia" w:ascii="宋体" w:hAnsi="宋体" w:eastAsia="宋体" w:cs="宋体"/>
          <w:bCs/>
          <w:strike/>
          <w:dstrike w:val="0"/>
          <w:sz w:val="24"/>
          <w:szCs w:val="24"/>
          <w:highlight w:val="none"/>
        </w:rPr>
      </w:pPr>
      <w:r>
        <w:rPr>
          <w:rFonts w:hint="eastAsia" w:ascii="宋体" w:hAnsi="宋体" w:eastAsia="宋体" w:cs="宋体"/>
          <w:bCs/>
          <w:strike/>
          <w:dstrike w:val="0"/>
          <w:sz w:val="24"/>
          <w:szCs w:val="24"/>
          <w:highlight w:val="none"/>
        </w:rPr>
        <w:t>联合体投标的，除《联合体投标协议》必须由联合体各方按要求签字或盖章外，其他资料可由联合体主办方签字或盖章，“投标人”应填写联合体各方的单位全称【格式：（主）XX公司；（成）XX公司】。法定代表人证明书及法定代表人授权书可由联合体主办方出具。</w:t>
      </w:r>
    </w:p>
    <w:p>
      <w:pPr>
        <w:pStyle w:val="9"/>
        <w:spacing w:after="0" w:line="360" w:lineRule="auto"/>
        <w:ind w:firstLine="480" w:firstLineChars="200"/>
        <w:rPr>
          <w:rFonts w:hint="eastAsia" w:ascii="宋体" w:hAnsi="宋体" w:eastAsia="宋体" w:cs="宋体"/>
          <w:strike/>
          <w:dstrike w:val="0"/>
          <w:sz w:val="24"/>
          <w:szCs w:val="24"/>
          <w:highlight w:val="none"/>
        </w:rPr>
      </w:pPr>
      <w:r>
        <w:rPr>
          <w:rFonts w:hint="eastAsia" w:ascii="宋体" w:hAnsi="宋体" w:eastAsia="宋体" w:cs="宋体"/>
          <w:bCs/>
          <w:strike/>
          <w:dstrike w:val="0"/>
          <w:sz w:val="24"/>
          <w:szCs w:val="24"/>
          <w:highlight w:val="none"/>
        </w:rPr>
        <w:t>联合体投标的，在编制工程量清单时应只填写联合体主办方单位全称，且要求填写的全称与广州公共资源交易中心企业库登记名称完全一致。</w:t>
      </w:r>
    </w:p>
    <w:p>
      <w:pPr>
        <w:outlineLvl w:val="2"/>
        <w:rPr>
          <w:rFonts w:hint="eastAsia" w:ascii="宋体" w:hAnsi="宋体" w:eastAsia="宋体" w:cs="宋体"/>
          <w:highlight w:val="none"/>
        </w:rPr>
      </w:pPr>
      <w:r>
        <w:rPr>
          <w:rFonts w:hint="eastAsia" w:ascii="宋体" w:hAnsi="宋体" w:eastAsia="宋体" w:cs="宋体"/>
          <w:highlight w:val="none"/>
        </w:rPr>
        <w:br w:type="page"/>
      </w:r>
      <w:bookmarkStart w:id="213" w:name="_Toc31563"/>
      <w:bookmarkStart w:id="214" w:name="_Toc23204"/>
      <w:bookmarkStart w:id="215" w:name="_Toc23381"/>
      <w:bookmarkStart w:id="216" w:name="_Toc18466"/>
      <w:r>
        <w:rPr>
          <w:rFonts w:hint="eastAsia" w:ascii="宋体" w:hAnsi="宋体" w:eastAsia="宋体" w:cs="宋体"/>
          <w:sz w:val="24"/>
          <w:szCs w:val="24"/>
          <w:highlight w:val="none"/>
        </w:rPr>
        <w:t>附件16 投标函</w:t>
      </w:r>
      <w:bookmarkEnd w:id="213"/>
      <w:bookmarkEnd w:id="214"/>
      <w:bookmarkEnd w:id="215"/>
      <w:bookmarkEnd w:id="216"/>
    </w:p>
    <w:p>
      <w:pPr>
        <w:pStyle w:val="9"/>
        <w:spacing w:after="0" w:line="440" w:lineRule="exact"/>
        <w:ind w:firstLine="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  标  函</w:t>
      </w:r>
    </w:p>
    <w:p>
      <w:pPr>
        <w:pStyle w:val="9"/>
        <w:spacing w:after="0" w:line="440" w:lineRule="exact"/>
        <w:ind w:firstLine="0"/>
        <w:jc w:val="center"/>
        <w:rPr>
          <w:rFonts w:hint="eastAsia" w:ascii="宋体" w:hAnsi="宋体" w:eastAsia="宋体" w:cs="宋体"/>
          <w:b/>
          <w:sz w:val="36"/>
          <w:szCs w:val="36"/>
          <w:highlight w:val="none"/>
        </w:rPr>
      </w:pPr>
    </w:p>
    <w:p>
      <w:pPr>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致：</w:t>
      </w:r>
      <w:r>
        <w:rPr>
          <w:rFonts w:hint="eastAsia" w:ascii="宋体" w:hAnsi="宋体" w:eastAsia="宋体" w:cs="宋体"/>
          <w:b/>
          <w:sz w:val="24"/>
          <w:szCs w:val="24"/>
          <w:highlight w:val="none"/>
          <w:u w:val="single"/>
        </w:rPr>
        <w:t xml:space="preserve">(招标人名称)                              </w:t>
      </w:r>
    </w:p>
    <w:p>
      <w:pPr>
        <w:spacing w:line="4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根据已收到贵方的项目编号为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工程的招标文件，并已详细审核了全部招标文件及有关附件。</w:t>
      </w:r>
    </w:p>
    <w:p>
      <w:pPr>
        <w:spacing w:line="4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numPr>
          <w:ilvl w:val="0"/>
          <w:numId w:val="3"/>
          <w:numberingChange w:id="3" w:author="hu" w:date="2020-08-20T14:18:00Z" w:original="%1:1:0:．"/>
        </w:num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愿以经济标中的投标报价并按上述合同条款、标准和技术规范、图纸、工程量清单等的要求承包上述工程的施工、竣工并修补其任何缺陷。</w:t>
      </w:r>
    </w:p>
    <w:p>
      <w:pPr>
        <w:numPr>
          <w:ilvl w:val="0"/>
          <w:numId w:val="3"/>
          <w:numberingChange w:id="4" w:author="hu" w:date="2020-08-20T14:18:00Z" w:original="%1:2:0:．"/>
        </w:num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同意所递交的投标文件在投标须知规定的投标有效期内有效，在此期间内我方的投标有可能中标，我方将受此约束。如果在投标有效期内撤销投标或放弃中标资格，我方的投标保证金将不予退还，给贵方造成的损失超过我方投标保证金金额的，贵方还有权要求我方对超过部分进行赔偿。</w:t>
      </w:r>
    </w:p>
    <w:p>
      <w:pPr>
        <w:numPr>
          <w:ilvl w:val="0"/>
          <w:numId w:val="3"/>
          <w:numberingChange w:id="5" w:author="hu" w:date="2020-08-20T14:18:00Z" w:original="%1:3:0:．"/>
        </w:num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我方理解贵方将不受必须接受你们所收到的最低标价或其它任何投标文件的约束。</w:t>
      </w:r>
    </w:p>
    <w:p>
      <w:pPr>
        <w:numPr>
          <w:ilvl w:val="0"/>
          <w:numId w:val="3"/>
          <w:numberingChange w:id="6" w:author="hu" w:date="2020-08-20T14:18:00Z" w:original="%1:4:0:．"/>
        </w:num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我方已知晓招标文件中载明的评标和定标条款，并接受按定标方法评审的定标结果。如我方成为本项目中标候选人，我方同意并授权招标人将我方投标文件</w:t>
      </w:r>
      <w:r>
        <w:rPr>
          <w:rFonts w:hint="eastAsia" w:ascii="宋体" w:hAnsi="宋体" w:eastAsia="宋体" w:cs="宋体"/>
          <w:sz w:val="24"/>
          <w:szCs w:val="24"/>
          <w:highlight w:val="none"/>
          <w:lang w:eastAsia="zh-CN"/>
        </w:rPr>
        <w:t>技术部分（项目实施能力）</w:t>
      </w:r>
      <w:r>
        <w:rPr>
          <w:rFonts w:hint="eastAsia" w:ascii="宋体" w:hAnsi="宋体" w:eastAsia="宋体" w:cs="宋体"/>
          <w:sz w:val="24"/>
          <w:szCs w:val="24"/>
          <w:highlight w:val="none"/>
        </w:rPr>
        <w:t>部分进行公开。</w:t>
      </w:r>
    </w:p>
    <w:p>
      <w:pPr>
        <w:numPr>
          <w:ilvl w:val="0"/>
          <w:numId w:val="3"/>
          <w:numberingChange w:id="7" w:author="hu" w:date="2020-08-20T14:18:00Z" w:original="%1:5:0:．"/>
        </w:num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如果我方中标，我方保证按招标文件中规定的工期，在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日历天内完成并移交本工程，质量标准达到招标文件中的要求。</w:t>
      </w:r>
    </w:p>
    <w:p>
      <w:pPr>
        <w:numPr>
          <w:ilvl w:val="0"/>
          <w:numId w:val="3"/>
          <w:numberingChange w:id="8" w:author="hu" w:date="2020-08-20T14:18:00Z" w:original="%1:6:0:．"/>
        </w:num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如果我方中标，我方将递交按招标文件规定且招标人认可的履约保函。</w:t>
      </w:r>
    </w:p>
    <w:p>
      <w:pPr>
        <w:numPr>
          <w:ilvl w:val="0"/>
          <w:numId w:val="3"/>
          <w:numberingChange w:id="9" w:author="hu" w:date="2020-08-20T14:18:00Z" w:original="%1:7:0:．"/>
        </w:num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除非另外达成协议并生效，贵方的中标通知书和本投标文件将成为约束双方的合同文件的组成部分。</w:t>
      </w:r>
    </w:p>
    <w:p>
      <w:pPr>
        <w:numPr>
          <w:ilvl w:val="0"/>
          <w:numId w:val="3"/>
          <w:numberingChange w:id="10" w:author="hu" w:date="2020-08-20T14:18:00Z" w:original="%1:8:0:．"/>
        </w:num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如果我方中标，我方将实行项目经理负责制，并按投标文件配备项目管理班子。如未经招标人同意更换项目班子成员，招标人有权取消我公司的中标资格或单方面终止合同，由此造成的违约责任由我公司承担。</w:t>
      </w:r>
    </w:p>
    <w:p>
      <w:pPr>
        <w:spacing w:line="420" w:lineRule="exact"/>
        <w:rPr>
          <w:rFonts w:hint="eastAsia" w:ascii="宋体" w:hAnsi="宋体" w:eastAsia="宋体" w:cs="宋体"/>
          <w:sz w:val="24"/>
          <w:szCs w:val="24"/>
          <w:highlight w:val="none"/>
        </w:rPr>
      </w:pPr>
    </w:p>
    <w:p>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法定代表人：（签名或盖章）</w:t>
      </w:r>
    </w:p>
    <w:p>
      <w:pPr>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投标人：（盖章）                               </w:t>
      </w:r>
    </w:p>
    <w:p>
      <w:pPr>
        <w:spacing w:line="420" w:lineRule="exact"/>
        <w:ind w:firstLine="5760" w:firstLineChars="2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utoSpaceDE w:val="0"/>
        <w:autoSpaceDN w:val="0"/>
        <w:adjustRightInd w:val="0"/>
        <w:spacing w:line="360" w:lineRule="auto"/>
        <w:jc w:val="center"/>
        <w:rPr>
          <w:rFonts w:hint="eastAsia" w:ascii="宋体" w:hAnsi="宋体" w:eastAsia="宋体" w:cs="宋体"/>
          <w:b/>
          <w:bCs/>
          <w:sz w:val="44"/>
          <w:szCs w:val="44"/>
          <w:highlight w:val="none"/>
          <w:lang w:val="zh-CN"/>
        </w:rPr>
      </w:pPr>
      <w:r>
        <w:rPr>
          <w:rFonts w:hint="eastAsia" w:ascii="宋体" w:hAnsi="宋体" w:eastAsia="宋体" w:cs="宋体"/>
          <w:b/>
          <w:bCs/>
          <w:sz w:val="44"/>
          <w:szCs w:val="44"/>
          <w:highlight w:val="none"/>
          <w:lang w:val="zh-CN"/>
        </w:rPr>
        <w:t>广州园林绿化工程施工招标投标书</w:t>
      </w:r>
    </w:p>
    <w:p>
      <w:pPr>
        <w:autoSpaceDE w:val="0"/>
        <w:autoSpaceDN w:val="0"/>
        <w:adjustRightInd w:val="0"/>
        <w:spacing w:line="360" w:lineRule="auto"/>
        <w:jc w:val="center"/>
        <w:rPr>
          <w:rFonts w:hint="eastAsia" w:ascii="宋体" w:hAnsi="宋体" w:eastAsia="宋体" w:cs="宋体"/>
          <w:b/>
          <w:bCs/>
          <w:sz w:val="52"/>
          <w:szCs w:val="52"/>
          <w:highlight w:val="none"/>
        </w:rPr>
      </w:pPr>
      <w:r>
        <w:rPr>
          <w:rFonts w:hint="eastAsia" w:ascii="宋体" w:hAnsi="宋体" w:eastAsia="宋体" w:cs="宋体"/>
          <w:b/>
          <w:sz w:val="24"/>
          <w:szCs w:val="24"/>
          <w:highlight w:val="none"/>
          <w:lang w:val="zh-CN"/>
        </w:rPr>
        <w:t xml:space="preserve">                                              投标日期：   年  月  日</w:t>
      </w:r>
    </w:p>
    <w:tbl>
      <w:tblPr>
        <w:tblStyle w:val="10"/>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lang w:val="zh-CN"/>
              </w:rPr>
              <w:t>工 程 名 称</w:t>
            </w:r>
          </w:p>
        </w:tc>
        <w:tc>
          <w:tcPr>
            <w:tcW w:w="603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4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lang w:val="zh-CN"/>
              </w:rPr>
              <w:t>投标报价（元）</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4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lang w:val="zh-CN"/>
              </w:rPr>
              <w:t>其中：</w:t>
            </w:r>
            <w:r>
              <w:rPr>
                <w:rFonts w:hint="eastAsia" w:ascii="宋体" w:hAnsi="宋体" w:eastAsia="宋体" w:cs="宋体"/>
                <w:b/>
                <w:bCs/>
                <w:sz w:val="24"/>
                <w:szCs w:val="24"/>
                <w:highlight w:val="none"/>
                <w:lang w:val="zh-CN"/>
              </w:rPr>
              <w:t>人工费</w:t>
            </w:r>
            <w:r>
              <w:rPr>
                <w:rFonts w:hint="eastAsia" w:ascii="宋体" w:hAnsi="宋体" w:eastAsia="宋体" w:cs="宋体"/>
                <w:b/>
                <w:sz w:val="24"/>
                <w:szCs w:val="24"/>
                <w:highlight w:val="none"/>
                <w:lang w:val="zh-CN"/>
              </w:rPr>
              <w:t>（元）</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restart"/>
            <w:tcBorders>
              <w:top w:val="single" w:color="auto" w:sz="4" w:space="0"/>
              <w:left w:val="single" w:color="auto" w:sz="4" w:space="0"/>
              <w:right w:val="single" w:color="auto" w:sz="4" w:space="0"/>
            </w:tcBorders>
            <w:noWrap w:val="0"/>
            <w:vAlign w:val="center"/>
          </w:tcPr>
          <w:p>
            <w:pPr>
              <w:widowControl/>
              <w:ind w:firstLine="118" w:firstLineChars="49"/>
              <w:jc w:val="center"/>
              <w:rPr>
                <w:rFonts w:hint="eastAsia" w:ascii="宋体" w:hAnsi="宋体" w:eastAsia="宋体" w:cs="宋体"/>
                <w:b/>
                <w:sz w:val="24"/>
                <w:szCs w:val="24"/>
                <w:highlight w:val="none"/>
                <w:lang w:val="zh-CN"/>
              </w:rPr>
            </w:pPr>
            <w:r>
              <w:rPr>
                <w:rFonts w:hint="eastAsia" w:ascii="宋体" w:hAnsi="宋体" w:eastAsia="宋体" w:cs="宋体"/>
                <w:b/>
                <w:bCs/>
                <w:sz w:val="24"/>
                <w:szCs w:val="24"/>
                <w:highlight w:val="none"/>
                <w:lang w:val="zh-CN"/>
              </w:rPr>
              <w:t>其中：</w:t>
            </w:r>
            <w:r>
              <w:rPr>
                <w:rFonts w:hint="eastAsia" w:ascii="宋体" w:hAnsi="宋体" w:eastAsia="宋体" w:cs="宋体"/>
                <w:b/>
                <w:sz w:val="24"/>
                <w:szCs w:val="24"/>
                <w:highlight w:val="none"/>
                <w:lang w:val="zh-CN"/>
              </w:rPr>
              <w:t>绿色施工安全防护</w:t>
            </w:r>
          </w:p>
          <w:p>
            <w:pPr>
              <w:widowControl/>
              <w:ind w:firstLine="118" w:firstLineChars="49"/>
              <w:jc w:val="center"/>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lang w:val="zh-CN"/>
              </w:rPr>
              <w:t>措施费</w:t>
            </w:r>
            <w:r>
              <w:rPr>
                <w:rFonts w:hint="eastAsia" w:ascii="宋体" w:hAnsi="宋体" w:eastAsia="宋体" w:cs="宋体"/>
                <w:b/>
                <w:bCs/>
                <w:sz w:val="24"/>
                <w:szCs w:val="24"/>
                <w:highlight w:val="none"/>
                <w:lang w:val="zh-CN"/>
              </w:rPr>
              <w:t>（元）</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投 标 总 工 期</w:t>
            </w:r>
          </w:p>
        </w:tc>
        <w:tc>
          <w:tcPr>
            <w:tcW w:w="603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zh-CN"/>
              </w:rPr>
              <w:t>工 程 质 量 标 准</w:t>
            </w:r>
          </w:p>
        </w:tc>
        <w:tc>
          <w:tcPr>
            <w:tcW w:w="603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lang w:val="zh-CN"/>
              </w:rPr>
              <w:t>保 修 期 限</w:t>
            </w:r>
          </w:p>
        </w:tc>
        <w:tc>
          <w:tcPr>
            <w:tcW w:w="603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
                <w:bCs/>
                <w:sz w:val="24"/>
                <w:szCs w:val="24"/>
                <w:highlight w:val="none"/>
                <w:lang w:val="zh-CN"/>
              </w:rPr>
            </w:pPr>
          </w:p>
        </w:tc>
      </w:tr>
    </w:tbl>
    <w:p>
      <w:pPr>
        <w:autoSpaceDE w:val="0"/>
        <w:autoSpaceDN w:val="0"/>
        <w:adjustRightInd w:val="0"/>
        <w:rPr>
          <w:rFonts w:hint="eastAsia" w:ascii="宋体" w:hAnsi="宋体" w:eastAsia="宋体" w:cs="宋体"/>
          <w:szCs w:val="21"/>
          <w:highlight w:val="none"/>
          <w:lang w:val="zh-CN"/>
        </w:rPr>
      </w:pPr>
    </w:p>
    <w:p>
      <w:pPr>
        <w:autoSpaceDE w:val="0"/>
        <w:autoSpaceDN w:val="0"/>
        <w:adjustRightInd w:val="0"/>
        <w:rPr>
          <w:rFonts w:hint="eastAsia" w:ascii="宋体" w:hAnsi="宋体" w:eastAsia="宋体" w:cs="宋体"/>
          <w:szCs w:val="21"/>
          <w:highlight w:val="none"/>
          <w:lang w:val="zh-CN"/>
        </w:rPr>
      </w:pPr>
    </w:p>
    <w:p>
      <w:pPr>
        <w:autoSpaceDE w:val="0"/>
        <w:autoSpaceDN w:val="0"/>
        <w:adjustRightInd w:val="0"/>
        <w:ind w:firstLine="420" w:firstLineChars="200"/>
        <w:rPr>
          <w:rFonts w:hint="eastAsia" w:ascii="宋体" w:hAnsi="宋体" w:eastAsia="宋体" w:cs="宋体"/>
          <w:highlight w:val="none"/>
        </w:rPr>
      </w:pPr>
      <w:r>
        <w:rPr>
          <w:rFonts w:hint="eastAsia" w:ascii="宋体" w:hAnsi="宋体" w:eastAsia="宋体" w:cs="宋体"/>
          <w:szCs w:val="21"/>
          <w:highlight w:val="none"/>
          <w:lang w:val="zh-CN"/>
        </w:rPr>
        <w:t>注：本投标书由投标文件管理软件生成，投标人可直接在上面填写相关内容。</w:t>
      </w: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pStyle w:val="13"/>
        <w:rPr>
          <w:rFonts w:hint="eastAsia" w:ascii="宋体" w:hAnsi="宋体" w:eastAsia="宋体" w:cs="宋体"/>
          <w:b/>
          <w:sz w:val="36"/>
          <w:szCs w:val="36"/>
          <w:highlight w:val="none"/>
        </w:rPr>
      </w:pPr>
    </w:p>
    <w:p>
      <w:pPr>
        <w:pStyle w:val="13"/>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jc w:val="both"/>
        <w:rPr>
          <w:rFonts w:hint="eastAsia" w:ascii="宋体" w:hAnsi="宋体" w:eastAsia="宋体" w:cs="宋体"/>
          <w:b/>
          <w:sz w:val="36"/>
          <w:szCs w:val="36"/>
          <w:highlight w:val="none"/>
        </w:rPr>
      </w:pPr>
    </w:p>
    <w:p>
      <w:pPr>
        <w:jc w:val="center"/>
        <w:rPr>
          <w:rFonts w:ascii="宋体" w:hAnsi="宋体" w:eastAsia="宋体"/>
          <w:b/>
          <w:sz w:val="36"/>
          <w:szCs w:val="36"/>
          <w:highlight w:val="none"/>
        </w:rPr>
      </w:pPr>
      <w:r>
        <w:rPr>
          <w:rFonts w:hint="eastAsia" w:ascii="宋体" w:hAnsi="宋体" w:eastAsia="宋体"/>
          <w:b/>
          <w:sz w:val="36"/>
          <w:szCs w:val="36"/>
          <w:highlight w:val="none"/>
        </w:rPr>
        <w:t>响应招标文件所附</w:t>
      </w:r>
      <w:r>
        <w:rPr>
          <w:rFonts w:hint="eastAsia" w:ascii="宋体" w:hAnsi="宋体" w:eastAsia="宋体" w:cs="宋体"/>
          <w:b/>
          <w:bCs/>
          <w:color w:val="auto"/>
          <w:spacing w:val="4"/>
          <w:kern w:val="0"/>
          <w:sz w:val="36"/>
          <w:szCs w:val="36"/>
          <w:highlight w:val="none"/>
          <w:u w:val="single"/>
        </w:rPr>
        <w:t>施工组织设计要点</w:t>
      </w:r>
      <w:r>
        <w:rPr>
          <w:rFonts w:hint="eastAsia" w:ascii="宋体" w:hAnsi="宋体" w:eastAsia="宋体"/>
          <w:b/>
          <w:sz w:val="36"/>
          <w:szCs w:val="36"/>
          <w:highlight w:val="none"/>
        </w:rPr>
        <w:t>承诺书</w:t>
      </w:r>
    </w:p>
    <w:p>
      <w:pPr>
        <w:spacing w:line="360" w:lineRule="auto"/>
        <w:rPr>
          <w:rFonts w:ascii="宋体" w:hAnsi="宋体" w:eastAsia="宋体"/>
          <w:highlight w:val="none"/>
        </w:rPr>
      </w:pPr>
    </w:p>
    <w:p>
      <w:pPr>
        <w:spacing w:line="360" w:lineRule="auto"/>
        <w:rPr>
          <w:rFonts w:ascii="宋体" w:hAnsi="宋体" w:eastAsia="宋体"/>
          <w:highlight w:val="none"/>
        </w:rPr>
      </w:pPr>
    </w:p>
    <w:p>
      <w:pPr>
        <w:spacing w:line="360" w:lineRule="auto"/>
        <w:rPr>
          <w:rFonts w:ascii="宋体" w:hAnsi="宋体" w:eastAsia="宋体"/>
          <w:sz w:val="24"/>
          <w:highlight w:val="none"/>
        </w:rPr>
      </w:pPr>
    </w:p>
    <w:p>
      <w:pPr>
        <w:spacing w:line="480" w:lineRule="auto"/>
        <w:rPr>
          <w:rFonts w:ascii="宋体" w:hAnsi="宋体" w:eastAsia="宋体"/>
          <w:sz w:val="24"/>
          <w:highlight w:val="none"/>
          <w:u w:val="single"/>
        </w:rPr>
      </w:pPr>
      <w:r>
        <w:rPr>
          <w:rFonts w:hint="eastAsia" w:ascii="宋体" w:hAnsi="宋体" w:eastAsia="宋体"/>
          <w:sz w:val="24"/>
          <w:highlight w:val="none"/>
          <w:u w:val="single"/>
        </w:rPr>
        <w:t xml:space="preserve">          （招标人）</w:t>
      </w:r>
      <w:r>
        <w:rPr>
          <w:rFonts w:hint="eastAsia" w:ascii="宋体" w:hAnsi="宋体" w:eastAsia="宋体"/>
          <w:sz w:val="24"/>
          <w:highlight w:val="none"/>
        </w:rPr>
        <w:t>：</w:t>
      </w:r>
    </w:p>
    <w:p>
      <w:pPr>
        <w:spacing w:line="480" w:lineRule="auto"/>
        <w:ind w:firstLine="480" w:firstLineChars="200"/>
        <w:rPr>
          <w:rFonts w:ascii="宋体" w:hAnsi="宋体" w:eastAsia="宋体"/>
          <w:sz w:val="24"/>
          <w:highlight w:val="none"/>
        </w:rPr>
      </w:pPr>
      <w:r>
        <w:rPr>
          <w:rFonts w:hint="eastAsia" w:ascii="宋体" w:hAnsi="宋体" w:eastAsia="宋体"/>
          <w:sz w:val="24"/>
          <w:highlight w:val="none"/>
        </w:rPr>
        <w:t>我方承诺，如中标承建</w:t>
      </w:r>
      <w:r>
        <w:rPr>
          <w:rFonts w:hint="eastAsia" w:ascii="宋体" w:hAnsi="宋体" w:eastAsia="宋体"/>
          <w:sz w:val="24"/>
          <w:highlight w:val="none"/>
          <w:u w:val="single"/>
        </w:rPr>
        <w:t xml:space="preserve">         (项目名称)</w:t>
      </w:r>
      <w:r>
        <w:rPr>
          <w:rFonts w:hint="eastAsia" w:ascii="宋体" w:hAnsi="宋体" w:eastAsia="宋体"/>
          <w:sz w:val="24"/>
          <w:highlight w:val="none"/>
        </w:rPr>
        <w:t>，将按招标文件所附的本工程</w:t>
      </w:r>
      <w:r>
        <w:rPr>
          <w:rFonts w:hint="eastAsia" w:ascii="宋体" w:hAnsi="宋体" w:eastAsia="宋体"/>
          <w:sz w:val="24"/>
          <w:highlight w:val="none"/>
          <w:u w:val="single"/>
        </w:rPr>
        <w:t>施工组织设计要点</w:t>
      </w:r>
      <w:r>
        <w:rPr>
          <w:rFonts w:hint="eastAsia" w:ascii="宋体" w:hAnsi="宋体" w:eastAsia="宋体"/>
          <w:sz w:val="24"/>
          <w:highlight w:val="none"/>
        </w:rPr>
        <w:t>进行响应的基础上自行组织施工。并承诺在中标后按招标文件所附的</w:t>
      </w:r>
      <w:r>
        <w:rPr>
          <w:rFonts w:hint="eastAsia" w:ascii="宋体" w:hAnsi="宋体" w:eastAsia="宋体"/>
          <w:sz w:val="24"/>
          <w:highlight w:val="none"/>
          <w:u w:val="single"/>
        </w:rPr>
        <w:t>施工组织设计要点</w:t>
      </w:r>
      <w:r>
        <w:rPr>
          <w:rFonts w:hint="eastAsia" w:ascii="宋体" w:hAnsi="宋体" w:eastAsia="宋体"/>
          <w:sz w:val="24"/>
          <w:highlight w:val="none"/>
        </w:rPr>
        <w:t>基础上编制详细的施工组织设计，并报经监理单位和建设单位审批后实施。</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ind w:firstLine="3480" w:firstLineChars="1450"/>
        <w:rPr>
          <w:rFonts w:hint="eastAsia" w:ascii="宋体" w:hAnsi="宋体" w:eastAsia="宋体" w:cs="宋体"/>
          <w:sz w:val="24"/>
          <w:highlight w:val="none"/>
          <w:u w:val="single"/>
        </w:rPr>
      </w:pPr>
      <w:r>
        <w:rPr>
          <w:rFonts w:hint="eastAsia" w:ascii="宋体" w:hAnsi="宋体" w:eastAsia="宋体" w:cs="宋体"/>
          <w:sz w:val="24"/>
          <w:highlight w:val="none"/>
        </w:rPr>
        <w:t>投标人（盖章）：</w:t>
      </w:r>
      <w:r>
        <w:rPr>
          <w:rFonts w:hint="eastAsia" w:ascii="宋体" w:hAnsi="宋体" w:eastAsia="宋体" w:cs="宋体"/>
          <w:sz w:val="24"/>
          <w:highlight w:val="none"/>
          <w:u w:val="single"/>
        </w:rPr>
        <w:t xml:space="preserve">                             </w:t>
      </w:r>
    </w:p>
    <w:p>
      <w:pPr>
        <w:wordWrap w:val="0"/>
        <w:spacing w:line="360" w:lineRule="auto"/>
        <w:ind w:right="90"/>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法定代表人或其委托代理人：</w:t>
      </w:r>
      <w:r>
        <w:rPr>
          <w:rFonts w:hint="eastAsia" w:ascii="宋体" w:hAnsi="宋体" w:eastAsia="宋体" w:cs="宋体"/>
          <w:sz w:val="24"/>
          <w:szCs w:val="24"/>
          <w:highlight w:val="none"/>
          <w:u w:val="single"/>
        </w:rPr>
        <w:t xml:space="preserve">                  </w:t>
      </w:r>
    </w:p>
    <w:p>
      <w:pPr>
        <w:spacing w:line="360" w:lineRule="auto"/>
        <w:ind w:firstLine="5880" w:firstLineChars="245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tabs>
          <w:tab w:val="left" w:pos="720"/>
        </w:tabs>
        <w:snapToGrid w:val="0"/>
        <w:spacing w:line="360" w:lineRule="auto"/>
        <w:jc w:val="center"/>
        <w:rPr>
          <w:rFonts w:hint="eastAsia" w:ascii="宋体" w:hAnsi="宋体" w:eastAsia="宋体" w:cs="宋体"/>
          <w:b/>
          <w:sz w:val="32"/>
          <w:szCs w:val="32"/>
          <w:highlight w:val="none"/>
        </w:rPr>
      </w:pPr>
    </w:p>
    <w:p>
      <w:pPr>
        <w:tabs>
          <w:tab w:val="left" w:pos="720"/>
        </w:tabs>
        <w:snapToGrid w:val="0"/>
        <w:spacing w:line="360" w:lineRule="auto"/>
        <w:jc w:val="center"/>
        <w:rPr>
          <w:rFonts w:hint="eastAsia" w:ascii="宋体" w:hAnsi="宋体" w:eastAsia="宋体" w:cs="宋体"/>
          <w:b/>
          <w:sz w:val="32"/>
          <w:szCs w:val="32"/>
          <w:highlight w:val="none"/>
        </w:rPr>
      </w:pPr>
    </w:p>
    <w:p>
      <w:pPr>
        <w:tabs>
          <w:tab w:val="left" w:pos="720"/>
        </w:tabs>
        <w:snapToGrid w:val="0"/>
        <w:spacing w:line="360" w:lineRule="auto"/>
        <w:jc w:val="center"/>
        <w:rPr>
          <w:rFonts w:hint="eastAsia" w:ascii="宋体" w:hAnsi="宋体" w:eastAsia="宋体" w:cs="宋体"/>
          <w:b/>
          <w:sz w:val="32"/>
          <w:szCs w:val="32"/>
          <w:highlight w:val="none"/>
        </w:rPr>
      </w:pPr>
    </w:p>
    <w:p>
      <w:pPr>
        <w:tabs>
          <w:tab w:val="left" w:pos="720"/>
        </w:tabs>
        <w:snapToGrid w:val="0"/>
        <w:spacing w:line="360" w:lineRule="auto"/>
        <w:jc w:val="center"/>
        <w:rPr>
          <w:rFonts w:hint="eastAsia" w:ascii="宋体" w:hAnsi="宋体" w:eastAsia="宋体" w:cs="宋体"/>
          <w:b/>
          <w:sz w:val="32"/>
          <w:szCs w:val="32"/>
          <w:highlight w:val="none"/>
        </w:rPr>
      </w:pPr>
    </w:p>
    <w:p>
      <w:pPr>
        <w:pStyle w:val="13"/>
        <w:rPr>
          <w:rFonts w:hint="eastAsia" w:ascii="宋体" w:hAnsi="宋体" w:eastAsia="宋体" w:cs="宋体"/>
          <w:b/>
          <w:sz w:val="32"/>
          <w:szCs w:val="32"/>
          <w:highlight w:val="none"/>
        </w:rPr>
      </w:pPr>
    </w:p>
    <w:p>
      <w:pPr>
        <w:pStyle w:val="13"/>
        <w:rPr>
          <w:rFonts w:hint="eastAsia" w:ascii="宋体" w:hAnsi="宋体" w:eastAsia="宋体" w:cs="宋体"/>
          <w:b/>
          <w:sz w:val="32"/>
          <w:szCs w:val="32"/>
          <w:highlight w:val="none"/>
        </w:rPr>
      </w:pPr>
    </w:p>
    <w:p>
      <w:pPr>
        <w:tabs>
          <w:tab w:val="left" w:pos="720"/>
        </w:tabs>
        <w:snapToGrid w:val="0"/>
        <w:spacing w:line="360" w:lineRule="auto"/>
        <w:jc w:val="center"/>
        <w:rPr>
          <w:rFonts w:hint="eastAsia" w:ascii="宋体" w:hAnsi="宋体" w:eastAsia="宋体" w:cs="宋体"/>
          <w:b/>
          <w:sz w:val="32"/>
          <w:szCs w:val="32"/>
          <w:highlight w:val="none"/>
        </w:rPr>
      </w:pPr>
    </w:p>
    <w:p>
      <w:pPr>
        <w:widowControl/>
        <w:spacing w:line="360" w:lineRule="auto"/>
        <w:jc w:val="both"/>
        <w:rPr>
          <w:rFonts w:hint="eastAsia" w:ascii="宋体" w:hAnsi="宋体" w:eastAsia="宋体" w:cs="宋体"/>
          <w:color w:val="auto"/>
          <w:spacing w:val="4"/>
          <w:kern w:val="0"/>
          <w:sz w:val="36"/>
          <w:szCs w:val="36"/>
          <w:highlight w:val="none"/>
        </w:rPr>
      </w:pPr>
    </w:p>
    <w:p>
      <w:pPr>
        <w:pStyle w:val="2"/>
        <w:rPr>
          <w:rFonts w:hint="eastAsia" w:ascii="宋体" w:hAnsi="宋体" w:eastAsia="宋体" w:cs="宋体"/>
          <w:color w:val="auto"/>
          <w:spacing w:val="4"/>
          <w:kern w:val="0"/>
          <w:sz w:val="36"/>
          <w:szCs w:val="36"/>
          <w:highlight w:val="none"/>
        </w:rPr>
      </w:pPr>
    </w:p>
    <w:p>
      <w:pPr>
        <w:rPr>
          <w:rFonts w:hint="eastAsia"/>
        </w:rPr>
      </w:pPr>
    </w:p>
    <w:p>
      <w:pPr>
        <w:widowControl/>
        <w:spacing w:line="360" w:lineRule="auto"/>
        <w:jc w:val="center"/>
        <w:rPr>
          <w:rFonts w:hint="eastAsia" w:ascii="宋体" w:hAnsi="宋体" w:eastAsia="宋体" w:cs="宋体"/>
          <w:b/>
          <w:bCs/>
          <w:color w:val="auto"/>
          <w:spacing w:val="4"/>
          <w:kern w:val="0"/>
          <w:sz w:val="36"/>
          <w:szCs w:val="36"/>
          <w:highlight w:val="none"/>
          <w:u w:val="single"/>
        </w:rPr>
      </w:pPr>
      <w:r>
        <w:rPr>
          <w:rFonts w:hint="eastAsia" w:ascii="宋体" w:hAnsi="宋体" w:eastAsia="宋体" w:cs="宋体"/>
          <w:b/>
          <w:bCs/>
          <w:color w:val="auto"/>
          <w:spacing w:val="4"/>
          <w:kern w:val="0"/>
          <w:sz w:val="36"/>
          <w:szCs w:val="36"/>
          <w:highlight w:val="none"/>
          <w:u w:val="single"/>
        </w:rPr>
        <w:t>施工组织设计要点（格式仅供参考）</w:t>
      </w:r>
    </w:p>
    <w:p>
      <w:pPr>
        <w:pStyle w:val="14"/>
        <w:ind w:firstLine="4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由投标人有针对性的描述，各部分文字直接简炼，不得出现大量宣传性及无实质性意义或直接引用范本照搬照套的文字。</w:t>
      </w:r>
    </w:p>
    <w:p>
      <w:pPr>
        <w:pStyle w:val="14"/>
        <w:ind w:firstLine="4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施工组织设计包括但不限于以下方面内容：</w:t>
      </w:r>
    </w:p>
    <w:p>
      <w:pPr>
        <w:widowControl/>
        <w:numPr>
          <w:ilvl w:val="0"/>
          <w:numId w:val="4"/>
        </w:numPr>
        <w:spacing w:line="360" w:lineRule="auto"/>
        <w:ind w:firstLine="496" w:firstLineChars="200"/>
        <w:jc w:val="left"/>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u w:val="single"/>
        </w:rPr>
        <w:t>工作目标与组织架构</w:t>
      </w:r>
    </w:p>
    <w:p>
      <w:pPr>
        <w:widowControl/>
        <w:numPr>
          <w:ilvl w:val="0"/>
          <w:numId w:val="4"/>
        </w:numPr>
        <w:spacing w:line="360" w:lineRule="auto"/>
        <w:ind w:firstLine="496" w:firstLineChars="200"/>
        <w:jc w:val="left"/>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u w:val="single"/>
        </w:rPr>
        <w:t>施工组织内容</w:t>
      </w:r>
    </w:p>
    <w:p>
      <w:pPr>
        <w:widowControl/>
        <w:numPr>
          <w:ilvl w:val="0"/>
          <w:numId w:val="4"/>
        </w:numPr>
        <w:spacing w:line="360" w:lineRule="auto"/>
        <w:ind w:firstLine="496" w:firstLineChars="200"/>
        <w:jc w:val="left"/>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u w:val="single"/>
        </w:rPr>
        <w:t>安全文明施工</w:t>
      </w:r>
    </w:p>
    <w:p>
      <w:pPr>
        <w:widowControl/>
        <w:numPr>
          <w:ilvl w:val="0"/>
          <w:numId w:val="4"/>
        </w:numPr>
        <w:spacing w:line="360" w:lineRule="auto"/>
        <w:ind w:firstLine="496" w:firstLineChars="200"/>
        <w:jc w:val="left"/>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u w:val="single"/>
        </w:rPr>
        <w:t>绿色施工</w:t>
      </w:r>
    </w:p>
    <w:p>
      <w:pPr>
        <w:widowControl/>
        <w:numPr>
          <w:ilvl w:val="0"/>
          <w:numId w:val="4"/>
        </w:numPr>
        <w:spacing w:line="360" w:lineRule="auto"/>
        <w:ind w:firstLine="496" w:firstLineChars="200"/>
        <w:jc w:val="left"/>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u w:val="single"/>
        </w:rPr>
        <w:t>项目熟悉程度</w:t>
      </w:r>
    </w:p>
    <w:p>
      <w:pPr>
        <w:pStyle w:val="3"/>
        <w:rPr>
          <w:rFonts w:hint="eastAsia" w:ascii="宋体" w:hAnsi="宋体" w:eastAsia="宋体" w:cs="宋体"/>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对投标文件编制的承诺</w:t>
      </w:r>
    </w:p>
    <w:p>
      <w:pPr>
        <w:pStyle w:val="9"/>
        <w:spacing w:after="0" w:line="360" w:lineRule="auto"/>
        <w:ind w:firstLine="0"/>
        <w:jc w:val="center"/>
        <w:rPr>
          <w:rFonts w:hint="eastAsia" w:ascii="宋体" w:hAnsi="宋体" w:eastAsia="宋体" w:cs="宋体"/>
          <w:sz w:val="36"/>
          <w:szCs w:val="36"/>
          <w:highlight w:val="none"/>
        </w:rPr>
      </w:pPr>
    </w:p>
    <w:p>
      <w:pPr>
        <w:pStyle w:val="9"/>
        <w:spacing w:after="0" w:line="360" w:lineRule="auto"/>
        <w:ind w:left="-2" w:leftChars="-1"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本公司授权</w:t>
      </w:r>
      <w:r>
        <w:rPr>
          <w:rFonts w:hint="eastAsia" w:ascii="宋体" w:hAnsi="宋体" w:eastAsia="宋体" w:cs="宋体"/>
          <w:sz w:val="24"/>
          <w:szCs w:val="24"/>
          <w:highlight w:val="none"/>
          <w:u w:val="single"/>
        </w:rPr>
        <w:t xml:space="preserve">         （身份证号：               ）</w:t>
      </w:r>
      <w:r>
        <w:rPr>
          <w:rFonts w:hint="eastAsia" w:ascii="宋体" w:hAnsi="宋体" w:eastAsia="宋体" w:cs="宋体"/>
          <w:sz w:val="24"/>
          <w:szCs w:val="24"/>
          <w:highlight w:val="none"/>
        </w:rPr>
        <w:t>负责对投标文件的编制及内容进行解释、说明，并承诺以下事项：</w:t>
      </w:r>
    </w:p>
    <w:p>
      <w:pPr>
        <w:pStyle w:val="9"/>
        <w:spacing w:after="0" w:line="360" w:lineRule="auto"/>
        <w:ind w:left="-2" w:leftChars="-1"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1.被授权人清楚投标文件编制的具体情况，包括技术方案文件、工程量清单、以及投标文件的加密打包的理解；</w:t>
      </w:r>
    </w:p>
    <w:p>
      <w:pPr>
        <w:pStyle w:val="9"/>
        <w:spacing w:after="0" w:line="360" w:lineRule="auto"/>
        <w:ind w:left="-2" w:leftChars="-1"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2.在本项目开标至评标结束前，努力确保被授权人在项目评标所在地附近；</w:t>
      </w:r>
    </w:p>
    <w:p>
      <w:pPr>
        <w:pStyle w:val="9"/>
        <w:spacing w:after="0" w:line="360" w:lineRule="auto"/>
        <w:ind w:left="-2" w:leftChars="-1"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3.从评标委员会要求澄清起2小时内，被授权人应如实地书面澄清。</w:t>
      </w:r>
    </w:p>
    <w:p>
      <w:pPr>
        <w:pStyle w:val="9"/>
        <w:spacing w:after="0" w:line="360" w:lineRule="auto"/>
        <w:ind w:left="-2" w:leftChars="-1"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如由于上述情形之一无法进行澄清的，我公司默认评标委员会作出的评审结论。</w:t>
      </w:r>
    </w:p>
    <w:p>
      <w:pPr>
        <w:pStyle w:val="9"/>
        <w:spacing w:after="0"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9"/>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附件：1.《投标文件编制人员名单》</w:t>
      </w:r>
    </w:p>
    <w:p>
      <w:pPr>
        <w:pStyle w:val="9"/>
        <w:spacing w:after="0"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2.《投标文件编制情况》</w:t>
      </w:r>
    </w:p>
    <w:p>
      <w:pPr>
        <w:pStyle w:val="9"/>
        <w:spacing w:after="0" w:line="360" w:lineRule="auto"/>
        <w:ind w:firstLine="1200" w:firstLineChars="500"/>
        <w:rPr>
          <w:rFonts w:hint="eastAsia" w:ascii="宋体" w:hAnsi="宋体" w:eastAsia="宋体" w:cs="宋体"/>
          <w:sz w:val="24"/>
          <w:szCs w:val="24"/>
          <w:highlight w:val="none"/>
        </w:rPr>
      </w:pPr>
    </w:p>
    <w:p>
      <w:pPr>
        <w:wordWrap w:val="0"/>
        <w:spacing w:line="360" w:lineRule="auto"/>
        <w:ind w:right="90" w:firstLine="3840" w:firstLineChars="1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投标人（盖章）：</w:t>
      </w:r>
      <w:r>
        <w:rPr>
          <w:rFonts w:hint="eastAsia" w:ascii="宋体" w:hAnsi="宋体" w:eastAsia="宋体" w:cs="宋体"/>
          <w:sz w:val="24"/>
          <w:szCs w:val="24"/>
          <w:highlight w:val="none"/>
          <w:u w:val="single"/>
        </w:rPr>
        <w:t xml:space="preserve">                           </w:t>
      </w:r>
    </w:p>
    <w:p>
      <w:pPr>
        <w:pStyle w:val="2"/>
        <w:rPr>
          <w:rFonts w:hint="eastAsia"/>
        </w:rPr>
      </w:pPr>
    </w:p>
    <w:p>
      <w:pPr>
        <w:wordWrap w:val="0"/>
        <w:spacing w:line="360" w:lineRule="auto"/>
        <w:ind w:right="9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法定代表人或其委托代理人：</w:t>
      </w:r>
      <w:r>
        <w:rPr>
          <w:rFonts w:hint="eastAsia" w:ascii="宋体" w:hAnsi="宋体" w:eastAsia="宋体" w:cs="宋体"/>
          <w:sz w:val="24"/>
          <w:szCs w:val="24"/>
          <w:highlight w:val="none"/>
          <w:u w:val="single"/>
        </w:rPr>
        <w:t xml:space="preserve">                  </w:t>
      </w:r>
    </w:p>
    <w:p>
      <w:pPr>
        <w:pStyle w:val="2"/>
        <w:wordWrap/>
        <w:rPr>
          <w:rFonts w:hint="eastAsia"/>
        </w:rPr>
      </w:pPr>
    </w:p>
    <w:p>
      <w:pPr>
        <w:spacing w:line="360" w:lineRule="auto"/>
        <w:ind w:right="90" w:firstLine="333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9"/>
        <w:spacing w:after="0" w:line="360" w:lineRule="auto"/>
        <w:ind w:firstLine="723"/>
        <w:jc w:val="center"/>
        <w:rPr>
          <w:rFonts w:hint="eastAsia" w:ascii="宋体" w:hAnsi="宋体" w:eastAsia="宋体" w:cs="宋体"/>
          <w:b/>
          <w:sz w:val="36"/>
          <w:szCs w:val="36"/>
          <w:highlight w:val="none"/>
        </w:rPr>
      </w:pPr>
    </w:p>
    <w:p>
      <w:pPr>
        <w:pStyle w:val="9"/>
        <w:spacing w:after="0" w:line="360" w:lineRule="auto"/>
        <w:ind w:firstLine="723"/>
        <w:jc w:val="center"/>
        <w:rPr>
          <w:rFonts w:hint="eastAsia" w:ascii="宋体" w:hAnsi="宋体" w:eastAsia="宋体" w:cs="宋体"/>
          <w:b/>
          <w:sz w:val="36"/>
          <w:szCs w:val="36"/>
          <w:highlight w:val="none"/>
        </w:rPr>
      </w:pPr>
    </w:p>
    <w:p>
      <w:pPr>
        <w:pStyle w:val="9"/>
        <w:spacing w:after="0" w:line="360" w:lineRule="auto"/>
        <w:ind w:firstLine="723"/>
        <w:jc w:val="center"/>
        <w:rPr>
          <w:rFonts w:hint="eastAsia" w:ascii="宋体" w:hAnsi="宋体" w:eastAsia="宋体" w:cs="宋体"/>
          <w:b/>
          <w:sz w:val="36"/>
          <w:szCs w:val="36"/>
          <w:highlight w:val="none"/>
        </w:rPr>
      </w:pPr>
    </w:p>
    <w:p>
      <w:pPr>
        <w:pStyle w:val="9"/>
        <w:spacing w:after="0" w:line="360" w:lineRule="auto"/>
        <w:ind w:firstLine="723"/>
        <w:jc w:val="center"/>
        <w:rPr>
          <w:rFonts w:hint="eastAsia" w:ascii="宋体" w:hAnsi="宋体" w:eastAsia="宋体" w:cs="宋体"/>
          <w:b/>
          <w:sz w:val="36"/>
          <w:szCs w:val="36"/>
          <w:highlight w:val="none"/>
        </w:rPr>
      </w:pPr>
    </w:p>
    <w:p>
      <w:pPr>
        <w:pStyle w:val="9"/>
        <w:spacing w:after="0" w:line="360" w:lineRule="auto"/>
        <w:ind w:firstLine="723"/>
        <w:jc w:val="center"/>
        <w:rPr>
          <w:rFonts w:hint="eastAsia" w:ascii="宋体" w:hAnsi="宋体" w:eastAsia="宋体" w:cs="宋体"/>
          <w:b/>
          <w:sz w:val="36"/>
          <w:szCs w:val="36"/>
          <w:highlight w:val="none"/>
        </w:rPr>
      </w:pPr>
    </w:p>
    <w:p>
      <w:pPr>
        <w:pStyle w:val="9"/>
        <w:spacing w:after="0" w:line="360" w:lineRule="auto"/>
        <w:ind w:firstLine="723"/>
        <w:jc w:val="center"/>
        <w:rPr>
          <w:rFonts w:hint="eastAsia" w:ascii="宋体" w:hAnsi="宋体" w:eastAsia="宋体" w:cs="宋体"/>
          <w:b/>
          <w:sz w:val="36"/>
          <w:szCs w:val="36"/>
          <w:highlight w:val="none"/>
        </w:rPr>
      </w:pPr>
    </w:p>
    <w:p>
      <w:pPr>
        <w:pStyle w:val="9"/>
        <w:spacing w:after="0" w:line="360" w:lineRule="auto"/>
        <w:ind w:firstLine="723"/>
        <w:jc w:val="center"/>
        <w:rPr>
          <w:rFonts w:hint="eastAsia" w:ascii="宋体" w:hAnsi="宋体" w:eastAsia="宋体" w:cs="宋体"/>
          <w:b/>
          <w:sz w:val="36"/>
          <w:szCs w:val="36"/>
          <w:highlight w:val="none"/>
        </w:rPr>
      </w:pPr>
    </w:p>
    <w:p>
      <w:pPr>
        <w:pStyle w:val="9"/>
        <w:spacing w:after="0" w:line="360" w:lineRule="auto"/>
        <w:ind w:left="0" w:leftChars="0" w:firstLine="0" w:firstLineChars="0"/>
        <w:jc w:val="both"/>
        <w:rPr>
          <w:rFonts w:hint="eastAsia" w:ascii="宋体" w:hAnsi="宋体" w:eastAsia="宋体" w:cs="宋体"/>
          <w:b/>
          <w:sz w:val="36"/>
          <w:szCs w:val="36"/>
          <w:highlight w:val="none"/>
        </w:rPr>
      </w:pPr>
    </w:p>
    <w:p>
      <w:pPr>
        <w:pStyle w:val="9"/>
        <w:spacing w:after="0"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b/>
          <w:sz w:val="36"/>
          <w:szCs w:val="36"/>
          <w:highlight w:val="none"/>
        </w:rPr>
        <w:t>投标文件编制人员名单</w:t>
      </w:r>
    </w:p>
    <w:tbl>
      <w:tblPr>
        <w:tblStyle w:val="10"/>
        <w:tblW w:w="0" w:type="auto"/>
        <w:tblInd w:w="0" w:type="dxa"/>
        <w:tblLayout w:type="fixed"/>
        <w:tblCellMar>
          <w:top w:w="0" w:type="dxa"/>
          <w:left w:w="108" w:type="dxa"/>
          <w:bottom w:w="0" w:type="dxa"/>
          <w:right w:w="108" w:type="dxa"/>
        </w:tblCellMar>
      </w:tblPr>
      <w:tblGrid>
        <w:gridCol w:w="1249"/>
        <w:gridCol w:w="1453"/>
        <w:gridCol w:w="2486"/>
        <w:gridCol w:w="2383"/>
        <w:gridCol w:w="1609"/>
      </w:tblGrid>
      <w:tr>
        <w:tblPrEx>
          <w:tblCellMar>
            <w:top w:w="0" w:type="dxa"/>
            <w:left w:w="108" w:type="dxa"/>
            <w:bottom w:w="0" w:type="dxa"/>
            <w:right w:w="108" w:type="dxa"/>
          </w:tblCellMar>
        </w:tblPrEx>
        <w:trPr>
          <w:trHeight w:val="318" w:hRule="atLeast"/>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tc>
      </w:tr>
      <w:tr>
        <w:tblPrEx>
          <w:tblCellMar>
            <w:top w:w="0" w:type="dxa"/>
            <w:left w:w="108" w:type="dxa"/>
            <w:bottom w:w="0" w:type="dxa"/>
            <w:right w:w="108" w:type="dxa"/>
          </w:tblCellMar>
        </w:tblPrEx>
        <w:trPr>
          <w:trHeight w:val="212"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248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所承担工作</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本人签名栏</w:t>
            </w:r>
          </w:p>
        </w:tc>
      </w:tr>
      <w:tr>
        <w:tblPrEx>
          <w:tblCellMar>
            <w:top w:w="0" w:type="dxa"/>
            <w:left w:w="108" w:type="dxa"/>
            <w:bottom w:w="0" w:type="dxa"/>
            <w:right w:w="108" w:type="dxa"/>
          </w:tblCellMar>
        </w:tblPrEx>
        <w:trPr>
          <w:trHeight w:val="58"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162"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123"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214"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eastAsia" w:ascii="宋体" w:hAnsi="宋体" w:eastAsia="宋体" w:cs="宋体"/>
                <w:sz w:val="24"/>
                <w:szCs w:val="24"/>
                <w:highlight w:val="none"/>
              </w:rPr>
            </w:pPr>
          </w:p>
        </w:tc>
      </w:tr>
    </w:tbl>
    <w:p>
      <w:pPr>
        <w:tabs>
          <w:tab w:val="left" w:pos="720"/>
        </w:tabs>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编制负责人：                          解释负责人：</w:t>
      </w:r>
    </w:p>
    <w:p>
      <w:pPr>
        <w:pStyle w:val="9"/>
        <w:spacing w:after="0" w:line="360" w:lineRule="auto"/>
        <w:ind w:left="-2" w:leftChars="-1" w:firstLine="0"/>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b/>
          <w:sz w:val="24"/>
          <w:szCs w:val="24"/>
          <w:highlight w:val="none"/>
        </w:rPr>
        <w:t>1.</w:t>
      </w:r>
      <w:r>
        <w:rPr>
          <w:rFonts w:hint="eastAsia" w:ascii="宋体" w:hAnsi="宋体" w:eastAsia="宋体" w:cs="宋体"/>
          <w:sz w:val="24"/>
          <w:szCs w:val="24"/>
          <w:highlight w:val="none"/>
        </w:rPr>
        <w:t>参与编制标书所有人员名单应包括编制各种专业工程量清单投标报价、负责清样校对、负责加密打包、负责上传、负责密封、负责打印及复印等所有人员在内的人员名单。</w:t>
      </w:r>
    </w:p>
    <w:p>
      <w:pPr>
        <w:pStyle w:val="9"/>
        <w:spacing w:after="0"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2. </w:t>
      </w:r>
      <w:r>
        <w:rPr>
          <w:rFonts w:hint="eastAsia" w:ascii="宋体" w:hAnsi="宋体" w:eastAsia="宋体" w:cs="宋体"/>
          <w:sz w:val="24"/>
          <w:szCs w:val="24"/>
          <w:highlight w:val="none"/>
        </w:rPr>
        <w:t>上述人员可以兼任</w:t>
      </w:r>
      <w:r>
        <w:rPr>
          <w:rFonts w:hint="eastAsia" w:ascii="宋体" w:hAnsi="宋体" w:eastAsia="宋体" w:cs="宋体"/>
          <w:b/>
          <w:sz w:val="24"/>
          <w:szCs w:val="24"/>
          <w:highlight w:val="none"/>
        </w:rPr>
        <w:t>。</w:t>
      </w:r>
    </w:p>
    <w:p>
      <w:pPr>
        <w:pStyle w:val="9"/>
        <w:spacing w:after="0" w:line="360" w:lineRule="auto"/>
        <w:ind w:firstLine="0"/>
        <w:jc w:val="center"/>
        <w:rPr>
          <w:rFonts w:hint="eastAsia" w:ascii="宋体" w:hAnsi="宋体" w:eastAsia="宋体" w:cs="宋体"/>
          <w:b/>
          <w:sz w:val="36"/>
          <w:szCs w:val="36"/>
          <w:highlight w:val="none"/>
        </w:rPr>
      </w:pPr>
    </w:p>
    <w:p>
      <w:pPr>
        <w:pStyle w:val="9"/>
        <w:spacing w:after="0" w:line="360" w:lineRule="auto"/>
        <w:ind w:firstLine="360"/>
        <w:jc w:val="center"/>
        <w:rPr>
          <w:rFonts w:hint="eastAsia" w:ascii="宋体" w:hAnsi="宋体" w:eastAsia="宋体" w:cs="宋体"/>
          <w:sz w:val="24"/>
          <w:szCs w:val="24"/>
          <w:highlight w:val="none"/>
        </w:rPr>
      </w:pPr>
      <w:r>
        <w:rPr>
          <w:rFonts w:hint="eastAsia" w:ascii="宋体" w:hAnsi="宋体" w:eastAsia="宋体" w:cs="宋体"/>
          <w:b/>
          <w:sz w:val="36"/>
          <w:szCs w:val="36"/>
          <w:highlight w:val="none"/>
        </w:rPr>
        <w:t>投标文件编制情况</w:t>
      </w:r>
    </w:p>
    <w:p>
      <w:pPr>
        <w:pStyle w:val="9"/>
        <w:spacing w:after="0"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1.投标文件报价编制方式: □自行编制的，编制的负责人：</w:t>
      </w:r>
      <w:r>
        <w:rPr>
          <w:rFonts w:hint="eastAsia" w:ascii="宋体" w:hAnsi="宋体" w:eastAsia="宋体" w:cs="宋体"/>
          <w:sz w:val="24"/>
          <w:szCs w:val="24"/>
          <w:highlight w:val="none"/>
          <w:u w:val="single"/>
        </w:rPr>
        <w:t xml:space="preserve"> （盖造价工程师执业专用章或全国建设工程造价员章，执业单位应与投标人一致） </w:t>
      </w:r>
      <w:r>
        <w:rPr>
          <w:rFonts w:hint="eastAsia" w:ascii="宋体" w:hAnsi="宋体" w:eastAsia="宋体" w:cs="宋体"/>
          <w:sz w:val="24"/>
          <w:szCs w:val="24"/>
          <w:highlight w:val="none"/>
        </w:rPr>
        <w:t>。□委托编制的，受委托单位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，编制的负责人：</w:t>
      </w:r>
      <w:r>
        <w:rPr>
          <w:rFonts w:hint="eastAsia" w:ascii="宋体" w:hAnsi="宋体" w:eastAsia="宋体" w:cs="宋体"/>
          <w:sz w:val="24"/>
          <w:szCs w:val="24"/>
          <w:highlight w:val="none"/>
          <w:u w:val="single"/>
        </w:rPr>
        <w:t xml:space="preserve"> （盖造价工程师执业专用章或全国建设工程造价员章，执业单位应与受委托单位一致） </w:t>
      </w:r>
      <w:r>
        <w:rPr>
          <w:rFonts w:hint="eastAsia" w:ascii="宋体" w:hAnsi="宋体" w:eastAsia="宋体" w:cs="宋体"/>
          <w:sz w:val="24"/>
          <w:szCs w:val="24"/>
          <w:highlight w:val="none"/>
        </w:rPr>
        <w:t>。</w:t>
      </w:r>
    </w:p>
    <w:p>
      <w:pPr>
        <w:pStyle w:val="9"/>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2.投标报价（是□ / 否□）根据招标人提供的最高投标限价清单综合单价进行编制（招标人未提供最高投标限价清单综合单价的，直接勾选否）；</w:t>
      </w:r>
    </w:p>
    <w:p>
      <w:pPr>
        <w:pStyle w:val="9"/>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3.投标报价的分部分项工程量清单综合单价沿用最高投标限价工程量清单综合单价比例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%(最高投标限价分部分项工程量清单项目数的总数作分母，沿用最高投标限价分部分项工程量综合单价的项目数作分子)。</w:t>
      </w:r>
    </w:p>
    <w:p>
      <w:pPr>
        <w:pStyle w:val="9"/>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4.投标文件加密打包的电脑情况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37"/>
        <w:gridCol w:w="217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pPr>
              <w:pStyle w:val="9"/>
              <w:spacing w:after="0"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投标文件加密打包的电脑</w:t>
            </w:r>
          </w:p>
        </w:tc>
        <w:tc>
          <w:tcPr>
            <w:tcW w:w="2137" w:type="dxa"/>
            <w:noWrap w:val="0"/>
            <w:vAlign w:val="center"/>
          </w:tcPr>
          <w:p>
            <w:pPr>
              <w:pStyle w:val="9"/>
              <w:spacing w:after="0"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自有    □</w:t>
            </w:r>
          </w:p>
        </w:tc>
        <w:tc>
          <w:tcPr>
            <w:tcW w:w="2170" w:type="dxa"/>
            <w:noWrap w:val="0"/>
            <w:vAlign w:val="center"/>
          </w:tcPr>
          <w:p>
            <w:pPr>
              <w:pStyle w:val="9"/>
              <w:spacing w:after="0"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外包    □</w:t>
            </w:r>
          </w:p>
        </w:tc>
        <w:tc>
          <w:tcPr>
            <w:tcW w:w="2232" w:type="dxa"/>
            <w:noWrap w:val="0"/>
            <w:vAlign w:val="center"/>
          </w:tcPr>
          <w:p>
            <w:pPr>
              <w:pStyle w:val="9"/>
              <w:spacing w:after="0"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pPr>
              <w:pStyle w:val="9"/>
              <w:spacing w:after="0"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电脑类型</w:t>
            </w:r>
          </w:p>
        </w:tc>
        <w:tc>
          <w:tcPr>
            <w:tcW w:w="6539" w:type="dxa"/>
            <w:gridSpan w:val="3"/>
            <w:noWrap w:val="0"/>
            <w:vAlign w:val="center"/>
          </w:tcPr>
          <w:p>
            <w:pPr>
              <w:pStyle w:val="9"/>
              <w:spacing w:after="0" w:line="36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pPr>
              <w:pStyle w:val="9"/>
              <w:spacing w:after="0"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电脑所属单位</w:t>
            </w:r>
          </w:p>
        </w:tc>
        <w:tc>
          <w:tcPr>
            <w:tcW w:w="6539" w:type="dxa"/>
            <w:gridSpan w:val="3"/>
            <w:noWrap w:val="0"/>
            <w:vAlign w:val="center"/>
          </w:tcPr>
          <w:p>
            <w:pPr>
              <w:pStyle w:val="9"/>
              <w:spacing w:after="0" w:line="36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pPr>
              <w:pStyle w:val="9"/>
              <w:spacing w:after="0"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电脑所在地址</w:t>
            </w:r>
          </w:p>
        </w:tc>
        <w:tc>
          <w:tcPr>
            <w:tcW w:w="6539" w:type="dxa"/>
            <w:gridSpan w:val="3"/>
            <w:noWrap w:val="0"/>
            <w:vAlign w:val="center"/>
          </w:tcPr>
          <w:p>
            <w:pPr>
              <w:pStyle w:val="9"/>
              <w:spacing w:after="0" w:line="360" w:lineRule="auto"/>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（如××市××区(县) ××街（路）××号××大厦××房）</w:t>
            </w:r>
          </w:p>
        </w:tc>
      </w:tr>
    </w:tbl>
    <w:p>
      <w:pPr>
        <w:spacing w:line="420" w:lineRule="exact"/>
        <w:outlineLvl w:val="2"/>
        <w:rPr>
          <w:rFonts w:hint="eastAsia" w:ascii="宋体" w:hAnsi="宋体" w:eastAsia="宋体" w:cs="宋体"/>
          <w:b/>
          <w:sz w:val="36"/>
          <w:szCs w:val="36"/>
          <w:highlight w:val="none"/>
        </w:rPr>
      </w:pPr>
      <w:r>
        <w:rPr>
          <w:rFonts w:hint="eastAsia" w:ascii="宋体" w:hAnsi="宋体" w:eastAsia="宋体" w:cs="宋体"/>
          <w:sz w:val="24"/>
          <w:szCs w:val="24"/>
          <w:highlight w:val="none"/>
        </w:rPr>
        <w:br w:type="page"/>
      </w:r>
      <w:bookmarkStart w:id="217" w:name="_Toc14674"/>
      <w:bookmarkStart w:id="218" w:name="_Toc17823"/>
      <w:bookmarkStart w:id="219" w:name="_Toc1565"/>
      <w:bookmarkStart w:id="220" w:name="_Toc31826"/>
      <w:r>
        <w:rPr>
          <w:rFonts w:hint="eastAsia" w:ascii="宋体" w:hAnsi="宋体" w:eastAsia="宋体" w:cs="宋体"/>
          <w:sz w:val="24"/>
          <w:szCs w:val="24"/>
          <w:highlight w:val="none"/>
        </w:rPr>
        <w:t>附件17 投标人声明</w:t>
      </w:r>
      <w:bookmarkEnd w:id="217"/>
      <w:bookmarkEnd w:id="218"/>
      <w:bookmarkEnd w:id="219"/>
      <w:bookmarkEnd w:id="220"/>
    </w:p>
    <w:p>
      <w:pPr>
        <w:spacing w:line="420" w:lineRule="exact"/>
        <w:jc w:val="center"/>
        <w:rPr>
          <w:rFonts w:hint="eastAsia" w:ascii="宋体" w:hAnsi="宋体" w:eastAsia="宋体" w:cs="宋体"/>
          <w:b/>
          <w:sz w:val="36"/>
          <w:szCs w:val="36"/>
          <w:highlight w:val="none"/>
        </w:rPr>
      </w:pPr>
    </w:p>
    <w:p>
      <w:pPr>
        <w:spacing w:line="42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w:t>
      </w:r>
      <w:r>
        <w:rPr>
          <w:rFonts w:hint="eastAsia" w:ascii="宋体" w:hAnsi="宋体" w:eastAsia="宋体" w:cs="宋体"/>
          <w:b/>
          <w:kern w:val="0"/>
          <w:sz w:val="36"/>
          <w:szCs w:val="36"/>
          <w:highlight w:val="none"/>
        </w:rPr>
        <w:t>人</w:t>
      </w:r>
      <w:r>
        <w:rPr>
          <w:rFonts w:hint="eastAsia" w:ascii="宋体" w:hAnsi="宋体" w:eastAsia="宋体" w:cs="宋体"/>
          <w:b/>
          <w:sz w:val="36"/>
          <w:szCs w:val="36"/>
          <w:highlight w:val="none"/>
        </w:rPr>
        <w:t>声明</w:t>
      </w:r>
    </w:p>
    <w:p>
      <w:pPr>
        <w:spacing w:line="420" w:lineRule="exact"/>
        <w:jc w:val="center"/>
        <w:rPr>
          <w:rFonts w:hint="eastAsia" w:ascii="宋体" w:hAnsi="宋体" w:eastAsia="宋体" w:cs="宋体"/>
          <w:b/>
          <w:sz w:val="36"/>
          <w:szCs w:val="36"/>
          <w:highlight w:val="none"/>
        </w:rPr>
      </w:pPr>
    </w:p>
    <w:p>
      <w:pPr>
        <w:pStyle w:val="15"/>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广州市林业和园林局、本招标项目招标人</w:t>
      </w:r>
      <w:r>
        <w:rPr>
          <w:rFonts w:hint="eastAsia" w:ascii="宋体" w:hAnsi="宋体" w:eastAsia="宋体" w:cs="宋体"/>
          <w:color w:val="auto"/>
          <w:sz w:val="28"/>
          <w:szCs w:val="28"/>
          <w:highlight w:val="none"/>
          <w:u w:val="single"/>
        </w:rPr>
        <w:t>及招标监管机构</w:t>
      </w:r>
      <w:r>
        <w:rPr>
          <w:rFonts w:hint="eastAsia" w:ascii="宋体" w:hAnsi="宋体" w:eastAsia="宋体" w:cs="宋体"/>
          <w:color w:val="auto"/>
          <w:sz w:val="28"/>
          <w:szCs w:val="28"/>
          <w:highlight w:val="none"/>
        </w:rPr>
        <w:t>：</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本公司就参加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投标工作，作出郑重声明：</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一、本公司保证本次投标活动所提供的材料都是真实的；在广州公共资源交易中心企业库登记的一切信息都是真实的、在有效期内的。</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二、资格审查前，本公司在广州公共资源交易中心已办理企业信息登记及拟担任本工程项目负责人是本企业信息登记中的在册人员。</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三、本公司拟委派</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担任本工程的项目负责人，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担任本工程的技术负责人。</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四、本公司保证在本项目投标中不与其他单位围标、串标，不出让投标资格，不向招标人或评标委员会成员行贿。</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本公司没有处于被责令停业的状态；没有处于被建设行政主管部门取消投标资格的处罚期内；没有处于财产被接管、冻结、破产的状态；在投标资格审查截止日期前两年内没有建设行政主管部门、城市园林绿化行业主管部门已书面认定的重大工程质量问题；本公司或公司法定代表人、拟委派的项目负责人在近三年内没有行贿犯罪行为；本公司没有被人民法院列入失信被执行人名单。</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本公司没有被列入国家、省、市失信联合惩戒名单或被本项目所在地行政主管部门限制参与工程建设项目投标。</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六、本公司拟委派专职安全员兼任本工程的工地余泥渣土运输与排放管理员，严格遵守建设工程余泥渣土运输与排放管理制度，执行“一不准进、三不准出”规定。选择合法的余泥渣土运输单位及排放点。</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七、本公司及其有隶属关系的机构没有参加本项目的设计、前期工作、招标文件编写、监理工作；本公司与承担本招标项目监理业务的单位没有隶属关系或其他利害关系。 </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八、本公司保证本项目拟派的项目负责人和安全员没有在其他在建项目中任职。</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九、本公司保证本项目投标文件编制、解释负责人按招标文件规定完成评标委员会提出的澄清要求（如有）。</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十、我司同意并授权招标人将我司响应招标文件要求的资格能力条件等信息进行公示。</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特此声明</w:t>
      </w:r>
    </w:p>
    <w:p>
      <w:pPr>
        <w:pStyle w:val="15"/>
        <w:ind w:firstLine="560" w:firstLineChars="200"/>
        <w:rPr>
          <w:rFonts w:hint="eastAsia" w:ascii="宋体" w:hAnsi="宋体" w:eastAsia="宋体" w:cs="宋体"/>
          <w:color w:val="auto"/>
          <w:sz w:val="28"/>
          <w:szCs w:val="28"/>
          <w:highlight w:val="none"/>
        </w:rPr>
      </w:pPr>
    </w:p>
    <w:p>
      <w:pPr>
        <w:pStyle w:val="15"/>
        <w:ind w:right="14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                       投标人：（盖章）           </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项目负责人签字：                       </w:t>
      </w:r>
    </w:p>
    <w:p>
      <w:pPr>
        <w:pStyle w:val="15"/>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技术负责人签字：                         </w:t>
      </w:r>
    </w:p>
    <w:p>
      <w:pPr>
        <w:widowControl/>
        <w:spacing w:line="420" w:lineRule="exact"/>
        <w:jc w:val="left"/>
        <w:rPr>
          <w:rFonts w:hint="eastAsia" w:ascii="宋体" w:hAnsi="宋体" w:eastAsia="宋体" w:cs="宋体"/>
          <w:kern w:val="0"/>
          <w:sz w:val="24"/>
          <w:szCs w:val="24"/>
          <w:highlight w:val="none"/>
        </w:rPr>
        <w:sectPr>
          <w:endnotePr>
            <w:numFmt w:val="decimal"/>
          </w:endnotePr>
          <w:pgSz w:w="11850" w:h="16783"/>
          <w:pgMar w:top="1440" w:right="1418" w:bottom="1440" w:left="1418" w:header="851" w:footer="907" w:gutter="0"/>
          <w:pgNumType w:fmt="decimal"/>
          <w:cols w:space="720" w:num="1"/>
        </w:sectPr>
      </w:pPr>
      <w:r>
        <w:rPr>
          <w:rFonts w:hint="eastAsia" w:ascii="宋体" w:hAnsi="宋体" w:eastAsia="宋体" w:cs="宋体"/>
          <w:sz w:val="28"/>
          <w:szCs w:val="28"/>
          <w:highlight w:val="none"/>
        </w:rPr>
        <w:t xml:space="preserve">                                           </w:t>
      </w:r>
      <w:r>
        <w:rPr>
          <w:rFonts w:hint="eastAsia" w:ascii="宋体" w:hAnsi="宋体" w:eastAsia="宋体" w:cs="宋体"/>
          <w:kern w:val="0"/>
          <w:sz w:val="28"/>
          <w:szCs w:val="28"/>
          <w:highlight w:val="none"/>
        </w:rPr>
        <w:t>年   月   日</w:t>
      </w:r>
    </w:p>
    <w:p>
      <w:pPr>
        <w:outlineLvl w:val="2"/>
        <w:rPr>
          <w:rFonts w:hint="eastAsia" w:ascii="宋体" w:hAnsi="宋体" w:eastAsia="宋体" w:cs="宋体"/>
          <w:sz w:val="24"/>
          <w:szCs w:val="24"/>
          <w:highlight w:val="none"/>
        </w:rPr>
      </w:pPr>
      <w:bookmarkStart w:id="221" w:name="_Toc14047"/>
      <w:bookmarkStart w:id="222" w:name="_Toc10089"/>
      <w:bookmarkStart w:id="223" w:name="_Toc31234"/>
      <w:bookmarkStart w:id="224" w:name="_Toc4231"/>
      <w:bookmarkStart w:id="225" w:name="_Toc507590785"/>
      <w:bookmarkStart w:id="226" w:name="_Toc300835213"/>
      <w:bookmarkStart w:id="227" w:name="_Toc507162845"/>
      <w:bookmarkStart w:id="228" w:name="_Toc152042580"/>
      <w:bookmarkStart w:id="229" w:name="_Toc144974860"/>
      <w:bookmarkStart w:id="230" w:name="_Toc152045791"/>
      <w:bookmarkStart w:id="231" w:name="_Toc247514283"/>
      <w:bookmarkStart w:id="232" w:name="_Toc247527831"/>
      <w:r>
        <w:rPr>
          <w:rFonts w:hint="eastAsia" w:ascii="宋体" w:hAnsi="宋体" w:eastAsia="宋体" w:cs="宋体"/>
          <w:sz w:val="24"/>
          <w:szCs w:val="24"/>
          <w:highlight w:val="none"/>
        </w:rPr>
        <w:t>附件18 法人代表证明书及法定代表人授权书</w:t>
      </w:r>
      <w:bookmarkEnd w:id="221"/>
      <w:bookmarkEnd w:id="222"/>
      <w:bookmarkEnd w:id="223"/>
      <w:bookmarkEnd w:id="224"/>
    </w:p>
    <w:p>
      <w:pPr>
        <w:adjustRightInd w:val="0"/>
        <w:snapToGrid w:val="0"/>
        <w:spacing w:line="360" w:lineRule="auto"/>
        <w:jc w:val="center"/>
        <w:rPr>
          <w:rFonts w:hint="eastAsia" w:ascii="宋体" w:hAnsi="宋体" w:eastAsia="宋体" w:cs="宋体"/>
          <w:b/>
          <w:sz w:val="32"/>
          <w:highlight w:val="none"/>
        </w:rPr>
      </w:pPr>
    </w:p>
    <w:p>
      <w:pPr>
        <w:adjustRightInd w:val="0"/>
        <w:snapToGrid w:val="0"/>
        <w:spacing w:line="360" w:lineRule="auto"/>
        <w:jc w:val="center"/>
        <w:rPr>
          <w:rFonts w:hint="eastAsia" w:ascii="宋体" w:hAnsi="宋体" w:eastAsia="宋体" w:cs="宋体"/>
          <w:b/>
          <w:sz w:val="32"/>
          <w:highlight w:val="none"/>
        </w:rPr>
      </w:pPr>
      <w:r>
        <w:rPr>
          <w:rFonts w:hint="eastAsia" w:ascii="宋体" w:hAnsi="宋体" w:eastAsia="宋体" w:cs="宋体"/>
          <w:b/>
          <w:sz w:val="32"/>
          <w:highlight w:val="none"/>
        </w:rPr>
        <w:t>法定代表人证明</w:t>
      </w:r>
      <w:bookmarkEnd w:id="225"/>
      <w:bookmarkEnd w:id="226"/>
      <w:bookmarkEnd w:id="227"/>
      <w:bookmarkEnd w:id="228"/>
      <w:bookmarkEnd w:id="229"/>
      <w:bookmarkEnd w:id="230"/>
      <w:bookmarkEnd w:id="231"/>
      <w:bookmarkEnd w:id="232"/>
      <w:r>
        <w:rPr>
          <w:rFonts w:hint="eastAsia" w:ascii="宋体" w:hAnsi="宋体" w:eastAsia="宋体" w:cs="宋体"/>
          <w:b/>
          <w:sz w:val="32"/>
          <w:highlight w:val="none"/>
        </w:rPr>
        <w:t>书</w:t>
      </w:r>
    </w:p>
    <w:p>
      <w:pPr>
        <w:adjustRightInd w:val="0"/>
        <w:snapToGrid w:val="0"/>
        <w:spacing w:line="360" w:lineRule="auto"/>
        <w:ind w:firstLine="400" w:firstLineChars="200"/>
        <w:rPr>
          <w:rFonts w:hint="eastAsia" w:ascii="宋体" w:hAnsi="宋体" w:eastAsia="宋体" w:cs="宋体"/>
          <w:sz w:val="20"/>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（姓名）现任我单位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职务，为我单位法定代表人，特此证明。</w:t>
      </w:r>
    </w:p>
    <w:p>
      <w:pPr>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有效期限：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企业统一社会信用代码：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，企业类型：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rPr>
          <w:rFonts w:hint="eastAsia" w:ascii="宋体" w:hAnsi="宋体" w:eastAsia="宋体" w:cs="宋体"/>
          <w:sz w:val="24"/>
          <w:szCs w:val="24"/>
          <w:highlight w:val="none"/>
        </w:rPr>
      </w:pPr>
    </w:p>
    <w:p>
      <w:pPr>
        <w:adjustRightInd w:val="0"/>
        <w:snapToGrid w:val="0"/>
        <w:spacing w:line="360" w:lineRule="auto"/>
        <w:rPr>
          <w:rFonts w:hint="eastAsia" w:ascii="宋体" w:hAnsi="宋体" w:eastAsia="宋体" w:cs="宋体"/>
          <w:sz w:val="24"/>
          <w:szCs w:val="24"/>
          <w:highlight w:val="none"/>
        </w:rPr>
      </w:pPr>
    </w:p>
    <w:p>
      <w:pPr>
        <w:adjustRightInd w:val="0"/>
        <w:snapToGrid w:val="0"/>
        <w:spacing w:line="360" w:lineRule="auto"/>
        <w:rPr>
          <w:rFonts w:hint="eastAsia" w:ascii="宋体" w:hAnsi="宋体" w:eastAsia="宋体" w:cs="宋体"/>
          <w:sz w:val="24"/>
          <w:szCs w:val="24"/>
          <w:highlight w:val="none"/>
        </w:rPr>
      </w:pPr>
    </w:p>
    <w:p>
      <w:pPr>
        <w:adjustRightInd w:val="0"/>
        <w:snapToGrid w:val="0"/>
        <w:spacing w:line="360" w:lineRule="auto"/>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投标人：（盖章）</w:t>
      </w:r>
      <w:r>
        <w:rPr>
          <w:rFonts w:hint="eastAsia" w:ascii="宋体" w:hAnsi="宋体" w:eastAsia="宋体" w:cs="宋体"/>
          <w:sz w:val="24"/>
          <w:szCs w:val="24"/>
          <w:highlight w:val="none"/>
          <w:u w:val="single"/>
        </w:rPr>
        <w:t xml:space="preserve">                               </w:t>
      </w:r>
    </w:p>
    <w:p>
      <w:pPr>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法定代表人：（签字或盖章）</w:t>
      </w:r>
      <w:r>
        <w:rPr>
          <w:rFonts w:hint="eastAsia" w:ascii="宋体" w:hAnsi="宋体" w:eastAsia="宋体" w:cs="宋体"/>
          <w:sz w:val="24"/>
          <w:szCs w:val="24"/>
          <w:highlight w:val="none"/>
          <w:u w:val="single"/>
        </w:rPr>
        <w:t xml:space="preserve">                     </w:t>
      </w:r>
    </w:p>
    <w:p>
      <w:pPr>
        <w:adjustRightInd w:val="0"/>
        <w:snapToGrid w:val="0"/>
        <w:spacing w:line="360" w:lineRule="auto"/>
        <w:ind w:firstLine="480" w:firstLineChars="200"/>
        <w:rPr>
          <w:rFonts w:hint="eastAsia" w:ascii="宋体" w:hAnsi="宋体" w:eastAsia="宋体" w:cs="宋体"/>
          <w:sz w:val="24"/>
          <w:szCs w:val="24"/>
          <w:highlight w:val="none"/>
          <w:u w:val="singl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adjustRightInd w:val="0"/>
        <w:snapToGrid w:val="0"/>
        <w:spacing w:line="360" w:lineRule="auto"/>
        <w:ind w:firstLine="480" w:firstLineChars="200"/>
        <w:jc w:val="center"/>
        <w:rPr>
          <w:rFonts w:hint="eastAsia" w:ascii="宋体" w:hAnsi="宋体" w:eastAsia="宋体" w:cs="宋体"/>
          <w:sz w:val="24"/>
          <w:szCs w:val="24"/>
          <w:highlight w:val="none"/>
          <w:u w:val="single"/>
        </w:rPr>
      </w:pPr>
    </w:p>
    <w:p>
      <w:pPr>
        <w:adjustRightInd w:val="0"/>
        <w:snapToGrid w:val="0"/>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rPr>
        <w:br w:type="page"/>
      </w:r>
      <w:bookmarkStart w:id="233" w:name="_Toc152042581"/>
      <w:bookmarkStart w:id="234" w:name="_Toc300835214"/>
      <w:bookmarkStart w:id="235" w:name="_Toc144974861"/>
      <w:bookmarkStart w:id="236" w:name="_Toc247527832"/>
      <w:bookmarkStart w:id="237" w:name="_Toc507590786"/>
      <w:bookmarkStart w:id="238" w:name="_Toc152045792"/>
      <w:bookmarkStart w:id="239" w:name="_Toc507162846"/>
      <w:bookmarkStart w:id="240" w:name="_Toc247514284"/>
    </w:p>
    <w:p>
      <w:pPr>
        <w:adjustRightInd w:val="0"/>
        <w:snapToGrid w:val="0"/>
        <w:spacing w:line="360" w:lineRule="auto"/>
        <w:ind w:firstLine="643" w:firstLineChars="200"/>
        <w:jc w:val="center"/>
        <w:rPr>
          <w:rFonts w:hint="eastAsia" w:ascii="宋体" w:hAnsi="宋体" w:eastAsia="宋体" w:cs="宋体"/>
          <w:b/>
          <w:sz w:val="32"/>
          <w:highlight w:val="none"/>
        </w:rPr>
      </w:pPr>
      <w:r>
        <w:rPr>
          <w:rFonts w:hint="eastAsia" w:ascii="宋体" w:hAnsi="宋体" w:eastAsia="宋体" w:cs="宋体"/>
          <w:b/>
          <w:sz w:val="32"/>
          <w:highlight w:val="none"/>
        </w:rPr>
        <w:t>法定代表人授权书</w:t>
      </w:r>
      <w:bookmarkEnd w:id="233"/>
      <w:bookmarkEnd w:id="234"/>
      <w:bookmarkEnd w:id="235"/>
      <w:bookmarkEnd w:id="236"/>
      <w:bookmarkEnd w:id="237"/>
      <w:bookmarkEnd w:id="238"/>
      <w:bookmarkEnd w:id="239"/>
      <w:bookmarkEnd w:id="240"/>
    </w:p>
    <w:p>
      <w:pPr>
        <w:adjustRightInd w:val="0"/>
        <w:snapToGrid w:val="0"/>
        <w:spacing w:line="360" w:lineRule="auto"/>
        <w:ind w:firstLine="480" w:firstLineChars="200"/>
        <w:rPr>
          <w:rFonts w:hint="eastAsia" w:ascii="宋体" w:hAnsi="宋体" w:eastAsia="宋体" w:cs="宋体"/>
          <w:sz w:val="24"/>
          <w:highlight w:val="none"/>
        </w:rPr>
      </w:pPr>
    </w:p>
    <w:p>
      <w:pPr>
        <w:topLinePunct/>
        <w:adjustRightInd w:val="0"/>
        <w:snapToGrid w:val="0"/>
        <w:spacing w:line="360" w:lineRule="auto"/>
        <w:ind w:firstLine="480" w:firstLineChars="200"/>
        <w:rPr>
          <w:rFonts w:hint="eastAsia" w:ascii="宋体" w:hAnsi="宋体" w:eastAsia="宋体" w:cs="宋体"/>
          <w:sz w:val="24"/>
          <w:highlight w:val="none"/>
        </w:rPr>
      </w:pPr>
    </w:p>
    <w:p>
      <w:pPr>
        <w:topLinePunct/>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highlight w:val="none"/>
        </w:rPr>
        <w:t>（姓名）为</w:t>
      </w:r>
      <w:r>
        <w:rPr>
          <w:rFonts w:hint="eastAsia" w:ascii="宋体" w:hAnsi="宋体" w:eastAsia="宋体" w:cs="宋体"/>
          <w:sz w:val="24"/>
          <w:szCs w:val="24"/>
          <w:highlight w:val="none"/>
          <w:u w:val="single"/>
        </w:rPr>
        <w:t xml:space="preserve">                </w:t>
      </w:r>
      <w:r>
        <w:rPr>
          <w:rFonts w:hint="eastAsia" w:ascii="宋体" w:hAnsi="宋体" w:eastAsia="宋体" w:cs="宋体"/>
          <w:sz w:val="24"/>
          <w:highlight w:val="none"/>
        </w:rPr>
        <w:t>（投标人名称）的法定代表人，现授</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（姓名）为我方委托代理人。委托代理人根据授权，以我方名义签署、澄清、说明、补正、递交、撤回、修改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（项目名称）勘察设计投标文件，并处理有关事宜，其法律后果由我方承担。委托代理人无转委托权。</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有效期限：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adjustRightInd w:val="0"/>
        <w:snapToGrid w:val="0"/>
        <w:spacing w:line="360" w:lineRule="auto"/>
        <w:rPr>
          <w:rFonts w:hint="eastAsia" w:ascii="宋体" w:hAnsi="宋体" w:eastAsia="宋体" w:cs="宋体"/>
          <w:sz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附：委托代理人身份证复印件</w:t>
      </w:r>
    </w:p>
    <w:p>
      <w:pPr>
        <w:adjustRightInd w:val="0"/>
        <w:snapToGrid w:val="0"/>
        <w:spacing w:line="360" w:lineRule="auto"/>
        <w:rPr>
          <w:rFonts w:hint="eastAsia" w:ascii="宋体" w:hAnsi="宋体" w:eastAsia="宋体" w:cs="宋体"/>
          <w:sz w:val="24"/>
          <w:highlight w:val="none"/>
        </w:rPr>
      </w:pPr>
    </w:p>
    <w:p>
      <w:pPr>
        <w:adjustRightInd w:val="0"/>
        <w:snapToGrid w:val="0"/>
        <w:spacing w:line="360" w:lineRule="auto"/>
        <w:rPr>
          <w:rFonts w:hint="eastAsia" w:ascii="宋体" w:hAnsi="宋体" w:eastAsia="宋体" w:cs="宋体"/>
          <w:sz w:val="24"/>
          <w:highlight w:val="none"/>
        </w:rPr>
      </w:pPr>
    </w:p>
    <w:p>
      <w:pPr>
        <w:adjustRightInd w:val="0"/>
        <w:snapToGrid w:val="0"/>
        <w:spacing w:line="360" w:lineRule="auto"/>
        <w:rPr>
          <w:rFonts w:hint="eastAsia" w:ascii="宋体" w:hAnsi="宋体" w:eastAsia="宋体" w:cs="宋体"/>
          <w:sz w:val="24"/>
          <w:highlight w:val="none"/>
        </w:rPr>
      </w:pPr>
    </w:p>
    <w:p>
      <w:pPr>
        <w:adjustRightInd w:val="0"/>
        <w:snapToGrid w:val="0"/>
        <w:spacing w:line="360" w:lineRule="auto"/>
        <w:rPr>
          <w:rFonts w:hint="eastAsia" w:ascii="宋体" w:hAnsi="宋体" w:eastAsia="宋体" w:cs="宋体"/>
          <w:sz w:val="24"/>
          <w:highlight w:val="none"/>
        </w:rPr>
      </w:pPr>
    </w:p>
    <w:p>
      <w:pPr>
        <w:adjustRightInd w:val="0"/>
        <w:snapToGrid w:val="0"/>
        <w:spacing w:line="360" w:lineRule="auto"/>
        <w:rPr>
          <w:rFonts w:hint="eastAsia" w:ascii="宋体" w:hAnsi="宋体" w:eastAsia="宋体" w:cs="宋体"/>
          <w:sz w:val="24"/>
          <w:highlight w:val="none"/>
        </w:rPr>
      </w:pP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投标人：（盖章）</w:t>
      </w:r>
      <w:r>
        <w:rPr>
          <w:rFonts w:hint="eastAsia" w:ascii="宋体" w:hAnsi="宋体" w:eastAsia="宋体" w:cs="宋体"/>
          <w:sz w:val="24"/>
          <w:highlight w:val="none"/>
          <w:u w:val="single"/>
        </w:rPr>
        <w:t xml:space="preserve">                                           </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法定代表人：（签字或盖章）</w:t>
      </w:r>
      <w:r>
        <w:rPr>
          <w:rFonts w:hint="eastAsia" w:ascii="宋体" w:hAnsi="宋体" w:eastAsia="宋体" w:cs="宋体"/>
          <w:sz w:val="24"/>
          <w:highlight w:val="none"/>
          <w:u w:val="single"/>
        </w:rPr>
        <w:t xml:space="preserve">                                 </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委托代理人：（签字或盖章）</w:t>
      </w:r>
      <w:r>
        <w:rPr>
          <w:rFonts w:hint="eastAsia" w:ascii="宋体" w:hAnsi="宋体" w:eastAsia="宋体" w:cs="宋体"/>
          <w:sz w:val="24"/>
          <w:highlight w:val="none"/>
          <w:u w:val="single"/>
        </w:rPr>
        <w:t xml:space="preserve">                                 </w:t>
      </w:r>
    </w:p>
    <w:p>
      <w:pPr>
        <w:adjustRightInd w:val="0"/>
        <w:snapToGrid w:val="0"/>
        <w:spacing w:line="360" w:lineRule="auto"/>
        <w:ind w:firstLine="480" w:firstLineChars="200"/>
        <w:rPr>
          <w:rFonts w:hint="eastAsia" w:ascii="宋体" w:hAnsi="宋体" w:eastAsia="宋体" w:cs="宋体"/>
          <w:sz w:val="24"/>
          <w:highlight w:val="none"/>
        </w:rPr>
      </w:pPr>
    </w:p>
    <w:p>
      <w:pPr>
        <w:adjustRightInd w:val="0"/>
        <w:snapToGrid w:val="0"/>
        <w:spacing w:line="360" w:lineRule="auto"/>
        <w:ind w:firstLine="480" w:firstLineChars="200"/>
        <w:rPr>
          <w:rFonts w:hint="eastAsia" w:ascii="宋体" w:hAnsi="宋体" w:eastAsia="宋体" w:cs="宋体"/>
          <w:sz w:val="24"/>
          <w:highlight w:val="none"/>
        </w:rPr>
      </w:pPr>
    </w:p>
    <w:p>
      <w:pPr>
        <w:adjustRightInd w:val="0"/>
        <w:snapToGrid w:val="0"/>
        <w:spacing w:line="360" w:lineRule="auto"/>
        <w:ind w:firstLine="480" w:firstLineChars="200"/>
        <w:rPr>
          <w:rFonts w:hint="eastAsia" w:ascii="宋体" w:hAnsi="宋体" w:eastAsia="宋体" w:cs="宋体"/>
          <w:sz w:val="24"/>
          <w:highlight w:val="none"/>
        </w:rPr>
      </w:pPr>
    </w:p>
    <w:p>
      <w:pPr>
        <w:adjustRightInd w:val="0"/>
        <w:snapToGrid w:val="0"/>
        <w:spacing w:line="360" w:lineRule="auto"/>
        <w:ind w:firstLine="4320" w:firstLineChars="1800"/>
        <w:jc w:val="righ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9"/>
        <w:rPr>
          <w:rFonts w:hint="eastAsia" w:ascii="宋体" w:hAnsi="宋体" w:eastAsia="宋体" w:cs="宋体"/>
          <w:highlight w:val="none"/>
        </w:rPr>
        <w:sectPr>
          <w:pgSz w:w="11850" w:h="16783"/>
          <w:pgMar w:top="1417" w:right="1290" w:bottom="1417" w:left="1290" w:header="851" w:footer="992" w:gutter="0"/>
          <w:pgNumType w:fmt="decimal"/>
          <w:cols w:space="720" w:num="1"/>
          <w:docGrid w:type="lines" w:linePitch="312" w:charSpace="0"/>
        </w:sectPr>
      </w:pPr>
    </w:p>
    <w:p>
      <w:pPr>
        <w:outlineLvl w:val="2"/>
        <w:rPr>
          <w:rFonts w:hint="eastAsia" w:ascii="宋体" w:hAnsi="宋体" w:eastAsia="宋体" w:cs="宋体"/>
          <w:strike/>
          <w:dstrike w:val="0"/>
          <w:sz w:val="24"/>
          <w:szCs w:val="24"/>
          <w:highlight w:val="none"/>
        </w:rPr>
      </w:pPr>
      <w:bookmarkStart w:id="241" w:name="_第五章__技术条件（工程建设标准）"/>
      <w:bookmarkEnd w:id="241"/>
      <w:bookmarkStart w:id="242" w:name="_Toc10827"/>
      <w:bookmarkStart w:id="243" w:name="_Toc10195"/>
      <w:bookmarkStart w:id="244" w:name="_Toc1260"/>
      <w:bookmarkStart w:id="245" w:name="_Toc24538"/>
      <w:bookmarkStart w:id="246" w:name="_Toc262229176"/>
      <w:bookmarkStart w:id="247" w:name="_Toc6556"/>
      <w:bookmarkStart w:id="248" w:name="_Toc19497"/>
      <w:bookmarkStart w:id="249" w:name="_Toc23174"/>
      <w:bookmarkStart w:id="250" w:name="_Toc25823"/>
      <w:r>
        <w:rPr>
          <w:rFonts w:hint="eastAsia" w:ascii="宋体" w:hAnsi="宋体" w:eastAsia="宋体" w:cs="宋体"/>
          <w:strike/>
          <w:dstrike w:val="0"/>
          <w:sz w:val="24"/>
          <w:szCs w:val="24"/>
          <w:highlight w:val="none"/>
        </w:rPr>
        <w:t>附件19 联合体投标协议</w:t>
      </w:r>
      <w:bookmarkEnd w:id="242"/>
      <w:bookmarkEnd w:id="243"/>
      <w:bookmarkEnd w:id="244"/>
      <w:bookmarkEnd w:id="245"/>
    </w:p>
    <w:p>
      <w:pPr>
        <w:jc w:val="center"/>
        <w:rPr>
          <w:rFonts w:hint="eastAsia" w:ascii="宋体" w:hAnsi="宋体" w:eastAsia="宋体" w:cs="宋体"/>
          <w:b/>
          <w:bCs/>
          <w:strike/>
          <w:dstrike w:val="0"/>
          <w:sz w:val="32"/>
          <w:highlight w:val="none"/>
        </w:rPr>
      </w:pPr>
    </w:p>
    <w:p>
      <w:pPr>
        <w:jc w:val="center"/>
        <w:rPr>
          <w:rFonts w:hint="eastAsia" w:ascii="宋体" w:hAnsi="宋体" w:eastAsia="宋体" w:cs="宋体"/>
          <w:strike/>
          <w:dstrike w:val="0"/>
          <w:sz w:val="24"/>
          <w:highlight w:val="none"/>
        </w:rPr>
      </w:pPr>
      <w:r>
        <w:rPr>
          <w:rFonts w:hint="eastAsia" w:ascii="宋体" w:hAnsi="宋体" w:eastAsia="宋体" w:cs="宋体"/>
          <w:b/>
          <w:bCs/>
          <w:strike/>
          <w:dstrike w:val="0"/>
          <w:sz w:val="32"/>
          <w:highlight w:val="none"/>
        </w:rPr>
        <w:t>联合体投标协议</w:t>
      </w:r>
    </w:p>
    <w:p>
      <w:pPr>
        <w:adjustRightInd w:val="0"/>
        <w:snapToGrid w:val="0"/>
        <w:spacing w:line="360" w:lineRule="auto"/>
        <w:rPr>
          <w:rFonts w:hint="eastAsia" w:ascii="宋体" w:hAnsi="宋体" w:eastAsia="宋体" w:cs="宋体"/>
          <w:strike/>
          <w:dstrike w:val="0"/>
          <w:sz w:val="24"/>
          <w:highlight w:val="none"/>
        </w:rPr>
      </w:pPr>
    </w:p>
    <w:p>
      <w:pPr>
        <w:topLinePunct/>
        <w:adjustRightInd w:val="0"/>
        <w:snapToGrid w:val="0"/>
        <w:spacing w:line="360" w:lineRule="auto"/>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 xml:space="preserve">    我方自愿组成联合体共同参加</w:t>
      </w:r>
      <w:r>
        <w:rPr>
          <w:rFonts w:hint="eastAsia" w:ascii="宋体" w:hAnsi="宋体" w:eastAsia="宋体" w:cs="宋体"/>
          <w:strike/>
          <w:dstrike w:val="0"/>
          <w:sz w:val="24"/>
          <w:highlight w:val="none"/>
          <w:u w:val="single"/>
        </w:rPr>
        <w:t xml:space="preserve">          </w:t>
      </w:r>
      <w:r>
        <w:rPr>
          <w:rFonts w:hint="eastAsia" w:ascii="宋体" w:hAnsi="宋体" w:eastAsia="宋体" w:cs="宋体"/>
          <w:strike/>
          <w:dstrike w:val="0"/>
          <w:sz w:val="24"/>
          <w:highlight w:val="none"/>
        </w:rPr>
        <w:t>项目的投标，现就联合体投标事宜订立如下协议。</w:t>
      </w: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1.</w:t>
      </w:r>
      <w:r>
        <w:rPr>
          <w:rFonts w:hint="eastAsia" w:ascii="宋体" w:hAnsi="宋体" w:eastAsia="宋体" w:cs="宋体"/>
          <w:strike/>
          <w:dstrike w:val="0"/>
          <w:sz w:val="24"/>
          <w:highlight w:val="none"/>
          <w:u w:val="single"/>
        </w:rPr>
        <w:t xml:space="preserve">               </w:t>
      </w:r>
      <w:r>
        <w:rPr>
          <w:rFonts w:hint="eastAsia" w:ascii="宋体" w:hAnsi="宋体" w:eastAsia="宋体" w:cs="宋体"/>
          <w:strike/>
          <w:dstrike w:val="0"/>
          <w:sz w:val="24"/>
          <w:highlight w:val="none"/>
        </w:rPr>
        <w:t>为联合体主办方。</w:t>
      </w: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2.联合体将严格按照招标文件的各项要求，递交投标文件，履行合同，并对外承担连带责任。</w:t>
      </w: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 xml:space="preserve">3.本协议书自签署之日起生效，合同履行完毕后自动失效。 </w:t>
      </w: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4.本协议书一式</w:t>
      </w:r>
      <w:r>
        <w:rPr>
          <w:rFonts w:hint="eastAsia" w:ascii="宋体" w:hAnsi="宋体" w:eastAsia="宋体" w:cs="宋体"/>
          <w:strike/>
          <w:dstrike w:val="0"/>
          <w:sz w:val="24"/>
          <w:highlight w:val="none"/>
          <w:u w:val="single"/>
        </w:rPr>
        <w:t xml:space="preserve">     </w:t>
      </w:r>
      <w:r>
        <w:rPr>
          <w:rFonts w:hint="eastAsia" w:ascii="宋体" w:hAnsi="宋体" w:eastAsia="宋体" w:cs="宋体"/>
          <w:strike/>
          <w:dstrike w:val="0"/>
          <w:sz w:val="24"/>
          <w:highlight w:val="none"/>
        </w:rPr>
        <w:t>份，联合体成员和招标人各执一份。</w:t>
      </w:r>
    </w:p>
    <w:p>
      <w:pPr>
        <w:topLinePunct/>
        <w:adjustRightInd w:val="0"/>
        <w:snapToGrid w:val="0"/>
        <w:spacing w:line="360" w:lineRule="auto"/>
        <w:rPr>
          <w:rFonts w:hint="eastAsia" w:ascii="宋体" w:hAnsi="宋体" w:eastAsia="宋体" w:cs="宋体"/>
          <w:strike/>
          <w:dstrike w:val="0"/>
          <w:sz w:val="24"/>
          <w:highlight w:val="none"/>
        </w:rPr>
      </w:pP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主办方名称：（盖章）</w:t>
      </w:r>
      <w:r>
        <w:rPr>
          <w:rFonts w:hint="eastAsia" w:ascii="宋体" w:hAnsi="宋体" w:eastAsia="宋体" w:cs="宋体"/>
          <w:strike/>
          <w:dstrike w:val="0"/>
          <w:sz w:val="24"/>
          <w:highlight w:val="none"/>
          <w:u w:val="single"/>
        </w:rPr>
        <w:t xml:space="preserve">                                       </w:t>
      </w: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法定代表人：（签字或盖章）</w:t>
      </w:r>
      <w:r>
        <w:rPr>
          <w:rFonts w:hint="eastAsia" w:ascii="宋体" w:hAnsi="宋体" w:eastAsia="宋体" w:cs="宋体"/>
          <w:strike/>
          <w:dstrike w:val="0"/>
          <w:sz w:val="24"/>
          <w:highlight w:val="none"/>
          <w:u w:val="single"/>
        </w:rPr>
        <w:t xml:space="preserve">                                 </w:t>
      </w:r>
    </w:p>
    <w:p>
      <w:pPr>
        <w:pStyle w:val="2"/>
        <w:adjustRightInd w:val="0"/>
        <w:snapToGrid w:val="0"/>
        <w:spacing w:line="360" w:lineRule="auto"/>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 xml:space="preserve">    分工内容：</w:t>
      </w:r>
      <w:r>
        <w:rPr>
          <w:rFonts w:hint="eastAsia" w:ascii="宋体" w:hAnsi="宋体" w:eastAsia="宋体" w:cs="宋体"/>
          <w:strike/>
          <w:dstrike w:val="0"/>
          <w:sz w:val="24"/>
          <w:highlight w:val="none"/>
          <w:u w:val="single"/>
        </w:rPr>
        <w:t xml:space="preserve">                                                </w:t>
      </w: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成员一名称：（盖章）</w:t>
      </w:r>
      <w:r>
        <w:rPr>
          <w:rFonts w:hint="eastAsia" w:ascii="宋体" w:hAnsi="宋体" w:eastAsia="宋体" w:cs="宋体"/>
          <w:strike/>
          <w:dstrike w:val="0"/>
          <w:sz w:val="24"/>
          <w:highlight w:val="none"/>
          <w:u w:val="single"/>
        </w:rPr>
        <w:t xml:space="preserve">                                        </w:t>
      </w: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法定代表人：（签字或盖章）</w:t>
      </w:r>
      <w:r>
        <w:rPr>
          <w:rFonts w:hint="eastAsia" w:ascii="宋体" w:hAnsi="宋体" w:eastAsia="宋体" w:cs="宋体"/>
          <w:strike/>
          <w:dstrike w:val="0"/>
          <w:sz w:val="24"/>
          <w:highlight w:val="none"/>
          <w:u w:val="single"/>
        </w:rPr>
        <w:t xml:space="preserve">                                  </w:t>
      </w:r>
    </w:p>
    <w:p>
      <w:pPr>
        <w:pStyle w:val="2"/>
        <w:adjustRightInd w:val="0"/>
        <w:snapToGrid w:val="0"/>
        <w:spacing w:line="360" w:lineRule="auto"/>
        <w:ind w:firstLine="405"/>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 xml:space="preserve"> 分工内容：</w:t>
      </w:r>
      <w:r>
        <w:rPr>
          <w:rFonts w:hint="eastAsia" w:ascii="宋体" w:hAnsi="宋体" w:eastAsia="宋体" w:cs="宋体"/>
          <w:strike/>
          <w:dstrike w:val="0"/>
          <w:sz w:val="24"/>
          <w:highlight w:val="none"/>
          <w:u w:val="single"/>
        </w:rPr>
        <w:t xml:space="preserve">                                                 </w:t>
      </w: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成员二名称：（盖章）</w:t>
      </w:r>
      <w:r>
        <w:rPr>
          <w:rFonts w:hint="eastAsia" w:ascii="宋体" w:hAnsi="宋体" w:eastAsia="宋体" w:cs="宋体"/>
          <w:strike/>
          <w:dstrike w:val="0"/>
          <w:sz w:val="24"/>
          <w:highlight w:val="none"/>
          <w:u w:val="single"/>
        </w:rPr>
        <w:t xml:space="preserve">                                        </w:t>
      </w: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法定代表人：（签字或盖章）</w:t>
      </w:r>
      <w:r>
        <w:rPr>
          <w:rFonts w:hint="eastAsia" w:ascii="宋体" w:hAnsi="宋体" w:eastAsia="宋体" w:cs="宋体"/>
          <w:strike/>
          <w:dstrike w:val="0"/>
          <w:sz w:val="24"/>
          <w:highlight w:val="none"/>
          <w:u w:val="single"/>
        </w:rPr>
        <w:t xml:space="preserve">                                  </w:t>
      </w:r>
    </w:p>
    <w:p>
      <w:pPr>
        <w:pStyle w:val="2"/>
        <w:adjustRightInd w:val="0"/>
        <w:snapToGrid w:val="0"/>
        <w:spacing w:line="360" w:lineRule="auto"/>
        <w:ind w:firstLine="405"/>
        <w:rPr>
          <w:rFonts w:hint="eastAsia" w:ascii="宋体" w:hAnsi="宋体" w:eastAsia="宋体" w:cs="宋体"/>
          <w:strike/>
          <w:dstrike w:val="0"/>
          <w:sz w:val="24"/>
          <w:highlight w:val="none"/>
        </w:rPr>
      </w:pPr>
      <w:r>
        <w:rPr>
          <w:rFonts w:hint="eastAsia" w:ascii="宋体" w:hAnsi="宋体" w:eastAsia="宋体" w:cs="宋体"/>
          <w:strike/>
          <w:dstrike w:val="0"/>
          <w:sz w:val="24"/>
          <w:highlight w:val="none"/>
        </w:rPr>
        <w:t xml:space="preserve"> 分工内容：</w:t>
      </w:r>
      <w:r>
        <w:rPr>
          <w:rFonts w:hint="eastAsia" w:ascii="宋体" w:hAnsi="宋体" w:eastAsia="宋体" w:cs="宋体"/>
          <w:strike/>
          <w:dstrike w:val="0"/>
          <w:sz w:val="24"/>
          <w:highlight w:val="none"/>
          <w:u w:val="single"/>
        </w:rPr>
        <w:t xml:space="preserve">                                                 </w:t>
      </w: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p>
    <w:p>
      <w:pPr>
        <w:topLinePunct/>
        <w:adjustRightInd w:val="0"/>
        <w:snapToGrid w:val="0"/>
        <w:spacing w:line="360" w:lineRule="auto"/>
        <w:ind w:firstLine="480" w:firstLineChars="200"/>
        <w:rPr>
          <w:rFonts w:hint="eastAsia" w:ascii="宋体" w:hAnsi="宋体" w:eastAsia="宋体" w:cs="宋体"/>
          <w:strike/>
          <w:dstrike w:val="0"/>
          <w:sz w:val="24"/>
          <w:highlight w:val="none"/>
        </w:rPr>
      </w:pPr>
    </w:p>
    <w:p>
      <w:pPr>
        <w:jc w:val="right"/>
        <w:rPr>
          <w:rFonts w:hint="eastAsia" w:ascii="宋体" w:hAnsi="宋体" w:eastAsia="宋体" w:cs="宋体"/>
          <w:b/>
          <w:strike/>
          <w:dstrike w:val="0"/>
          <w:highlight w:val="none"/>
        </w:rPr>
        <w:sectPr>
          <w:pgSz w:w="11850" w:h="16783"/>
          <w:pgMar w:top="1417" w:right="1290" w:bottom="1417" w:left="1290" w:header="851" w:footer="992" w:gutter="0"/>
          <w:pgNumType w:fmt="decimal"/>
          <w:cols w:space="720" w:num="1"/>
          <w:docGrid w:type="lines" w:linePitch="312" w:charSpace="0"/>
        </w:sectPr>
      </w:pPr>
      <w:r>
        <w:rPr>
          <w:rFonts w:hint="eastAsia" w:ascii="宋体" w:hAnsi="宋体" w:eastAsia="宋体" w:cs="宋体"/>
          <w:strike/>
          <w:dstrike w:val="0"/>
          <w:sz w:val="24"/>
          <w:highlight w:val="none"/>
          <w:u w:val="single"/>
        </w:rPr>
        <w:t xml:space="preserve">       </w:t>
      </w:r>
      <w:r>
        <w:rPr>
          <w:rFonts w:hint="eastAsia" w:ascii="宋体" w:hAnsi="宋体" w:eastAsia="宋体" w:cs="宋体"/>
          <w:strike/>
          <w:dstrike w:val="0"/>
          <w:sz w:val="24"/>
          <w:highlight w:val="none"/>
        </w:rPr>
        <w:t>年</w:t>
      </w:r>
      <w:r>
        <w:rPr>
          <w:rFonts w:hint="eastAsia" w:ascii="宋体" w:hAnsi="宋体" w:eastAsia="宋体" w:cs="宋体"/>
          <w:strike/>
          <w:dstrike w:val="0"/>
          <w:sz w:val="24"/>
          <w:highlight w:val="none"/>
          <w:u w:val="single"/>
        </w:rPr>
        <w:t xml:space="preserve">      </w:t>
      </w:r>
      <w:r>
        <w:rPr>
          <w:rFonts w:hint="eastAsia" w:ascii="宋体" w:hAnsi="宋体" w:eastAsia="宋体" w:cs="宋体"/>
          <w:strike/>
          <w:dstrike w:val="0"/>
          <w:sz w:val="24"/>
          <w:highlight w:val="none"/>
        </w:rPr>
        <w:t>月</w:t>
      </w:r>
      <w:r>
        <w:rPr>
          <w:rFonts w:hint="eastAsia" w:ascii="宋体" w:hAnsi="宋体" w:eastAsia="宋体" w:cs="宋体"/>
          <w:strike/>
          <w:dstrike w:val="0"/>
          <w:sz w:val="24"/>
          <w:highlight w:val="none"/>
          <w:u w:val="single"/>
        </w:rPr>
        <w:t xml:space="preserve">      </w:t>
      </w:r>
      <w:r>
        <w:rPr>
          <w:rFonts w:hint="eastAsia" w:ascii="宋体" w:hAnsi="宋体" w:eastAsia="宋体" w:cs="宋体"/>
          <w:strike/>
          <w:dstrike w:val="0"/>
          <w:sz w:val="24"/>
          <w:highlight w:val="none"/>
        </w:rPr>
        <w:t>日</w:t>
      </w:r>
    </w:p>
    <w:p>
      <w:pPr>
        <w:pStyle w:val="3"/>
        <w:rPr>
          <w:rFonts w:hint="eastAsia" w:ascii="宋体" w:hAnsi="宋体" w:eastAsia="宋体" w:cs="宋体"/>
          <w:b/>
          <w:bCs/>
          <w:highlight w:val="none"/>
        </w:rPr>
      </w:pPr>
      <w:bookmarkStart w:id="251" w:name="_Toc31891"/>
      <w:bookmarkStart w:id="252" w:name="_Toc24517"/>
      <w:bookmarkStart w:id="253" w:name="_Toc26218"/>
      <w:bookmarkStart w:id="254" w:name="_Toc30014"/>
      <w:r>
        <w:rPr>
          <w:rFonts w:hint="eastAsia" w:ascii="宋体" w:hAnsi="宋体" w:eastAsia="宋体" w:cs="宋体"/>
          <w:b/>
          <w:bCs/>
          <w:highlight w:val="none"/>
        </w:rPr>
        <w:t>第五章  技术条件（工程建设标准）</w:t>
      </w:r>
      <w:bookmarkEnd w:id="246"/>
      <w:bookmarkEnd w:id="247"/>
      <w:bookmarkEnd w:id="248"/>
      <w:bookmarkEnd w:id="249"/>
      <w:bookmarkEnd w:id="250"/>
      <w:bookmarkEnd w:id="251"/>
      <w:bookmarkEnd w:id="252"/>
      <w:bookmarkEnd w:id="253"/>
      <w:bookmarkEnd w:id="254"/>
    </w:p>
    <w:p>
      <w:pPr>
        <w:rPr>
          <w:rFonts w:hint="eastAsia" w:ascii="宋体" w:hAnsi="宋体" w:eastAsia="宋体" w:cs="宋体"/>
          <w:sz w:val="24"/>
          <w:szCs w:val="24"/>
          <w:highlight w:val="none"/>
        </w:rPr>
      </w:pPr>
    </w:p>
    <w:p>
      <w:pPr>
        <w:pStyle w:val="16"/>
        <w:spacing w:line="480" w:lineRule="auto"/>
        <w:ind w:left="0" w:leftChars="0"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1、按现行的中华人民共和国及有关部委分布的标准、规范、规程。若施工时间建设主管部门分布新的规范、标准等，则按照新的规范、标准执行。</w:t>
      </w:r>
    </w:p>
    <w:p>
      <w:pPr>
        <w:pStyle w:val="16"/>
        <w:spacing w:line="480" w:lineRule="auto"/>
        <w:ind w:left="0" w:leftChars="0"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2、采用图纸中规定的其它技术和验收标准；</w:t>
      </w:r>
    </w:p>
    <w:p>
      <w:pPr>
        <w:pStyle w:val="16"/>
        <w:spacing w:line="480" w:lineRule="auto"/>
        <w:ind w:left="0" w:leftChars="0"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3、工程验收标准需符合海绵城市验收要求。</w:t>
      </w:r>
    </w:p>
    <w:p>
      <w:pPr>
        <w:pStyle w:val="16"/>
        <w:spacing w:line="480" w:lineRule="auto"/>
        <w:ind w:left="0" w:leftChars="0"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4、设备</w:t>
      </w:r>
      <w:r>
        <w:rPr>
          <w:rFonts w:hint="eastAsia" w:ascii="宋体" w:hAnsi="宋体"/>
          <w:sz w:val="24"/>
          <w:szCs w:val="24"/>
          <w:highlight w:val="none"/>
          <w:lang w:val="en-US" w:eastAsia="zh-CN"/>
        </w:rPr>
        <w:t>及</w:t>
      </w:r>
      <w:r>
        <w:rPr>
          <w:rFonts w:hint="eastAsia" w:ascii="宋体" w:hAnsi="宋体" w:eastAsia="宋体"/>
          <w:sz w:val="24"/>
          <w:szCs w:val="24"/>
          <w:highlight w:val="none"/>
          <w:lang w:val="en-US" w:eastAsia="zh-CN"/>
        </w:rPr>
        <w:t>材料</w:t>
      </w:r>
      <w:r>
        <w:rPr>
          <w:rFonts w:hint="eastAsia" w:ascii="宋体" w:hAnsi="宋体"/>
          <w:sz w:val="24"/>
          <w:szCs w:val="24"/>
          <w:highlight w:val="none"/>
          <w:lang w:val="en-US" w:eastAsia="zh-CN"/>
        </w:rPr>
        <w:t>参考</w:t>
      </w:r>
      <w:r>
        <w:rPr>
          <w:rFonts w:hint="eastAsia" w:ascii="宋体" w:hAnsi="宋体" w:eastAsia="宋体"/>
          <w:sz w:val="24"/>
          <w:szCs w:val="24"/>
          <w:highlight w:val="none"/>
          <w:lang w:val="en-US" w:eastAsia="zh-CN"/>
        </w:rPr>
        <w:t>品牌表（</w:t>
      </w:r>
      <w:r>
        <w:rPr>
          <w:rFonts w:hint="eastAsia" w:ascii="宋体" w:hAnsi="宋体"/>
          <w:sz w:val="24"/>
          <w:szCs w:val="24"/>
          <w:highlight w:val="none"/>
          <w:lang w:val="en-US" w:eastAsia="zh-CN"/>
        </w:rPr>
        <w:t>另册</w:t>
      </w:r>
      <w:r>
        <w:rPr>
          <w:rFonts w:hint="eastAsia" w:ascii="宋体" w:hAnsi="宋体" w:eastAsia="宋体"/>
          <w:sz w:val="24"/>
          <w:szCs w:val="24"/>
          <w:highlight w:val="none"/>
          <w:lang w:val="en-US" w:eastAsia="zh-CN"/>
        </w:rPr>
        <w:t>）。</w:t>
      </w:r>
    </w:p>
    <w:p>
      <w:pPr>
        <w:pStyle w:val="16"/>
        <w:spacing w:line="480" w:lineRule="auto"/>
        <w:ind w:left="0" w:leftChars="0" w:firstLine="480" w:firstLineChars="200"/>
        <w:rPr>
          <w:rFonts w:hint="eastAsia" w:ascii="宋体" w:hAnsi="宋体" w:eastAsia="宋体" w:cs="宋体"/>
          <w:highlight w:val="none"/>
        </w:rPr>
      </w:pPr>
      <w:r>
        <w:rPr>
          <w:rFonts w:hint="eastAsia" w:ascii="宋体" w:hAnsi="宋体" w:eastAsia="宋体"/>
          <w:sz w:val="24"/>
          <w:szCs w:val="24"/>
          <w:highlight w:val="none"/>
          <w:lang w:val="en-US" w:eastAsia="zh-CN"/>
        </w:rPr>
        <w:br w:type="page"/>
      </w:r>
    </w:p>
    <w:p>
      <w:pPr>
        <w:pStyle w:val="3"/>
        <w:rPr>
          <w:rFonts w:hint="eastAsia" w:ascii="宋体" w:hAnsi="宋体" w:eastAsia="宋体" w:cs="宋体"/>
          <w:b/>
          <w:bCs/>
          <w:highlight w:val="none"/>
        </w:rPr>
      </w:pPr>
      <w:bookmarkStart w:id="255" w:name="_第六章__图纸及勘察资料"/>
      <w:bookmarkEnd w:id="255"/>
      <w:bookmarkStart w:id="256" w:name="_Toc10021"/>
      <w:bookmarkStart w:id="257" w:name="_Toc21559"/>
      <w:bookmarkStart w:id="258" w:name="_Toc262229177"/>
      <w:bookmarkStart w:id="259" w:name="_Toc13226"/>
      <w:bookmarkStart w:id="260" w:name="_Toc24765"/>
      <w:bookmarkStart w:id="261" w:name="_Toc13214"/>
      <w:bookmarkStart w:id="262" w:name="_Toc23083"/>
      <w:bookmarkStart w:id="263" w:name="_Toc27338"/>
      <w:bookmarkStart w:id="264" w:name="_Toc31137"/>
      <w:r>
        <w:rPr>
          <w:rFonts w:hint="eastAsia" w:ascii="宋体" w:hAnsi="宋体" w:eastAsia="宋体" w:cs="宋体"/>
          <w:b/>
          <w:bCs/>
          <w:highlight w:val="none"/>
        </w:rPr>
        <w:t>第六章  图纸及勘察资料</w:t>
      </w:r>
      <w:bookmarkEnd w:id="256"/>
      <w:bookmarkEnd w:id="257"/>
      <w:bookmarkEnd w:id="258"/>
      <w:bookmarkEnd w:id="259"/>
      <w:bookmarkEnd w:id="260"/>
      <w:bookmarkEnd w:id="261"/>
      <w:bookmarkEnd w:id="262"/>
      <w:bookmarkEnd w:id="263"/>
      <w:bookmarkEnd w:id="264"/>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注：本章由招标人自行制定，另册。</w:t>
      </w:r>
    </w:p>
    <w:p>
      <w:pPr>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r>
        <w:rPr>
          <w:rFonts w:hint="eastAsia" w:ascii="宋体" w:hAnsi="宋体" w:eastAsia="宋体" w:cs="宋体"/>
          <w:highlight w:val="none"/>
        </w:rPr>
        <w:br w:type="page"/>
      </w:r>
    </w:p>
    <w:p>
      <w:pPr>
        <w:pStyle w:val="3"/>
        <w:rPr>
          <w:rFonts w:hint="eastAsia" w:ascii="宋体" w:hAnsi="宋体" w:eastAsia="宋体" w:cs="宋体"/>
          <w:b/>
          <w:bCs/>
          <w:highlight w:val="none"/>
        </w:rPr>
      </w:pPr>
      <w:bookmarkStart w:id="265" w:name="_第七章__工程量清单"/>
      <w:bookmarkEnd w:id="265"/>
      <w:bookmarkStart w:id="266" w:name="_Toc22633"/>
      <w:bookmarkStart w:id="267" w:name="_Toc16019"/>
      <w:bookmarkStart w:id="268" w:name="_Toc6799"/>
      <w:bookmarkStart w:id="269" w:name="_Toc8369"/>
      <w:bookmarkStart w:id="270" w:name="_Toc15102"/>
      <w:bookmarkStart w:id="271" w:name="_Toc12762"/>
      <w:bookmarkStart w:id="272" w:name="_Toc11895"/>
      <w:bookmarkStart w:id="273" w:name="_Toc262229178"/>
      <w:bookmarkStart w:id="274" w:name="_Toc7393"/>
      <w:r>
        <w:rPr>
          <w:rFonts w:hint="eastAsia" w:ascii="宋体" w:hAnsi="宋体" w:eastAsia="宋体" w:cs="宋体"/>
          <w:b/>
          <w:bCs/>
          <w:highlight w:val="none"/>
        </w:rPr>
        <w:t>第七章  工程量清单</w:t>
      </w:r>
      <w:bookmarkEnd w:id="266"/>
      <w:bookmarkEnd w:id="267"/>
      <w:bookmarkEnd w:id="268"/>
      <w:bookmarkEnd w:id="269"/>
      <w:bookmarkEnd w:id="270"/>
      <w:bookmarkEnd w:id="271"/>
      <w:bookmarkEnd w:id="272"/>
      <w:bookmarkEnd w:id="273"/>
      <w:bookmarkEnd w:id="274"/>
    </w:p>
    <w:p>
      <w:pPr>
        <w:rPr>
          <w:rFonts w:hint="eastAsia" w:ascii="宋体" w:hAnsi="宋体" w:eastAsia="宋体" w:cs="宋体"/>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注：本章由招标人自行制定，另册。</w:t>
      </w:r>
    </w:p>
    <w:p>
      <w:pPr>
        <w:pStyle w:val="9"/>
        <w:spacing w:after="0" w:line="360" w:lineRule="auto"/>
        <w:ind w:left="-2" w:leftChars="-1" w:firstLine="960" w:firstLineChars="400"/>
        <w:jc w:val="center"/>
        <w:rPr>
          <w:rFonts w:hint="eastAsia" w:ascii="宋体" w:hAnsi="宋体" w:eastAsia="宋体" w:cs="宋体"/>
          <w:sz w:val="24"/>
          <w:szCs w:val="24"/>
          <w:highlight w:val="none"/>
        </w:rPr>
      </w:pPr>
    </w:p>
    <w:p>
      <w:pPr>
        <w:jc w:val="center"/>
        <w:outlineLvl w:val="1"/>
        <w:rPr>
          <w:rFonts w:hint="eastAsia" w:ascii="宋体" w:hAnsi="宋体" w:eastAsia="宋体" w:cs="宋体"/>
          <w:b/>
          <w:highlight w:val="none"/>
        </w:rPr>
      </w:pPr>
      <w:bookmarkStart w:id="275" w:name="_最高投标限价"/>
      <w:bookmarkEnd w:id="275"/>
      <w:r>
        <w:rPr>
          <w:rFonts w:hint="eastAsia" w:ascii="宋体" w:hAnsi="宋体" w:eastAsia="宋体" w:cs="宋体"/>
          <w:highlight w:val="none"/>
        </w:rPr>
        <w:br w:type="page"/>
      </w:r>
      <w:bookmarkStart w:id="276" w:name="_Toc10897"/>
      <w:bookmarkStart w:id="277" w:name="_Toc133"/>
      <w:bookmarkStart w:id="278" w:name="_Toc23743"/>
      <w:bookmarkStart w:id="279" w:name="_Toc9645"/>
      <w:bookmarkStart w:id="280" w:name="_Toc13396"/>
      <w:bookmarkStart w:id="281" w:name="_Toc17533"/>
      <w:bookmarkStart w:id="282" w:name="_Toc3215"/>
      <w:bookmarkStart w:id="283" w:name="_Toc22863"/>
      <w:r>
        <w:rPr>
          <w:rFonts w:hint="eastAsia" w:ascii="宋体" w:hAnsi="宋体" w:eastAsia="宋体" w:cs="宋体"/>
          <w:b/>
          <w:bCs/>
          <w:sz w:val="30"/>
          <w:szCs w:val="30"/>
          <w:highlight w:val="none"/>
        </w:rPr>
        <w:t>第八章</w:t>
      </w:r>
      <w:r>
        <w:rPr>
          <w:rFonts w:hint="eastAsia" w:ascii="宋体" w:hAnsi="宋体" w:eastAsia="宋体" w:cs="宋体"/>
          <w:sz w:val="30"/>
          <w:szCs w:val="30"/>
          <w:highlight w:val="none"/>
        </w:rPr>
        <w:t xml:space="preserve">  </w:t>
      </w:r>
      <w:r>
        <w:rPr>
          <w:rFonts w:hint="eastAsia" w:ascii="宋体" w:hAnsi="宋体" w:eastAsia="宋体" w:cs="宋体"/>
          <w:b/>
          <w:sz w:val="30"/>
          <w:szCs w:val="30"/>
          <w:highlight w:val="none"/>
        </w:rPr>
        <w:t>最高投标限价</w:t>
      </w:r>
      <w:bookmarkEnd w:id="276"/>
      <w:bookmarkEnd w:id="277"/>
      <w:bookmarkEnd w:id="278"/>
      <w:bookmarkEnd w:id="279"/>
      <w:bookmarkEnd w:id="280"/>
      <w:bookmarkEnd w:id="281"/>
      <w:bookmarkEnd w:id="282"/>
      <w:bookmarkEnd w:id="283"/>
    </w:p>
    <w:p>
      <w:pPr>
        <w:pStyle w:val="9"/>
        <w:rPr>
          <w:rFonts w:hint="eastAsia" w:ascii="宋体" w:hAnsi="宋体" w:eastAsia="宋体" w:cs="宋体"/>
          <w:highlight w:val="none"/>
        </w:rPr>
      </w:pPr>
    </w:p>
    <w:bookmarkEnd w:id="204"/>
    <w:bookmarkEnd w:id="205"/>
    <w:p>
      <w:pPr>
        <w:jc w:val="center"/>
        <w:rPr>
          <w:rFonts w:hint="eastAsia" w:ascii="宋体" w:hAnsi="宋体" w:eastAsia="宋体" w:cs="宋体"/>
          <w:highlight w:val="none"/>
          <w:u w:val="none"/>
        </w:rPr>
      </w:pPr>
      <w:r>
        <w:rPr>
          <w:rFonts w:hint="eastAsia" w:ascii="宋体" w:hAnsi="宋体" w:eastAsia="宋体" w:cs="宋体"/>
          <w:color w:val="000000"/>
          <w:sz w:val="24"/>
          <w:szCs w:val="24"/>
          <w:highlight w:val="none"/>
          <w:u w:val="none"/>
        </w:rPr>
        <w:t>详见《最高投标限价公布函》</w:t>
      </w:r>
    </w:p>
    <w:p/>
    <w:p>
      <w:bookmarkStart w:id="284" w:name="_GoBack"/>
      <w:bookmarkEnd w:id="284"/>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02B47"/>
    <w:multiLevelType w:val="singleLevel"/>
    <w:tmpl w:val="95102B47"/>
    <w:lvl w:ilvl="0" w:tentative="0">
      <w:start w:val="1"/>
      <w:numFmt w:val="chineseCounting"/>
      <w:suff w:val="nothing"/>
      <w:lvlText w:val="%1、"/>
      <w:lvlJc w:val="left"/>
      <w:rPr>
        <w:rFonts w:hint="eastAsia"/>
      </w:rPr>
    </w:lvl>
  </w:abstractNum>
  <w:abstractNum w:abstractNumId="1">
    <w:nsid w:val="AD9040EA"/>
    <w:multiLevelType w:val="singleLevel"/>
    <w:tmpl w:val="AD9040EA"/>
    <w:lvl w:ilvl="0" w:tentative="0">
      <w:start w:val="1"/>
      <w:numFmt w:val="decimal"/>
      <w:suff w:val="nothing"/>
      <w:lvlText w:val="%1．"/>
      <w:lvlJc w:val="left"/>
      <w:pPr>
        <w:ind w:left="0" w:firstLine="400"/>
      </w:pPr>
      <w:rPr>
        <w:rFonts w:hint="default"/>
      </w:rPr>
    </w:lvl>
  </w:abstractNum>
  <w:abstractNum w:abstractNumId="2">
    <w:nsid w:val="279B00BB"/>
    <w:multiLevelType w:val="singleLevel"/>
    <w:tmpl w:val="279B00BB"/>
    <w:lvl w:ilvl="0" w:tentative="0">
      <w:start w:val="1"/>
      <w:numFmt w:val="decimal"/>
      <w:suff w:val="nothing"/>
      <w:lvlText w:val="（%1）"/>
      <w:lvlJc w:val="left"/>
    </w:lvl>
  </w:abstractNum>
  <w:abstractNum w:abstractNumId="3">
    <w:nsid w:val="4434026F"/>
    <w:multiLevelType w:val="singleLevel"/>
    <w:tmpl w:val="4434026F"/>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
    <w15:presenceInfo w15:providerId="None" w15:userId="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mM0MDM4NGQ0ODYzODU5ZDI0NjBlZmVkNjljNTQifQ=="/>
  </w:docVars>
  <w:rsids>
    <w:rsidRoot w:val="24C968CC"/>
    <w:rsid w:val="24C9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paragraph" w:styleId="3">
    <w:name w:val="heading 2"/>
    <w:basedOn w:val="1"/>
    <w:next w:val="1"/>
    <w:qFormat/>
    <w:uiPriority w:val="0"/>
    <w:pPr>
      <w:keepNext/>
      <w:keepLines/>
      <w:spacing w:before="240" w:beforeLines="0" w:after="120" w:afterLines="0" w:line="360" w:lineRule="auto"/>
      <w:jc w:val="center"/>
      <w:outlineLvl w:val="1"/>
    </w:pPr>
    <w:rPr>
      <w:rFonts w:ascii="仿宋_GB2312" w:hAnsi="宋体" w:eastAsia="仿宋_GB2312" w:cs="宋体"/>
      <w:b/>
      <w:sz w:val="30"/>
      <w:szCs w:val="30"/>
    </w:rPr>
  </w:style>
  <w:style w:type="paragraph" w:styleId="4">
    <w:name w:val="heading 3"/>
    <w:basedOn w:val="1"/>
    <w:next w:val="5"/>
    <w:qFormat/>
    <w:uiPriority w:val="0"/>
    <w:pPr>
      <w:keepNext/>
      <w:keepLines/>
      <w:spacing w:before="156" w:beforeLines="50" w:line="360" w:lineRule="auto"/>
      <w:jc w:val="center"/>
      <w:outlineLvl w:val="2"/>
    </w:pPr>
    <w:rPr>
      <w:rFonts w:ascii="仿宋_GB2312" w:hAnsi="宋体" w:eastAsia="仿宋_GB2312" w:cs="宋体"/>
      <w:b/>
      <w:sz w:val="30"/>
      <w:szCs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楷体_GB2312"/>
      <w:szCs w:val="24"/>
    </w:rPr>
  </w:style>
  <w:style w:type="paragraph" w:styleId="5">
    <w:name w:val="Normal Indent"/>
    <w:basedOn w:val="1"/>
    <w:qFormat/>
    <w:uiPriority w:val="0"/>
    <w:pPr>
      <w:ind w:firstLine="420"/>
    </w:pPr>
  </w:style>
  <w:style w:type="paragraph" w:styleId="6">
    <w:name w:val="Body Text"/>
    <w:basedOn w:val="1"/>
    <w:qFormat/>
    <w:uiPriority w:val="0"/>
    <w:pPr>
      <w:spacing w:after="120" w:afterLines="0"/>
    </w:pPr>
    <w:rPr>
      <w:rFonts w:ascii="Times New Roman" w:hAnsi="Times New Roman" w:eastAsia="楷体_GB2312" w:cs="Times New Roman"/>
      <w:szCs w:val="20"/>
    </w:rPr>
  </w:style>
  <w:style w:type="paragraph" w:styleId="7">
    <w:name w:val="Date"/>
    <w:basedOn w:val="1"/>
    <w:next w:val="1"/>
    <w:qFormat/>
    <w:uiPriority w:val="0"/>
    <w:rPr>
      <w:rFonts w:ascii="Times New Roman" w:hAnsi="Times New Roman" w:eastAsia="楷体_GB2312" w:cs="Times New Roman"/>
      <w:szCs w:val="20"/>
    </w:rPr>
  </w:style>
  <w:style w:type="paragraph" w:styleId="8">
    <w:name w:val="footer"/>
    <w:basedOn w:val="1"/>
    <w:qFormat/>
    <w:uiPriority w:val="0"/>
    <w:pPr>
      <w:tabs>
        <w:tab w:val="center" w:pos="4153"/>
        <w:tab w:val="right" w:pos="8306"/>
      </w:tabs>
      <w:snapToGrid w:val="0"/>
      <w:jc w:val="left"/>
    </w:pPr>
    <w:rPr>
      <w:rFonts w:ascii="Times New Roman" w:hAnsi="Times New Roman" w:eastAsia="楷体_GB2312" w:cs="Times New Roman"/>
      <w:sz w:val="18"/>
      <w:szCs w:val="18"/>
    </w:rPr>
  </w:style>
  <w:style w:type="paragraph" w:styleId="9">
    <w:name w:val="Body Text First Indent"/>
    <w:basedOn w:val="6"/>
    <w:qFormat/>
    <w:uiPriority w:val="0"/>
    <w:pPr>
      <w:ind w:firstLine="420"/>
    </w:pPr>
  </w:style>
  <w:style w:type="paragraph" w:customStyle="1" w:styleId="12">
    <w:name w:val="常用"/>
    <w:basedOn w:val="1"/>
    <w:next w:val="6"/>
    <w:qFormat/>
    <w:uiPriority w:val="0"/>
    <w:pPr>
      <w:spacing w:line="240" w:lineRule="auto"/>
      <w:jc w:val="left"/>
    </w:pPr>
    <w:rPr>
      <w:rFonts w:eastAsia="宋体"/>
      <w:sz w:val="24"/>
    </w:rPr>
  </w:style>
  <w:style w:type="paragraph" w:customStyle="1" w:styleId="13">
    <w:name w:val="表格文字"/>
    <w:basedOn w:val="1"/>
    <w:qFormat/>
    <w:uiPriority w:val="0"/>
    <w:pPr>
      <w:adjustRightInd w:val="0"/>
      <w:spacing w:line="420" w:lineRule="atLeast"/>
      <w:jc w:val="left"/>
      <w:textAlignment w:val="baseline"/>
    </w:pPr>
    <w:rPr>
      <w:kern w:val="0"/>
    </w:rPr>
  </w:style>
  <w:style w:type="paragraph" w:customStyle="1" w:styleId="14">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Normal Indent1"/>
    <w:basedOn w:val="1"/>
    <w:unhideWhenUsed/>
    <w:qFormat/>
    <w:uiPriority w:val="0"/>
    <w:pPr>
      <w:ind w:firstLine="420"/>
    </w:pPr>
    <w:rPr>
      <w:rFonts w:ascii="Calibri" w:hAnsi="Calibri" w:eastAsia="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2022-05-13T03:54:00Z</dcterms:created>
  <dc:creator>Elon Musk</dc:creator>
  <cp:lastModifiedBy>Elon Musk</cp:lastModifiedBy>
  <dcterms:modified xsi:type="dcterms:W3CDTF">2022-05-13T03:54:43Z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18F6B76DB5DF475180AC911C2B5F32C3</vt:lpwstr>
  </property>
</Properties>
</file>