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仿宋"/>
          <w:color w:val="auto"/>
          <w:sz w:val="32"/>
          <w:szCs w:val="32"/>
          <w:highlight w:val="none"/>
          <w:lang w:val="en-US" w:eastAsia="zh-CN"/>
        </w:rPr>
      </w:pPr>
    </w:p>
    <w:p>
      <w:pPr>
        <w:pStyle w:val="16"/>
        <w:numPr>
          <w:ilvl w:val="3"/>
          <w:numId w:val="0"/>
        </w:numPr>
        <w:ind w:left="1260" w:leftChars="0"/>
        <w:rPr>
          <w:rFonts w:hint="eastAsia"/>
          <w:color w:val="auto"/>
          <w:highlight w:val="none"/>
          <w:lang w:val="en-US" w:eastAsia="zh-CN"/>
        </w:rPr>
      </w:pPr>
    </w:p>
    <w:p>
      <w:pPr>
        <w:spacing w:line="56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项目</w:t>
      </w:r>
      <w:r>
        <w:rPr>
          <w:rFonts w:hint="eastAsia" w:ascii="方正小标宋简体" w:hAnsi="方正小标宋简体" w:eastAsia="方正小标宋简体" w:cs="方正小标宋简体"/>
          <w:color w:val="auto"/>
          <w:sz w:val="44"/>
          <w:szCs w:val="44"/>
          <w:highlight w:val="none"/>
          <w:lang w:eastAsia="zh-CN"/>
        </w:rPr>
        <w:t>投入产出</w:t>
      </w:r>
      <w:r>
        <w:rPr>
          <w:rFonts w:hint="eastAsia" w:ascii="方正小标宋简体" w:hAnsi="方正小标宋简体" w:eastAsia="方正小标宋简体" w:cs="方正小标宋简体"/>
          <w:color w:val="auto"/>
          <w:sz w:val="44"/>
          <w:szCs w:val="44"/>
          <w:highlight w:val="none"/>
        </w:rPr>
        <w:t>监管协议</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一般工业用地版</w:t>
      </w:r>
      <w:r>
        <w:rPr>
          <w:rFonts w:hint="eastAsia" w:ascii="方正小标宋简体" w:hAnsi="方正小标宋简体" w:eastAsia="方正小标宋简体" w:cs="方正小标宋简体"/>
          <w:color w:val="auto"/>
          <w:sz w:val="44"/>
          <w:szCs w:val="44"/>
          <w:highlight w:val="none"/>
          <w:lang w:eastAsia="zh-CN"/>
        </w:rPr>
        <w:t>）</w:t>
      </w:r>
    </w:p>
    <w:p>
      <w:pPr>
        <w:rPr>
          <w:rFonts w:hint="eastAsia" w:ascii="仿宋_GB2312" w:hAnsi="仿宋_GB2312" w:eastAsia="仿宋_GB2312" w:cs="仿宋_GB2312"/>
          <w:color w:val="auto"/>
          <w:sz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甲方</w:t>
      </w:r>
      <w:r>
        <w:rPr>
          <w:rFonts w:hint="eastAsia" w:ascii="仿宋_GB2312" w:hAnsi="仿宋_GB2312" w:eastAsia="仿宋_GB2312" w:cs="仿宋_GB2312"/>
          <w:color w:val="auto"/>
          <w:sz w:val="32"/>
          <w:highlight w:val="none"/>
          <w:u w:val="single"/>
        </w:rPr>
        <w:t>：广州</w:t>
      </w:r>
      <w:r>
        <w:rPr>
          <w:rFonts w:hint="eastAsia" w:ascii="仿宋_GB2312" w:hAnsi="仿宋_GB2312" w:eastAsia="仿宋_GB2312" w:cs="仿宋_GB2312"/>
          <w:color w:val="auto"/>
          <w:sz w:val="32"/>
          <w:highlight w:val="none"/>
          <w:u w:val="single"/>
          <w:lang w:val="en-US" w:eastAsia="zh-CN"/>
        </w:rPr>
        <w:t xml:space="preserve">南沙经济技术开发区投资促进局              </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color w:val="auto"/>
          <w:sz w:val="32"/>
          <w:highlight w:val="none"/>
          <w:u w:val="single"/>
          <w:lang w:val="en-US"/>
        </w:rPr>
      </w:pPr>
      <w:r>
        <w:rPr>
          <w:rFonts w:hint="eastAsia" w:ascii="仿宋_GB2312" w:hAnsi="仿宋_GB2312" w:eastAsia="仿宋_GB2312" w:cs="仿宋_GB2312"/>
          <w:color w:val="auto"/>
          <w:sz w:val="32"/>
          <w:highlight w:val="none"/>
        </w:rPr>
        <w:t>乙方</w:t>
      </w:r>
      <w:r>
        <w:rPr>
          <w:rFonts w:hint="eastAsia" w:ascii="仿宋_GB2312" w:hAnsi="仿宋_GB2312" w:eastAsia="仿宋_GB2312" w:cs="仿宋_GB2312"/>
          <w:color w:val="auto"/>
          <w:sz w:val="32"/>
          <w:highlight w:val="none"/>
          <w:u w:val="single"/>
        </w:rPr>
        <w:t>：</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lang w:eastAsia="zh-CN"/>
        </w:rPr>
        <w:t>（</w:t>
      </w:r>
      <w:r>
        <w:rPr>
          <w:rFonts w:hint="eastAsia" w:ascii="仿宋_GB2312" w:hAnsi="仿宋_GB2312" w:eastAsia="仿宋_GB2312" w:cs="仿宋_GB2312"/>
          <w:color w:val="auto"/>
          <w:sz w:val="32"/>
          <w:highlight w:val="none"/>
          <w:u w:val="single"/>
          <w:lang w:val="en-US" w:eastAsia="zh-CN"/>
        </w:rPr>
        <w:t>土地竞得人</w:t>
      </w:r>
      <w:r>
        <w:rPr>
          <w:rFonts w:hint="eastAsia" w:ascii="仿宋_GB2312" w:hAnsi="仿宋_GB2312" w:eastAsia="仿宋_GB2312" w:cs="仿宋_GB2312"/>
          <w:color w:val="auto"/>
          <w:sz w:val="32"/>
          <w:highlight w:val="none"/>
          <w:u w:val="single"/>
          <w:lang w:eastAsia="zh-CN"/>
        </w:rPr>
        <w:t>）</w:t>
      </w:r>
      <w:r>
        <w:rPr>
          <w:rFonts w:hint="eastAsia" w:ascii="仿宋_GB2312" w:hAnsi="仿宋_GB2312" w:eastAsia="仿宋_GB2312" w:cs="仿宋_GB2312"/>
          <w:color w:val="auto"/>
          <w:sz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 xml:space="preserve">    根据</w:t>
      </w:r>
      <w:r>
        <w:rPr>
          <w:rFonts w:hint="eastAsia" w:ascii="仿宋_GB2312" w:hAnsi="仿宋_GB2312" w:eastAsia="仿宋_GB2312" w:cs="仿宋_GB2312"/>
          <w:color w:val="auto"/>
          <w:sz w:val="32"/>
          <w:szCs w:val="32"/>
          <w:highlight w:val="none"/>
        </w:rPr>
        <w:t>《广州市人民政府办公厅关于印发广州市提高工业用地利用效率实</w:t>
      </w:r>
      <w:r>
        <w:rPr>
          <w:rFonts w:hint="eastAsia" w:ascii="仿宋_GB2312" w:hAnsi="仿宋_GB2312" w:eastAsia="仿宋_GB2312" w:cs="仿宋_GB2312"/>
          <w:color w:val="auto"/>
          <w:sz w:val="32"/>
          <w:szCs w:val="32"/>
          <w:highlight w:val="none"/>
          <w:lang w:eastAsia="zh-CN"/>
        </w:rPr>
        <w:t>施</w:t>
      </w:r>
      <w:r>
        <w:rPr>
          <w:rFonts w:hint="eastAsia" w:ascii="仿宋_GB2312" w:hAnsi="仿宋_GB2312" w:eastAsia="仿宋_GB2312" w:cs="仿宋_GB2312"/>
          <w:color w:val="auto"/>
          <w:sz w:val="32"/>
          <w:szCs w:val="32"/>
          <w:highlight w:val="none"/>
        </w:rPr>
        <w:t>办法的通知》（穗府办</w:t>
      </w:r>
      <w:r>
        <w:rPr>
          <w:rFonts w:hint="eastAsia" w:ascii="仿宋_GB2312" w:hAnsi="仿宋_GB2312" w:eastAsia="仿宋_GB2312" w:cs="仿宋_GB2312"/>
          <w:color w:val="auto"/>
          <w:sz w:val="32"/>
          <w:szCs w:val="32"/>
          <w:highlight w:val="none"/>
          <w:lang w:eastAsia="zh-CN"/>
        </w:rPr>
        <w:t>规</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highlight w:val="none"/>
        </w:rPr>
        <w:t>等规定，为进一步提</w:t>
      </w:r>
      <w:r>
        <w:rPr>
          <w:rFonts w:hint="eastAsia" w:ascii="仿宋_GB2312" w:hAnsi="仿宋_GB2312" w:eastAsia="仿宋_GB2312" w:cs="仿宋_GB2312"/>
          <w:color w:val="auto"/>
          <w:sz w:val="32"/>
          <w:highlight w:val="none"/>
          <w:lang w:eastAsia="zh-CN"/>
        </w:rPr>
        <w:t>高工业用地利用质量和效益，促进</w:t>
      </w:r>
      <w:r>
        <w:rPr>
          <w:rFonts w:hint="eastAsia" w:ascii="仿宋_GB2312" w:hAnsi="仿宋_GB2312" w:eastAsia="仿宋_GB2312" w:cs="仿宋_GB2312"/>
          <w:color w:val="auto"/>
          <w:sz w:val="32"/>
          <w:highlight w:val="none"/>
        </w:rPr>
        <w:t>土地节约集约利用，甲乙双方订立</w:t>
      </w:r>
      <w:r>
        <w:rPr>
          <w:rFonts w:hint="eastAsia" w:ascii="仿宋_GB2312" w:hAnsi="仿宋_GB2312" w:eastAsia="仿宋_GB2312" w:cs="仿宋_GB2312"/>
          <w:color w:val="auto"/>
          <w:sz w:val="32"/>
          <w:highlight w:val="none"/>
          <w:lang w:eastAsia="zh-CN"/>
        </w:rPr>
        <w:t>本</w:t>
      </w:r>
      <w:r>
        <w:rPr>
          <w:rFonts w:hint="eastAsia" w:ascii="仿宋_GB2312" w:hAnsi="仿宋_GB2312" w:eastAsia="仿宋_GB2312" w:cs="仿宋_GB2312"/>
          <w:color w:val="auto"/>
          <w:sz w:val="32"/>
          <w:highlight w:val="none"/>
        </w:rPr>
        <w:t>协议。</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highlight w:val="none"/>
        </w:rPr>
      </w:pPr>
      <w:r>
        <w:rPr>
          <w:rFonts w:hint="eastAsia" w:ascii="仿宋_GB2312" w:hAnsi="仿宋_GB2312" w:eastAsia="仿宋_GB2312" w:cs="仿宋_GB2312"/>
          <w:b/>
          <w:bCs/>
          <w:color w:val="auto"/>
          <w:sz w:val="32"/>
          <w:highlight w:val="none"/>
        </w:rPr>
        <w:t>一、</w:t>
      </w:r>
      <w:r>
        <w:rPr>
          <w:rFonts w:hint="eastAsia" w:ascii="仿宋_GB2312" w:hAnsi="仿宋_GB2312" w:eastAsia="仿宋_GB2312" w:cs="仿宋_GB2312"/>
          <w:b/>
          <w:bCs/>
          <w:color w:val="auto"/>
          <w:sz w:val="32"/>
          <w:highlight w:val="none"/>
          <w:lang w:eastAsia="zh-CN"/>
        </w:rPr>
        <w:t>用地</w:t>
      </w:r>
      <w:r>
        <w:rPr>
          <w:rFonts w:hint="eastAsia" w:ascii="仿宋_GB2312" w:hAnsi="仿宋_GB2312" w:eastAsia="仿宋_GB2312" w:cs="仿宋_GB2312"/>
          <w:b/>
          <w:bCs/>
          <w:color w:val="auto"/>
          <w:sz w:val="32"/>
          <w:highlight w:val="none"/>
        </w:rPr>
        <w:t>基本情况</w:t>
      </w:r>
    </w:p>
    <w:p>
      <w:pPr>
        <w:keepNext w:val="0"/>
        <w:keepLines w:val="0"/>
        <w:pageBreakBefore w:val="0"/>
        <w:widowControl w:val="0"/>
        <w:kinsoku/>
        <w:wordWrap/>
        <w:overflowPunct/>
        <w:topLinePunct w:val="0"/>
        <w:autoSpaceDE/>
        <w:autoSpaceDN/>
        <w:bidi w:val="0"/>
        <w:spacing w:line="560" w:lineRule="exact"/>
        <w:ind w:left="2398" w:leftChars="304" w:hanging="1760" w:hangingChars="550"/>
        <w:textAlignment w:val="auto"/>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rPr>
        <w:t>宗地编号：</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2024NGY-9                             </w:t>
      </w:r>
      <w:r>
        <w:rPr>
          <w:rFonts w:hint="eastAsia" w:ascii="仿宋_GB2312" w:hAnsi="仿宋_GB2312" w:eastAsia="仿宋_GB2312" w:cs="仿宋_GB2312"/>
          <w:color w:val="auto"/>
          <w:sz w:val="32"/>
          <w:highlight w:val="none"/>
          <w:u w:val="single"/>
        </w:rPr>
        <w:t xml:space="preserve"> </w:t>
      </w:r>
    </w:p>
    <w:p>
      <w:pPr>
        <w:keepNext w:val="0"/>
        <w:keepLines w:val="0"/>
        <w:widowControl/>
        <w:suppressLineNumbers w:val="0"/>
        <w:jc w:val="left"/>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rPr>
        <w:t xml:space="preserve">    土地位置：</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b w:val="0"/>
          <w:bCs w:val="0"/>
          <w:color w:val="auto"/>
          <w:sz w:val="32"/>
          <w:highlight w:val="none"/>
          <w:u w:val="single"/>
          <w:lang w:val="en-US" w:eastAsia="zh-CN"/>
        </w:rPr>
        <w:t>南沙区万顷沙保税港加工制造业区块利东路西侧、武警路南侧</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highlight w:val="none"/>
          <w:u w:val="single"/>
        </w:rPr>
      </w:pPr>
      <w:r>
        <w:rPr>
          <w:rFonts w:hint="eastAsia" w:ascii="仿宋_GB2312" w:hAnsi="仿宋_GB2312" w:eastAsia="仿宋_GB2312" w:cs="仿宋_GB2312"/>
          <w:b w:val="0"/>
          <w:bCs w:val="0"/>
          <w:color w:val="auto"/>
          <w:sz w:val="32"/>
          <w:highlight w:val="none"/>
        </w:rPr>
        <w:t xml:space="preserve">    土地</w:t>
      </w:r>
      <w:r>
        <w:rPr>
          <w:rFonts w:hint="eastAsia" w:ascii="仿宋_GB2312" w:hAnsi="仿宋_GB2312" w:eastAsia="仿宋_GB2312" w:cs="仿宋_GB2312"/>
          <w:b w:val="0"/>
          <w:bCs w:val="0"/>
          <w:color w:val="auto"/>
          <w:sz w:val="32"/>
          <w:highlight w:val="none"/>
          <w:lang w:val="en-US" w:eastAsia="zh-CN"/>
        </w:rPr>
        <w:t>性质</w:t>
      </w:r>
      <w:r>
        <w:rPr>
          <w:rFonts w:hint="eastAsia" w:ascii="仿宋_GB2312" w:hAnsi="仿宋_GB2312" w:eastAsia="仿宋_GB2312" w:cs="仿宋_GB2312"/>
          <w:b w:val="0"/>
          <w:bCs w:val="0"/>
          <w:color w:val="auto"/>
          <w:sz w:val="32"/>
          <w:highlight w:val="none"/>
        </w:rPr>
        <w:t>：</w:t>
      </w:r>
      <w:r>
        <w:rPr>
          <w:rFonts w:hint="eastAsia" w:ascii="仿宋_GB2312" w:hAnsi="仿宋_GB2312" w:eastAsia="仿宋_GB2312" w:cs="仿宋_GB2312"/>
          <w:b w:val="0"/>
          <w:bCs w:val="0"/>
          <w:color w:val="auto"/>
          <w:sz w:val="32"/>
          <w:highlight w:val="none"/>
          <w:u w:val="single"/>
        </w:rPr>
        <w:t xml:space="preserve">  </w:t>
      </w:r>
      <w:r>
        <w:rPr>
          <w:rFonts w:hint="eastAsia" w:ascii="仿宋_GB2312" w:hAnsi="仿宋_GB2312" w:eastAsia="仿宋_GB2312" w:cs="仿宋_GB2312"/>
          <w:b w:val="0"/>
          <w:bCs w:val="0"/>
          <w:color w:val="auto"/>
          <w:sz w:val="32"/>
          <w:highlight w:val="none"/>
          <w:u w:val="single"/>
          <w:lang w:val="en-US" w:eastAsia="zh-CN"/>
        </w:rPr>
        <w:t xml:space="preserve">       一类工业用地（M1）   </w:t>
      </w:r>
      <w:r>
        <w:rPr>
          <w:rFonts w:hint="eastAsia" w:ascii="仿宋_GB2312" w:hAnsi="仿宋_GB2312" w:eastAsia="仿宋_GB2312" w:cs="仿宋_GB2312"/>
          <w:b w:val="0"/>
          <w:bCs w:val="0"/>
          <w:color w:val="auto"/>
          <w:sz w:val="32"/>
          <w:highlight w:val="none"/>
          <w:u w:val="single"/>
        </w:rPr>
        <w:t xml:space="preserve">     </w:t>
      </w:r>
    </w:p>
    <w:p>
      <w:pPr>
        <w:numPr>
          <w:ilvl w:val="0"/>
          <w:numId w:val="0"/>
        </w:numPr>
        <w:tabs>
          <w:tab w:val="left" w:pos="2340"/>
          <w:tab w:val="left" w:pos="2520"/>
        </w:tabs>
        <w:spacing w:line="360" w:lineRule="auto"/>
        <w:ind w:firstLine="640" w:firstLineChars="200"/>
        <w:jc w:val="both"/>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rPr>
        <w:t>总用地面积（平方米）：</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47994        </w:t>
      </w:r>
      <w:r>
        <w:rPr>
          <w:rFonts w:hint="eastAsia" w:ascii="仿宋_GB2312" w:hAnsi="仿宋_GB2312" w:eastAsia="仿宋_GB2312" w:cs="仿宋_GB2312"/>
          <w:color w:val="auto"/>
          <w:sz w:val="32"/>
          <w:highlight w:val="none"/>
          <w:u w:val="single"/>
        </w:rPr>
        <w:t xml:space="preserve">    </w:t>
      </w:r>
    </w:p>
    <w:p>
      <w:pPr>
        <w:numPr>
          <w:ilvl w:val="0"/>
          <w:numId w:val="0"/>
        </w:numPr>
        <w:tabs>
          <w:tab w:val="left" w:pos="2340"/>
          <w:tab w:val="left" w:pos="2520"/>
        </w:tabs>
        <w:spacing w:line="360" w:lineRule="auto"/>
        <w:ind w:firstLine="640" w:firstLineChars="200"/>
        <w:jc w:val="both"/>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rPr>
        <w:t>净用地面积（平方米）：</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47994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p>
    <w:p>
      <w:pPr>
        <w:numPr>
          <w:ilvl w:val="0"/>
          <w:numId w:val="0"/>
        </w:numPr>
        <w:tabs>
          <w:tab w:val="left" w:pos="2340"/>
          <w:tab w:val="left" w:pos="2520"/>
        </w:tabs>
        <w:spacing w:line="360" w:lineRule="auto"/>
        <w:ind w:firstLine="640" w:firstLineChars="200"/>
        <w:jc w:val="both"/>
        <w:rPr>
          <w:rFonts w:hint="default" w:ascii="仿宋_GB2312" w:hAnsi="仿宋_GB2312" w:eastAsia="仿宋_GB2312" w:cs="仿宋_GB2312"/>
          <w:color w:val="auto"/>
          <w:sz w:val="32"/>
          <w:highlight w:val="none"/>
          <w:u w:val="single"/>
          <w:lang w:val="en-US"/>
        </w:rPr>
      </w:pPr>
      <w:r>
        <w:rPr>
          <w:rFonts w:hint="eastAsia" w:ascii="仿宋_GB2312" w:hAnsi="仿宋_GB2312" w:eastAsia="仿宋_GB2312" w:cs="仿宋_GB2312"/>
          <w:color w:val="auto"/>
          <w:sz w:val="32"/>
          <w:highlight w:val="none"/>
        </w:rPr>
        <w:t>建筑面积（平方米</w:t>
      </w:r>
      <w:r>
        <w:rPr>
          <w:rFonts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default" w:ascii="仿宋_GB2312" w:hAnsi="仿宋_GB2312" w:eastAsia="仿宋_GB2312" w:cs="仿宋_GB2312"/>
          <w:color w:val="auto"/>
          <w:sz w:val="32"/>
          <w:highlight w:val="none"/>
          <w:u w:val="single"/>
          <w:lang w:val="en-US" w:eastAsia="zh-CN"/>
        </w:rPr>
        <w:t>≥</w:t>
      </w:r>
      <w:r>
        <w:rPr>
          <w:rFonts w:hint="eastAsia" w:ascii="仿宋_GB2312" w:hAnsi="仿宋_GB2312" w:eastAsia="仿宋_GB2312" w:cs="仿宋_GB2312"/>
          <w:color w:val="auto"/>
          <w:sz w:val="32"/>
          <w:highlight w:val="none"/>
          <w:u w:val="single"/>
          <w:lang w:val="en-US" w:eastAsia="zh-CN"/>
        </w:rPr>
        <w:t xml:space="preserve"> 95988， </w:t>
      </w:r>
      <w:r>
        <w:rPr>
          <w:rFonts w:hint="default" w:ascii="仿宋_GB2312" w:hAnsi="仿宋_GB2312" w:eastAsia="仿宋_GB2312" w:cs="仿宋_GB2312"/>
          <w:color w:val="auto"/>
          <w:sz w:val="32"/>
          <w:highlight w:val="none"/>
          <w:u w:val="single"/>
          <w:lang w:val="en-US" w:eastAsia="zh-CN"/>
        </w:rPr>
        <w:t>≤</w:t>
      </w:r>
      <w:r>
        <w:rPr>
          <w:rFonts w:hint="eastAsia" w:ascii="仿宋_GB2312" w:hAnsi="仿宋_GB2312" w:eastAsia="仿宋_GB2312" w:cs="仿宋_GB2312"/>
          <w:color w:val="auto"/>
          <w:sz w:val="32"/>
          <w:highlight w:val="none"/>
          <w:u w:val="single"/>
          <w:lang w:val="en-US" w:eastAsia="zh-CN"/>
        </w:rPr>
        <w:t xml:space="preserve"> 191</w:t>
      </w:r>
      <w:bookmarkStart w:id="0" w:name="_GoBack"/>
      <w:bookmarkEnd w:id="0"/>
      <w:r>
        <w:rPr>
          <w:rFonts w:hint="eastAsia" w:ascii="仿宋_GB2312" w:hAnsi="仿宋_GB2312" w:eastAsia="仿宋_GB2312" w:cs="仿宋_GB2312"/>
          <w:color w:val="auto"/>
          <w:sz w:val="32"/>
          <w:highlight w:val="none"/>
          <w:u w:val="single"/>
          <w:lang w:val="en-US" w:eastAsia="zh-CN"/>
        </w:rPr>
        <w:t xml:space="preserve">976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u w:val="none"/>
          <w:lang w:val="en-US" w:eastAsia="zh-CN"/>
        </w:rPr>
        <w:t>容积率：</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sz w:val="32"/>
          <w:highlight w:val="none"/>
          <w:u w:val="single"/>
        </w:rPr>
        <w:t>≥2</w:t>
      </w:r>
      <w:r>
        <w:rPr>
          <w:rFonts w:hint="eastAsia" w:ascii="仿宋_GB2312" w:hAnsi="仿宋_GB2312" w:eastAsia="仿宋_GB2312" w:cs="仿宋_GB2312"/>
          <w:sz w:val="32"/>
          <w:highlight w:val="none"/>
          <w:u w:val="single"/>
          <w:lang w:val="en-US" w:eastAsia="zh-CN"/>
        </w:rPr>
        <w:t>.0</w:t>
      </w:r>
      <w:r>
        <w:rPr>
          <w:rFonts w:hint="eastAsia" w:ascii="仿宋_GB2312" w:hAnsi="仿宋_GB2312" w:eastAsia="仿宋_GB2312" w:cs="仿宋_GB2312"/>
          <w:sz w:val="32"/>
          <w:highlight w:val="none"/>
          <w:u w:val="single"/>
        </w:rPr>
        <w:t>，≤</w:t>
      </w:r>
      <w:r>
        <w:rPr>
          <w:rFonts w:hint="eastAsia" w:ascii="仿宋_GB2312" w:hAnsi="仿宋_GB2312" w:eastAsia="仿宋_GB2312" w:cs="仿宋_GB2312"/>
          <w:sz w:val="32"/>
          <w:highlight w:val="none"/>
          <w:u w:val="single"/>
          <w:lang w:val="en-US" w:eastAsia="zh-CN"/>
        </w:rPr>
        <w:t>4</w:t>
      </w:r>
      <w:r>
        <w:rPr>
          <w:rFonts w:hint="eastAsia" w:ascii="仿宋_GB2312" w:hAnsi="仿宋_GB2312" w:eastAsia="仿宋_GB2312" w:cs="仿宋_GB2312"/>
          <w:sz w:val="32"/>
          <w:highlight w:val="none"/>
          <w:u w:val="single"/>
        </w:rPr>
        <w:t>.</w:t>
      </w:r>
      <w:r>
        <w:rPr>
          <w:rFonts w:hint="eastAsia" w:ascii="仿宋_GB2312" w:hAnsi="仿宋_GB2312" w:eastAsia="仿宋_GB2312" w:cs="仿宋_GB2312"/>
          <w:sz w:val="32"/>
          <w:highlight w:val="none"/>
          <w:u w:val="single"/>
          <w:lang w:val="en-US" w:eastAsia="zh-CN"/>
        </w:rPr>
        <w:t>0</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val="0"/>
        <w:kinsoku/>
        <w:wordWrap/>
        <w:overflowPunct/>
        <w:topLinePunct w:val="0"/>
        <w:autoSpaceDE/>
        <w:autoSpaceDN/>
        <w:bidi w:val="0"/>
        <w:spacing w:line="560" w:lineRule="exact"/>
        <w:ind w:left="2720" w:hanging="2720" w:hangingChars="850"/>
        <w:textAlignment w:val="auto"/>
        <w:rPr>
          <w:rFonts w:hint="default" w:ascii="仿宋_GB2312" w:hAnsi="仿宋_GB2312" w:eastAsia="仿宋_GB2312" w:cs="仿宋_GB2312"/>
          <w:color w:val="auto"/>
          <w:sz w:val="32"/>
          <w:highlight w:val="none"/>
          <w:u w:val="single"/>
          <w:lang w:val="en-US" w:eastAsia="zh-CN"/>
        </w:rPr>
      </w:pPr>
      <w:r>
        <w:rPr>
          <w:rFonts w:hint="eastAsia" w:ascii="仿宋_GB2312" w:hAnsi="仿宋_GB2312" w:eastAsia="仿宋_GB2312" w:cs="仿宋_GB2312"/>
          <w:color w:val="auto"/>
          <w:sz w:val="32"/>
          <w:highlight w:val="none"/>
        </w:rPr>
        <w:t xml:space="preserve">    准入产业类型</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u w:val="single"/>
          <w:lang w:val="en-US" w:eastAsia="zh-CN"/>
        </w:rPr>
        <w:t xml:space="preserve">  以汽车零部件及其配件制造为主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供地方式：</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000000" w:themeColor="text1"/>
          <w:sz w:val="32"/>
          <w:highlight w:val="none"/>
          <w:u w:val="single"/>
          <w:lang w:val="en-US" w:eastAsia="zh-CN"/>
          <w14:textFill>
            <w14:solidFill>
              <w14:schemeClr w14:val="tx1"/>
            </w14:solidFill>
          </w14:textFill>
        </w:rPr>
        <w:t>公开出让</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highlight w:val="none"/>
          <w:u w:val="single"/>
          <w:lang w:val="en-US" w:eastAsia="zh-CN"/>
        </w:rPr>
      </w:pPr>
      <w:r>
        <w:rPr>
          <w:rFonts w:hint="eastAsia" w:ascii="仿宋_GB2312" w:hAnsi="仿宋_GB2312" w:eastAsia="仿宋_GB2312" w:cs="仿宋_GB2312"/>
          <w:color w:val="auto"/>
          <w:sz w:val="32"/>
          <w:highlight w:val="none"/>
          <w:lang w:val="en-US" w:eastAsia="zh-CN"/>
        </w:rPr>
        <w:t>供地时间：</w:t>
      </w:r>
      <w:r>
        <w:rPr>
          <w:rFonts w:hint="eastAsia" w:ascii="仿宋_GB2312" w:hAnsi="仿宋_GB2312" w:eastAsia="仿宋_GB2312" w:cs="仿宋_GB2312"/>
          <w:color w:val="auto"/>
          <w:sz w:val="32"/>
          <w:highlight w:val="none"/>
          <w:u w:val="single"/>
          <w:lang w:val="en-US" w:eastAsia="zh-CN"/>
        </w:rPr>
        <w:t xml:space="preserve">以土地出让合同为准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lang w:val="en-US" w:eastAsia="zh-CN"/>
        </w:rPr>
        <w:t>供地年限：</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30年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p>
    <w:p>
      <w:pPr>
        <w:pStyle w:val="8"/>
        <w:spacing w:line="560" w:lineRule="exact"/>
        <w:ind w:left="0" w:leftChars="0" w:firstLine="640" w:firstLineChars="200"/>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本条所述用地基本情况，以乙方与南沙区规划和自然资源行政主管部门（土地出让方）签订的《国有建设用地使用权出让合同》为准。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二、用地对应投资</w:t>
      </w:r>
      <w:r>
        <w:rPr>
          <w:rFonts w:hint="eastAsia" w:ascii="仿宋_GB2312" w:eastAsia="仿宋_GB2312"/>
          <w:b/>
          <w:color w:val="auto"/>
          <w:sz w:val="32"/>
          <w:szCs w:val="32"/>
          <w:highlight w:val="none"/>
        </w:rPr>
        <w:t>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项目名称：</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项目（以下简称“本项目”）</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项目主要内容：</w:t>
      </w:r>
      <w:r>
        <w:rPr>
          <w:rFonts w:hint="eastAsia" w:ascii="仿宋_GB2312" w:eastAsia="仿宋_GB2312"/>
          <w:color w:val="auto"/>
          <w:sz w:val="32"/>
          <w:szCs w:val="32"/>
          <w:highlight w:val="none"/>
          <w:lang w:val="en-US" w:eastAsia="zh-CN"/>
        </w:rPr>
        <w:t>拟在南沙</w:t>
      </w:r>
      <w:r>
        <w:rPr>
          <w:rFonts w:hint="eastAsia" w:ascii="仿宋_GB2312" w:hAnsi="仿宋_GB2312" w:eastAsia="仿宋_GB2312" w:cs="仿宋_GB2312"/>
          <w:b w:val="0"/>
          <w:color w:val="auto"/>
          <w:sz w:val="32"/>
          <w:szCs w:val="32"/>
          <w:highlight w:val="none"/>
          <w:lang w:val="en-US" w:eastAsia="zh-CN"/>
        </w:rPr>
        <w:t>设立智能汽车照明系统总部生产研发基地，并将上市主体设在南沙。</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b w:val="0"/>
          <w:color w:val="auto"/>
          <w:sz w:val="32"/>
          <w:szCs w:val="32"/>
          <w:highlight w:val="none"/>
          <w:u w:val="none"/>
          <w:lang w:val="en-US" w:eastAsia="zh-CN"/>
        </w:rPr>
      </w:pPr>
      <w:r>
        <w:rPr>
          <w:rFonts w:hint="eastAsia" w:ascii="仿宋_GB2312" w:hAnsi="仿宋_GB2312" w:eastAsia="仿宋_GB2312" w:cs="仿宋_GB2312"/>
          <w:b w:val="0"/>
          <w:color w:val="auto"/>
          <w:sz w:val="32"/>
          <w:szCs w:val="32"/>
          <w:highlight w:val="none"/>
          <w:u w:val="none"/>
        </w:rPr>
        <w:t>投资规模：总投资</w:t>
      </w:r>
      <w:r>
        <w:rPr>
          <w:rFonts w:hint="eastAsia" w:ascii="仿宋_GB2312" w:hAnsi="仿宋_GB2312" w:eastAsia="仿宋_GB2312" w:cs="仿宋_GB2312"/>
          <w:b w:val="0"/>
          <w:color w:val="auto"/>
          <w:sz w:val="32"/>
          <w:szCs w:val="32"/>
          <w:highlight w:val="none"/>
          <w:u w:val="none"/>
          <w:lang w:eastAsia="zh-CN"/>
        </w:rPr>
        <w:t>额</w:t>
      </w:r>
      <w:r>
        <w:rPr>
          <w:rFonts w:hint="eastAsia" w:ascii="仿宋_GB2312" w:hAnsi="仿宋_GB2312" w:eastAsia="仿宋_GB2312" w:cs="仿宋_GB2312"/>
          <w:b w:val="0"/>
          <w:color w:val="auto"/>
          <w:sz w:val="32"/>
          <w:szCs w:val="32"/>
          <w:highlight w:val="none"/>
          <w:u w:val="none"/>
        </w:rPr>
        <w:t>不低于</w:t>
      </w:r>
      <w:r>
        <w:rPr>
          <w:rFonts w:hint="eastAsia" w:ascii="仿宋_GB2312" w:hAnsi="仿宋_GB2312" w:eastAsia="仿宋_GB2312" w:cs="仿宋_GB2312"/>
          <w:b w:val="0"/>
          <w:color w:val="auto"/>
          <w:sz w:val="32"/>
          <w:szCs w:val="32"/>
          <w:highlight w:val="none"/>
          <w:u w:val="none"/>
          <w:lang w:val="en-US" w:eastAsia="zh-CN"/>
        </w:rPr>
        <w:t>24.8亿</w:t>
      </w:r>
      <w:r>
        <w:rPr>
          <w:rFonts w:hint="eastAsia" w:ascii="仿宋_GB2312" w:hAnsi="仿宋_GB2312" w:eastAsia="仿宋_GB2312" w:cs="仿宋_GB2312"/>
          <w:b w:val="0"/>
          <w:color w:val="auto"/>
          <w:sz w:val="32"/>
          <w:szCs w:val="32"/>
          <w:highlight w:val="none"/>
          <w:u w:val="none"/>
        </w:rPr>
        <w:t>元</w:t>
      </w:r>
      <w:r>
        <w:rPr>
          <w:rFonts w:hint="eastAsia" w:ascii="仿宋_GB2312" w:hAnsi="仿宋_GB2312" w:eastAsia="仿宋_GB2312" w:cs="仿宋_GB2312"/>
          <w:b w:val="0"/>
          <w:color w:val="auto"/>
          <w:sz w:val="32"/>
          <w:szCs w:val="32"/>
          <w:highlight w:val="none"/>
          <w:u w:val="none"/>
          <w:lang w:eastAsia="zh-CN"/>
        </w:rPr>
        <w:t>，入统南沙区固定资产投资</w:t>
      </w:r>
      <w:r>
        <w:rPr>
          <w:rFonts w:hint="eastAsia" w:ascii="仿宋_GB2312" w:hAnsi="仿宋_GB2312" w:eastAsia="仿宋_GB2312" w:cs="仿宋_GB2312"/>
          <w:b w:val="0"/>
          <w:color w:val="auto"/>
          <w:sz w:val="32"/>
          <w:szCs w:val="32"/>
          <w:highlight w:val="none"/>
          <w:u w:val="none"/>
          <w:lang w:val="en-US" w:eastAsia="zh-CN"/>
        </w:rPr>
        <w:t>总额不低于16.7亿元。</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b w:val="0"/>
          <w:color w:val="auto"/>
          <w:sz w:val="32"/>
          <w:szCs w:val="32"/>
          <w:highlight w:val="none"/>
          <w:u w:val="none"/>
          <w:lang w:val="en-US" w:eastAsia="zh-CN"/>
        </w:rPr>
      </w:pPr>
      <w:r>
        <w:rPr>
          <w:rFonts w:hint="eastAsia" w:ascii="仿宋_GB2312" w:hAnsi="仿宋_GB2312" w:eastAsia="仿宋_GB2312" w:cs="仿宋_GB2312"/>
          <w:b w:val="0"/>
          <w:color w:val="auto"/>
          <w:sz w:val="32"/>
          <w:szCs w:val="32"/>
          <w:highlight w:val="none"/>
          <w:u w:val="none"/>
          <w:lang w:val="en-US" w:eastAsia="zh-CN"/>
        </w:rPr>
        <w:t>预计达产年工业产值：不低于</w:t>
      </w:r>
      <w:r>
        <w:rPr>
          <w:rFonts w:hint="eastAsia" w:ascii="仿宋_GB2312" w:hAnsi="仿宋_GB2312" w:eastAsia="仿宋_GB2312" w:cs="仿宋_GB2312"/>
          <w:color w:val="auto"/>
          <w:sz w:val="32"/>
          <w:szCs w:val="32"/>
          <w:highlight w:val="none"/>
          <w:u w:val="none"/>
          <w:lang w:val="en-US" w:eastAsia="zh-CN"/>
        </w:rPr>
        <w:t>30</w:t>
      </w:r>
      <w:r>
        <w:rPr>
          <w:rFonts w:hint="eastAsia" w:ascii="仿宋_GB2312" w:hAnsi="仿宋_GB2312" w:eastAsia="仿宋_GB2312" w:cs="仿宋_GB2312"/>
          <w:b w:val="0"/>
          <w:color w:val="auto"/>
          <w:sz w:val="32"/>
          <w:szCs w:val="32"/>
          <w:highlight w:val="none"/>
          <w:u w:val="none"/>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b w:val="0"/>
          <w:color w:val="auto"/>
          <w:sz w:val="32"/>
          <w:szCs w:val="32"/>
          <w:highlight w:val="none"/>
          <w:u w:val="none"/>
          <w:lang w:val="en-US" w:eastAsia="zh-CN"/>
        </w:rPr>
      </w:pPr>
      <w:r>
        <w:rPr>
          <w:rFonts w:hint="eastAsia" w:ascii="仿宋_GB2312" w:hAnsi="仿宋_GB2312" w:eastAsia="仿宋_GB2312" w:cs="仿宋_GB2312"/>
          <w:b w:val="0"/>
          <w:color w:val="auto"/>
          <w:sz w:val="32"/>
          <w:szCs w:val="32"/>
          <w:highlight w:val="none"/>
          <w:u w:val="none"/>
          <w:lang w:val="en-US" w:eastAsia="zh-CN"/>
        </w:rPr>
        <w:t>预计达产年</w:t>
      </w:r>
      <w:r>
        <w:rPr>
          <w:rFonts w:hint="eastAsia" w:ascii="仿宋_GB2312" w:hAnsi="仿宋_GB2312" w:eastAsia="仿宋_GB2312" w:cs="仿宋_GB2312"/>
          <w:b w:val="0"/>
          <w:bCs w:val="0"/>
          <w:color w:val="auto"/>
          <w:kern w:val="44"/>
          <w:sz w:val="32"/>
          <w:szCs w:val="32"/>
          <w:highlight w:val="none"/>
          <w:lang w:val="en-US" w:eastAsia="zh-CN"/>
        </w:rPr>
        <w:t>税收</w:t>
      </w:r>
      <w:r>
        <w:rPr>
          <w:rFonts w:hint="eastAsia" w:ascii="仿宋_GB2312" w:hAnsi="仿宋_GB2312" w:eastAsia="仿宋_GB2312" w:cs="仿宋_GB2312"/>
          <w:b w:val="0"/>
          <w:color w:val="auto"/>
          <w:sz w:val="32"/>
          <w:szCs w:val="32"/>
          <w:highlight w:val="none"/>
          <w:u w:val="none"/>
          <w:lang w:val="en-US" w:eastAsia="zh-CN"/>
        </w:rPr>
        <w:t>：不低于1.7亿元。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val="en-US" w:eastAsia="zh-CN"/>
        </w:rPr>
        <w:t>三</w:t>
      </w:r>
      <w:r>
        <w:rPr>
          <w:rFonts w:hint="eastAsia" w:ascii="仿宋_GB2312" w:eastAsia="仿宋_GB2312"/>
          <w:b/>
          <w:bCs/>
          <w:color w:val="auto"/>
          <w:sz w:val="32"/>
          <w:szCs w:val="32"/>
          <w:highlight w:val="none"/>
        </w:rPr>
        <w:t>、乙方承诺：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（一）乙方负责本项目的建设、运营和管理，在</w:t>
      </w:r>
      <w:r>
        <w:rPr>
          <w:rFonts w:hint="eastAsia" w:ascii="仿宋_GB2312" w:eastAsia="仿宋_GB2312"/>
          <w:color w:val="auto"/>
          <w:sz w:val="32"/>
          <w:szCs w:val="32"/>
          <w:highlight w:val="none"/>
          <w:lang w:val="en-US" w:eastAsia="zh-CN"/>
        </w:rPr>
        <w:t>南沙区</w:t>
      </w:r>
      <w:r>
        <w:rPr>
          <w:rFonts w:hint="eastAsia" w:ascii="仿宋_GB2312" w:eastAsia="仿宋_GB2312"/>
          <w:color w:val="auto"/>
          <w:sz w:val="32"/>
          <w:szCs w:val="32"/>
          <w:highlight w:val="none"/>
        </w:rPr>
        <w:t>依法依规缴纳相关税费，</w:t>
      </w:r>
      <w:r>
        <w:rPr>
          <w:rFonts w:hint="eastAsia" w:ascii="仿宋_GB2312" w:eastAsia="仿宋_GB2312"/>
          <w:color w:val="auto"/>
          <w:sz w:val="32"/>
          <w:szCs w:val="32"/>
          <w:highlight w:val="none"/>
          <w:lang w:eastAsia="zh-CN"/>
        </w:rPr>
        <w:t>并在南沙区开立</w:t>
      </w:r>
      <w:r>
        <w:rPr>
          <w:rFonts w:hint="eastAsia" w:ascii="仿宋_GB2312" w:hAnsi="仿宋_GB2312" w:eastAsia="仿宋_GB2312" w:cs="仿宋_GB2312"/>
          <w:b w:val="0"/>
          <w:color w:val="auto"/>
          <w:sz w:val="32"/>
          <w:szCs w:val="32"/>
          <w:highlight w:val="none"/>
          <w:u w:val="none"/>
          <w:lang w:val="en-US" w:eastAsia="zh-CN"/>
        </w:rPr>
        <w:t>基本存款账户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同时须将</w:t>
      </w:r>
      <w:r>
        <w:rPr>
          <w:rFonts w:hint="eastAsia" w:ascii="仿宋_GB2312" w:eastAsia="仿宋_GB2312"/>
          <w:color w:val="auto"/>
          <w:sz w:val="32"/>
          <w:szCs w:val="32"/>
          <w:highlight w:val="none"/>
          <w:u w:val="none"/>
        </w:rPr>
        <w:t>公司唯一或主要经营办公地设在南沙，以保证本项目产生的固定资产投资等经济数据纳入</w:t>
      </w:r>
      <w:r>
        <w:rPr>
          <w:rFonts w:hint="eastAsia" w:ascii="仿宋_GB2312" w:eastAsia="仿宋_GB2312"/>
          <w:color w:val="auto"/>
          <w:sz w:val="32"/>
          <w:szCs w:val="32"/>
          <w:highlight w:val="none"/>
          <w:u w:val="none"/>
          <w:lang w:eastAsia="zh-CN"/>
        </w:rPr>
        <w:t>南沙</w:t>
      </w:r>
      <w:r>
        <w:rPr>
          <w:rFonts w:hint="eastAsia" w:ascii="仿宋_GB2312" w:eastAsia="仿宋_GB2312"/>
          <w:color w:val="auto"/>
          <w:sz w:val="32"/>
          <w:szCs w:val="32"/>
          <w:highlight w:val="none"/>
        </w:rPr>
        <w:t>统计。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lang w:val="en-US" w:eastAsia="zh-CN"/>
        </w:rPr>
        <w:t>乙方保证</w:t>
      </w:r>
      <w:r>
        <w:rPr>
          <w:rFonts w:hint="eastAsia" w:ascii="仿宋_GB2312" w:hAnsi="仿宋_GB2312" w:eastAsia="仿宋_GB2312" w:cs="仿宋_GB2312"/>
          <w:color w:val="auto"/>
          <w:sz w:val="32"/>
          <w:highlight w:val="none"/>
          <w:u w:val="single"/>
          <w:lang w:val="en-US" w:eastAsia="zh-CN"/>
        </w:rPr>
        <w:t>土地出让年限</w:t>
      </w:r>
      <w:r>
        <w:rPr>
          <w:rFonts w:hint="eastAsia" w:ascii="仿宋_GB2312" w:hAnsi="仿宋_GB2312" w:eastAsia="仿宋_GB2312" w:cs="仿宋_GB2312"/>
          <w:color w:val="auto"/>
          <w:sz w:val="32"/>
          <w:szCs w:val="32"/>
          <w:highlight w:val="none"/>
          <w:u w:val="single"/>
          <w:lang w:val="en-US" w:eastAsia="zh-CN"/>
        </w:rPr>
        <w:t>内</w:t>
      </w:r>
      <w:r>
        <w:rPr>
          <w:rFonts w:hint="eastAsia" w:ascii="仿宋_GB2312" w:hAnsi="仿宋_GB2312" w:eastAsia="仿宋_GB2312" w:cs="仿宋_GB2312"/>
          <w:color w:val="auto"/>
          <w:sz w:val="32"/>
          <w:szCs w:val="32"/>
          <w:highlight w:val="none"/>
          <w:lang w:val="en-US" w:eastAsia="zh-CN"/>
        </w:rPr>
        <w:t>注册地址及办公地址不迁离南沙区，不改变南沙区税务局作为主管税务机关，不迁出统计关系，不减少注册资本。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（三）乙方</w:t>
      </w:r>
      <w:r>
        <w:rPr>
          <w:rFonts w:hint="eastAsia" w:ascii="仿宋_GB2312" w:hAnsi="仿宋_GB2312" w:eastAsia="仿宋_GB2312" w:cs="仿宋_GB2312"/>
          <w:bCs/>
          <w:color w:val="auto"/>
          <w:sz w:val="32"/>
          <w:szCs w:val="32"/>
          <w:highlight w:val="none"/>
        </w:rPr>
        <w:t>按照本协议第</w:t>
      </w:r>
      <w:r>
        <w:rPr>
          <w:rFonts w:hint="eastAsia" w:ascii="仿宋_GB2312" w:hAnsi="仿宋_GB2312" w:eastAsia="仿宋_GB2312" w:cs="仿宋_GB2312"/>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rPr>
        <w:t>条</w:t>
      </w:r>
      <w:r>
        <w:rPr>
          <w:rFonts w:hint="eastAsia" w:ascii="仿宋_GB2312" w:hAnsi="仿宋_GB2312" w:eastAsia="仿宋_GB2312" w:cs="仿宋_GB2312"/>
          <w:bCs/>
          <w:color w:val="auto"/>
          <w:sz w:val="32"/>
          <w:szCs w:val="32"/>
          <w:highlight w:val="none"/>
          <w:lang w:eastAsia="zh-CN"/>
        </w:rPr>
        <w:t>“用地对应投资项目”、第三条（</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lang w:eastAsia="zh-CN"/>
        </w:rPr>
        <w:t>）“</w:t>
      </w:r>
      <w:r>
        <w:rPr>
          <w:rFonts w:hint="eastAsia" w:ascii="仿宋_GB2312" w:eastAsia="仿宋_GB2312"/>
          <w:color w:val="auto"/>
          <w:sz w:val="32"/>
          <w:szCs w:val="32"/>
          <w:highlight w:val="none"/>
        </w:rPr>
        <w:t>建设时序</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，在南沙区投资、建设、经营本项目，并确保本项目符合环保、安全生产等各方面法律、法规、规章、行政规范性文件、政策和有关约定要求</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（四）</w:t>
      </w:r>
      <w:r>
        <w:rPr>
          <w:rFonts w:hint="eastAsia" w:ascii="仿宋_GB2312" w:eastAsia="仿宋_GB2312"/>
          <w:color w:val="auto"/>
          <w:sz w:val="32"/>
          <w:szCs w:val="32"/>
          <w:highlight w:val="none"/>
        </w:rPr>
        <w:t>乙方应立即办理项目施工相关手续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并</w:t>
      </w:r>
      <w:r>
        <w:rPr>
          <w:rFonts w:hint="eastAsia" w:ascii="仿宋_GB2312" w:eastAsia="仿宋_GB2312"/>
          <w:color w:val="auto"/>
          <w:sz w:val="32"/>
          <w:szCs w:val="32"/>
          <w:highlight w:val="none"/>
        </w:rPr>
        <w:t>按以下建设时序开发，达到</w:t>
      </w:r>
      <w:r>
        <w:rPr>
          <w:rFonts w:hint="eastAsia" w:ascii="仿宋_GB2312" w:eastAsia="仿宋_GB2312"/>
          <w:color w:val="auto"/>
          <w:sz w:val="32"/>
          <w:szCs w:val="32"/>
          <w:highlight w:val="none"/>
          <w:lang w:eastAsia="zh-CN"/>
        </w:rPr>
        <w:t>南沙</w:t>
      </w:r>
      <w:r>
        <w:rPr>
          <w:rFonts w:hint="eastAsia" w:ascii="仿宋_GB2312" w:eastAsia="仿宋_GB2312"/>
          <w:color w:val="auto"/>
          <w:sz w:val="32"/>
          <w:szCs w:val="32"/>
          <w:highlight w:val="none"/>
        </w:rPr>
        <w:t>产业规划和建设要求：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 w:val="0"/>
          <w:color w:val="auto"/>
          <w:sz w:val="32"/>
          <w:szCs w:val="32"/>
          <w:highlight w:val="none"/>
          <w:lang w:val="en-US" w:eastAsia="zh-CN"/>
        </w:rPr>
        <w:t>自土地移交之日</w:t>
      </w:r>
      <w:r>
        <w:rPr>
          <w:rFonts w:hint="eastAsia" w:ascii="仿宋_GB2312" w:hAnsi="仿宋_GB2312" w:eastAsia="仿宋_GB2312" w:cs="仿宋_GB2312"/>
          <w:bCs/>
          <w:color w:val="auto"/>
          <w:sz w:val="32"/>
          <w:szCs w:val="32"/>
          <w:highlight w:val="none"/>
        </w:rPr>
        <w:t>起</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6</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个月内开工建设；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自</w:t>
      </w:r>
      <w:r>
        <w:rPr>
          <w:rFonts w:hint="eastAsia" w:ascii="仿宋_GB2312" w:hAnsi="仿宋_GB2312" w:eastAsia="仿宋_GB2312" w:cs="仿宋_GB2312"/>
          <w:bCs/>
          <w:color w:val="auto"/>
          <w:sz w:val="32"/>
          <w:szCs w:val="32"/>
          <w:highlight w:val="none"/>
        </w:rPr>
        <w:t>开工之日起</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24</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个月内完成土地出让合同项下整个地块竣工验收</w:t>
      </w:r>
      <w:r>
        <w:rPr>
          <w:rFonts w:hint="eastAsia" w:ascii="仿宋_GB2312" w:hAnsi="仿宋_GB2312" w:eastAsia="仿宋_GB2312" w:cs="仿宋_GB2312"/>
          <w:bCs/>
          <w:color w:val="auto"/>
          <w:sz w:val="32"/>
          <w:szCs w:val="32"/>
          <w:highlight w:val="none"/>
          <w:lang w:eastAsia="zh-CN"/>
        </w:rPr>
        <w:t>并投产</w:t>
      </w:r>
      <w:r>
        <w:rPr>
          <w:rFonts w:hint="eastAsia" w:ascii="仿宋_GB2312" w:hAnsi="仿宋_GB2312" w:eastAsia="仿宋_GB2312" w:cs="仿宋_GB2312"/>
          <w:bCs/>
          <w:color w:val="auto"/>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lang w:val="en-US" w:eastAsia="zh-CN" w:bidi="ar-SA"/>
        </w:rPr>
        <w:t>3.乙方需严格按照项目规划要求独立完成开发利用，如需出租、转让或与第三人合作开发建设意向项目用地及建（</w:t>
      </w:r>
      <w:r>
        <w:rPr>
          <w:rFonts w:hint="eastAsia" w:ascii="仿宋_GB2312" w:hAnsi="仿宋_GB2312" w:eastAsia="仿宋_GB2312" w:cs="仿宋_GB2312"/>
          <w:bCs/>
          <w:color w:val="auto"/>
          <w:sz w:val="32"/>
          <w:szCs w:val="32"/>
          <w:highlight w:val="none"/>
          <w:u w:val="none"/>
          <w:lang w:val="en-US" w:eastAsia="zh-CN"/>
        </w:rPr>
        <w:t>构）筑物（包括地下建筑及地上建筑）需经甲方书面同意后方可实施。</w:t>
      </w:r>
    </w:p>
    <w:p>
      <w:pPr>
        <w:keepNext w:val="0"/>
        <w:keepLines w:val="0"/>
        <w:pageBreakBefore w:val="0"/>
        <w:widowControl w:val="0"/>
        <w:kinsoku/>
        <w:wordWrap/>
        <w:overflowPunct/>
        <w:topLinePunct w:val="0"/>
        <w:autoSpaceDE/>
        <w:autoSpaceDN/>
        <w:bidi w:val="0"/>
        <w:adjustRightInd w:val="0"/>
        <w:snapToGrid w:val="0"/>
        <w:spacing w:line="560" w:lineRule="exact"/>
        <w:ind w:left="-19" w:leftChars="-9" w:right="-153" w:rightChars="-73" w:firstLine="640"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五</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甲方对乙方的监管经济数据：</w:t>
      </w:r>
    </w:p>
    <w:p>
      <w:pPr>
        <w:keepNext w:val="0"/>
        <w:keepLines w:val="0"/>
        <w:pageBreakBefore w:val="0"/>
        <w:widowControl w:val="0"/>
        <w:kinsoku/>
        <w:wordWrap/>
        <w:overflowPunct/>
        <w:topLinePunct w:val="0"/>
        <w:autoSpaceDE/>
        <w:autoSpaceDN/>
        <w:bidi w:val="0"/>
        <w:adjustRightInd w:val="0"/>
        <w:snapToGrid w:val="0"/>
        <w:spacing w:line="560" w:lineRule="exact"/>
        <w:ind w:left="-19" w:leftChars="-9" w:right="0" w:rightChars="0"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乙方在</w:t>
      </w:r>
      <w:r>
        <w:rPr>
          <w:rFonts w:hint="eastAsia" w:ascii="仿宋_GB2312" w:hAnsi="仿宋_GB2312" w:eastAsia="仿宋_GB2312" w:cs="仿宋_GB2312"/>
          <w:bCs/>
          <w:color w:val="auto"/>
          <w:sz w:val="32"/>
          <w:szCs w:val="32"/>
          <w:highlight w:val="none"/>
        </w:rPr>
        <w:t>本项目</w:t>
      </w:r>
      <w:r>
        <w:rPr>
          <w:rFonts w:hint="eastAsia" w:ascii="仿宋_GB2312" w:hAnsi="仿宋_GB2312" w:eastAsia="仿宋_GB2312" w:cs="仿宋_GB2312"/>
          <w:bCs/>
          <w:color w:val="auto"/>
          <w:sz w:val="32"/>
          <w:szCs w:val="32"/>
          <w:highlight w:val="none"/>
          <w:lang w:val="en-US" w:eastAsia="zh-CN"/>
        </w:rPr>
        <w:t>投产后</w:t>
      </w:r>
      <w:r>
        <w:rPr>
          <w:rFonts w:hint="eastAsia" w:ascii="仿宋_GB2312" w:hAnsi="仿宋_GB2312" w:eastAsia="仿宋_GB2312" w:cs="仿宋_GB2312"/>
          <w:bCs/>
          <w:color w:val="auto"/>
          <w:sz w:val="32"/>
          <w:szCs w:val="32"/>
          <w:highlight w:val="none"/>
        </w:rPr>
        <w:t>的投资强度不低于</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34000</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元/</w:t>
      </w:r>
      <w:r>
        <w:rPr>
          <w:rFonts w:hint="eastAsia" w:ascii="仿宋_GB2312" w:hAnsi="仿宋_GB2312" w:eastAsia="仿宋_GB2312" w:cs="仿宋_GB2312"/>
          <w:bCs/>
          <w:color w:val="auto"/>
          <w:sz w:val="32"/>
          <w:szCs w:val="32"/>
          <w:highlight w:val="none"/>
          <w:lang w:val="en-US" w:eastAsia="zh-CN"/>
        </w:rPr>
        <w:t>平方米</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9" w:leftChars="-9" w:right="0" w:rightChars="0" w:firstLine="640"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2.项目开工建设之日起10个工作日内在南沙区入统固定资产投资，</w:t>
      </w:r>
      <w:r>
        <w:rPr>
          <w:rFonts w:hint="eastAsia" w:ascii="仿宋_GB2312" w:hAnsi="仿宋_GB2312" w:eastAsia="仿宋_GB2312" w:cs="仿宋_GB2312"/>
          <w:b w:val="0"/>
          <w:color w:val="auto"/>
          <w:sz w:val="32"/>
          <w:szCs w:val="32"/>
          <w:highlight w:val="none"/>
          <w:u w:val="none"/>
          <w:lang w:val="en-US" w:eastAsia="zh-CN"/>
        </w:rPr>
        <w:t>至2028年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1日前</w:t>
      </w:r>
      <w:r>
        <w:rPr>
          <w:rFonts w:hint="eastAsia" w:ascii="仿宋_GB2312" w:hAnsi="仿宋_GB2312" w:eastAsia="仿宋_GB2312" w:cs="仿宋_GB2312"/>
          <w:b w:val="0"/>
          <w:color w:val="auto"/>
          <w:sz w:val="32"/>
          <w:szCs w:val="32"/>
          <w:highlight w:val="none"/>
          <w:u w:val="none"/>
          <w:lang w:val="en-US" w:eastAsia="zh-CN"/>
        </w:rPr>
        <w:t>累计入统南沙区固定资产投资不低于</w:t>
      </w:r>
      <w:r>
        <w:rPr>
          <w:rFonts w:hint="eastAsia" w:ascii="仿宋_GB2312" w:hAnsi="仿宋_GB2312" w:eastAsia="仿宋_GB2312" w:cs="仿宋_GB2312"/>
          <w:b w:val="0"/>
          <w:color w:val="auto"/>
          <w:sz w:val="32"/>
          <w:szCs w:val="32"/>
          <w:highlight w:val="none"/>
          <w:u w:val="single"/>
          <w:lang w:val="en-US" w:eastAsia="zh-CN"/>
        </w:rPr>
        <w:t>10</w:t>
      </w:r>
      <w:r>
        <w:rPr>
          <w:rFonts w:hint="eastAsia" w:ascii="仿宋_GB2312" w:hAnsi="仿宋_GB2312" w:eastAsia="仿宋_GB2312" w:cs="仿宋_GB2312"/>
          <w:b w:val="0"/>
          <w:color w:val="auto"/>
          <w:sz w:val="32"/>
          <w:szCs w:val="32"/>
          <w:highlight w:val="none"/>
          <w:u w:val="none"/>
          <w:lang w:val="en-US" w:eastAsia="zh-CN"/>
        </w:rPr>
        <w:t>亿元，至2035年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1日前</w:t>
      </w:r>
      <w:r>
        <w:rPr>
          <w:rFonts w:hint="eastAsia" w:ascii="仿宋_GB2312" w:hAnsi="仿宋_GB2312" w:eastAsia="仿宋_GB2312" w:cs="仿宋_GB2312"/>
          <w:b w:val="0"/>
          <w:color w:val="auto"/>
          <w:sz w:val="32"/>
          <w:szCs w:val="32"/>
          <w:highlight w:val="none"/>
          <w:u w:val="none"/>
          <w:lang w:val="en-US" w:eastAsia="zh-CN"/>
        </w:rPr>
        <w:t>累计入统南沙区固定资产投资不低于</w:t>
      </w:r>
      <w:r>
        <w:rPr>
          <w:rFonts w:hint="eastAsia" w:ascii="仿宋_GB2312" w:hAnsi="仿宋_GB2312" w:eastAsia="仿宋_GB2312" w:cs="仿宋_GB2312"/>
          <w:b w:val="0"/>
          <w:color w:val="auto"/>
          <w:sz w:val="32"/>
          <w:szCs w:val="32"/>
          <w:highlight w:val="none"/>
          <w:u w:val="single"/>
          <w:lang w:val="en-US" w:eastAsia="zh-CN"/>
        </w:rPr>
        <w:t>16.7</w:t>
      </w:r>
      <w:r>
        <w:rPr>
          <w:rFonts w:hint="eastAsia" w:ascii="仿宋_GB2312" w:hAnsi="仿宋_GB2312" w:eastAsia="仿宋_GB2312" w:cs="仿宋_GB2312"/>
          <w:b w:val="0"/>
          <w:color w:val="auto"/>
          <w:sz w:val="32"/>
          <w:szCs w:val="32"/>
          <w:highlight w:val="none"/>
          <w:u w:val="none"/>
          <w:lang w:val="en-US" w:eastAsia="zh-CN"/>
        </w:rPr>
        <w:t>亿元</w:t>
      </w:r>
      <w:r>
        <w:rPr>
          <w:rFonts w:hint="eastAsia" w:ascii="仿宋_GB2312" w:hAnsi="仿宋_GB2312" w:eastAsia="仿宋_GB2312" w:cs="仿宋_GB2312"/>
          <w:bCs/>
          <w:color w:val="auto"/>
          <w:sz w:val="32"/>
          <w:szCs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178" w:leftChars="-85"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u w:val="single"/>
          <w:lang w:val="en-US" w:eastAsia="zh-CN"/>
        </w:rPr>
        <w:t xml:space="preserve"> 202</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lang w:val="en-US" w:eastAsia="zh-CN"/>
        </w:rPr>
        <w:t>年入统南沙区工业产值不低于</w:t>
      </w:r>
      <w:r>
        <w:rPr>
          <w:rFonts w:hint="eastAsia" w:ascii="仿宋_GB2312" w:hAnsi="仿宋_GB2312" w:eastAsia="仿宋_GB2312" w:cs="仿宋_GB2312"/>
          <w:bCs/>
          <w:color w:val="auto"/>
          <w:sz w:val="32"/>
          <w:szCs w:val="32"/>
          <w:highlight w:val="none"/>
          <w:u w:val="single"/>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lang w:val="en-US" w:eastAsia="zh-CN"/>
        </w:rPr>
        <w:t>亿元</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年度税收值</w:t>
      </w:r>
      <w:r>
        <w:rPr>
          <w:rFonts w:hint="eastAsia" w:ascii="仿宋_GB2312" w:hAnsi="仿宋_GB2312" w:eastAsia="仿宋_GB2312" w:cs="仿宋_GB2312"/>
          <w:bCs/>
          <w:color w:val="auto"/>
          <w:sz w:val="32"/>
          <w:szCs w:val="32"/>
          <w:highlight w:val="none"/>
        </w:rPr>
        <w:t>不低于</w:t>
      </w:r>
      <w:r>
        <w:rPr>
          <w:rFonts w:hint="eastAsia" w:ascii="仿宋_GB2312" w:hAnsi="仿宋_GB2312" w:eastAsia="仿宋_GB2312" w:cs="仿宋_GB2312"/>
          <w:bCs/>
          <w:color w:val="auto"/>
          <w:sz w:val="32"/>
          <w:szCs w:val="32"/>
          <w:highlight w:val="none"/>
          <w:u w:val="single"/>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202</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年入统南沙区</w:t>
      </w:r>
      <w:r>
        <w:rPr>
          <w:rFonts w:hint="eastAsia" w:ascii="仿宋_GB2312" w:hAnsi="仿宋_GB2312" w:eastAsia="仿宋_GB2312" w:cs="仿宋_GB2312"/>
          <w:bCs/>
          <w:color w:val="auto"/>
          <w:sz w:val="32"/>
          <w:szCs w:val="32"/>
          <w:highlight w:val="none"/>
          <w:lang w:eastAsia="zh-CN"/>
        </w:rPr>
        <w:t>工业产值</w:t>
      </w:r>
      <w:r>
        <w:rPr>
          <w:rFonts w:hint="eastAsia" w:ascii="仿宋_GB2312" w:hAnsi="仿宋_GB2312" w:eastAsia="仿宋_GB2312" w:cs="仿宋_GB2312"/>
          <w:bCs/>
          <w:color w:val="auto"/>
          <w:sz w:val="32"/>
          <w:szCs w:val="32"/>
          <w:highlight w:val="none"/>
        </w:rPr>
        <w:t>不低于</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亿元，</w:t>
      </w:r>
      <w:r>
        <w:rPr>
          <w:rFonts w:hint="eastAsia" w:ascii="仿宋_GB2312" w:hAnsi="仿宋_GB2312" w:eastAsia="仿宋_GB2312" w:cs="仿宋_GB2312"/>
          <w:bCs/>
          <w:color w:val="auto"/>
          <w:sz w:val="32"/>
          <w:szCs w:val="32"/>
          <w:highlight w:val="none"/>
          <w:lang w:eastAsia="zh-CN"/>
        </w:rPr>
        <w:t>年度税收值</w:t>
      </w:r>
      <w:r>
        <w:rPr>
          <w:rFonts w:hint="eastAsia" w:ascii="仿宋_GB2312" w:hAnsi="仿宋_GB2312" w:eastAsia="仿宋_GB2312" w:cs="仿宋_GB2312"/>
          <w:bCs/>
          <w:color w:val="auto"/>
          <w:sz w:val="32"/>
          <w:szCs w:val="32"/>
          <w:highlight w:val="none"/>
        </w:rPr>
        <w:t>不低于</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0" w:rightChars="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4.自项目</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color w:val="auto"/>
          <w:sz w:val="32"/>
          <w:szCs w:val="32"/>
          <w:highlight w:val="none"/>
          <w:u w:val="single"/>
          <w:lang w:val="en-US" w:eastAsia="zh-CN"/>
        </w:rPr>
        <w:t>202</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 w:val="0"/>
          <w:color w:val="auto"/>
          <w:sz w:val="32"/>
          <w:szCs w:val="32"/>
          <w:highlight w:val="none"/>
          <w:lang w:val="en-US" w:eastAsia="zh-CN"/>
        </w:rPr>
        <w:t>年</w:t>
      </w:r>
      <w:r>
        <w:rPr>
          <w:rFonts w:hint="eastAsia" w:ascii="仿宋_GB2312" w:hAnsi="仿宋_GB2312" w:eastAsia="仿宋_GB2312" w:cs="仿宋_GB2312"/>
          <w:b w:val="0"/>
          <w:bCs/>
          <w:color w:val="auto"/>
          <w:sz w:val="32"/>
          <w:szCs w:val="32"/>
          <w:highlight w:val="none"/>
        </w:rPr>
        <w:t>投产</w:t>
      </w:r>
      <w:r>
        <w:rPr>
          <w:rFonts w:hint="eastAsia" w:ascii="仿宋_GB2312" w:hAnsi="仿宋_GB2312" w:eastAsia="仿宋_GB2312" w:cs="仿宋_GB2312"/>
          <w:b w:val="0"/>
          <w:bCs/>
          <w:color w:val="auto"/>
          <w:sz w:val="32"/>
          <w:szCs w:val="32"/>
          <w:highlight w:val="none"/>
          <w:lang w:val="en-US" w:eastAsia="zh-CN"/>
        </w:rPr>
        <w:t>当年及后续任一会计年度入统南沙区年工业</w:t>
      </w:r>
      <w:r>
        <w:rPr>
          <w:rFonts w:hint="eastAsia" w:ascii="仿宋_GB2312" w:hAnsi="仿宋_GB2312" w:eastAsia="仿宋_GB2312" w:cs="仿宋_GB2312"/>
          <w:b w:val="0"/>
          <w:bCs/>
          <w:color w:val="auto"/>
          <w:sz w:val="32"/>
          <w:szCs w:val="32"/>
          <w:highlight w:val="none"/>
        </w:rPr>
        <w:t>产值不低于</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lang w:val="en-US" w:eastAsia="zh-CN"/>
        </w:rPr>
        <w:t>亿</w:t>
      </w:r>
      <w:r>
        <w:rPr>
          <w:rFonts w:hint="eastAsia" w:ascii="仿宋_GB2312" w:hAnsi="仿宋_GB2312" w:eastAsia="仿宋_GB2312" w:cs="仿宋_GB2312"/>
          <w:b w:val="0"/>
          <w:bCs/>
          <w:color w:val="auto"/>
          <w:sz w:val="32"/>
          <w:szCs w:val="32"/>
          <w:highlight w:val="none"/>
        </w:rPr>
        <w:t>元，</w:t>
      </w:r>
      <w:r>
        <w:rPr>
          <w:rFonts w:hint="eastAsia" w:ascii="仿宋_GB2312" w:hAnsi="仿宋_GB2312" w:eastAsia="仿宋_GB2312" w:cs="仿宋_GB2312"/>
          <w:b w:val="0"/>
          <w:bCs/>
          <w:color w:val="auto"/>
          <w:sz w:val="32"/>
          <w:szCs w:val="32"/>
          <w:highlight w:val="none"/>
          <w:lang w:val="en-US" w:eastAsia="zh-CN"/>
        </w:rPr>
        <w:t>年度税收值</w:t>
      </w:r>
      <w:r>
        <w:rPr>
          <w:rFonts w:hint="eastAsia" w:ascii="仿宋_GB2312" w:hAnsi="仿宋_GB2312" w:eastAsia="仿宋_GB2312" w:cs="仿宋_GB2312"/>
          <w:b w:val="0"/>
          <w:bCs/>
          <w:color w:val="auto"/>
          <w:sz w:val="32"/>
          <w:szCs w:val="32"/>
          <w:highlight w:val="none"/>
        </w:rPr>
        <w:t>不低于</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0" w:rightChars="0"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5.自项目</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 w:val="0"/>
          <w:color w:val="auto"/>
          <w:sz w:val="32"/>
          <w:szCs w:val="32"/>
          <w:highlight w:val="none"/>
          <w:u w:val="single"/>
          <w:lang w:val="en-US" w:eastAsia="zh-CN"/>
        </w:rPr>
        <w:t>202</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 w:val="0"/>
          <w:color w:val="auto"/>
          <w:sz w:val="32"/>
          <w:szCs w:val="32"/>
          <w:highlight w:val="none"/>
          <w:lang w:val="en-US" w:eastAsia="zh-CN"/>
        </w:rPr>
        <w:t>年</w:t>
      </w:r>
      <w:r>
        <w:rPr>
          <w:rFonts w:hint="eastAsia" w:ascii="仿宋_GB2312" w:hAnsi="仿宋_GB2312" w:eastAsia="仿宋_GB2312" w:cs="仿宋_GB2312"/>
          <w:b w:val="0"/>
          <w:bCs/>
          <w:color w:val="auto"/>
          <w:sz w:val="32"/>
          <w:szCs w:val="32"/>
          <w:highlight w:val="none"/>
          <w:lang w:val="en-US" w:eastAsia="zh-CN"/>
        </w:rPr>
        <w:t>达产当年及后续任一会计年度</w:t>
      </w:r>
      <w:r>
        <w:rPr>
          <w:rFonts w:hint="eastAsia" w:ascii="仿宋_GB2312" w:hAnsi="仿宋_GB2312" w:eastAsia="仿宋_GB2312" w:cs="仿宋_GB2312"/>
          <w:bCs/>
          <w:color w:val="auto"/>
          <w:sz w:val="32"/>
          <w:szCs w:val="32"/>
          <w:highlight w:val="none"/>
          <w:lang w:val="en-US" w:eastAsia="zh-CN"/>
        </w:rPr>
        <w:t>入统南沙区年工业</w:t>
      </w:r>
      <w:r>
        <w:rPr>
          <w:rFonts w:hint="eastAsia" w:ascii="仿宋_GB2312" w:hAnsi="仿宋_GB2312" w:eastAsia="仿宋_GB2312" w:cs="仿宋_GB2312"/>
          <w:bCs/>
          <w:color w:val="auto"/>
          <w:sz w:val="32"/>
          <w:szCs w:val="32"/>
          <w:highlight w:val="none"/>
        </w:rPr>
        <w:t>产值不低于</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lang w:val="en-US" w:eastAsia="zh-CN"/>
        </w:rPr>
        <w:t>亿</w:t>
      </w:r>
      <w:r>
        <w:rPr>
          <w:rFonts w:hint="eastAsia" w:ascii="仿宋_GB2312" w:hAnsi="仿宋_GB2312" w:eastAsia="仿宋_GB2312" w:cs="仿宋_GB2312"/>
          <w:bCs/>
          <w:color w:val="auto"/>
          <w:sz w:val="32"/>
          <w:szCs w:val="32"/>
          <w:highlight w:val="none"/>
        </w:rPr>
        <w:t>元，</w:t>
      </w:r>
      <w:r>
        <w:rPr>
          <w:rFonts w:hint="eastAsia" w:ascii="仿宋_GB2312" w:hAnsi="仿宋_GB2312" w:eastAsia="仿宋_GB2312" w:cs="仿宋_GB2312"/>
          <w:b w:val="0"/>
          <w:bCs/>
          <w:color w:val="auto"/>
          <w:sz w:val="32"/>
          <w:szCs w:val="32"/>
          <w:highlight w:val="none"/>
          <w:lang w:val="en-US" w:eastAsia="zh-CN"/>
        </w:rPr>
        <w:t>年度税收值</w:t>
      </w:r>
      <w:r>
        <w:rPr>
          <w:rFonts w:hint="eastAsia" w:ascii="仿宋_GB2312" w:hAnsi="仿宋_GB2312" w:eastAsia="仿宋_GB2312" w:cs="仿宋_GB2312"/>
          <w:bCs/>
          <w:color w:val="auto"/>
          <w:sz w:val="32"/>
          <w:szCs w:val="32"/>
          <w:highlight w:val="none"/>
        </w:rPr>
        <w:t>不低于</w:t>
      </w:r>
      <w:r>
        <w:rPr>
          <w:rFonts w:hint="eastAsia" w:ascii="仿宋_GB2312" w:hAnsi="仿宋_GB2312" w:eastAsia="仿宋_GB2312" w:cs="仿宋_GB2312"/>
          <w:bCs/>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0" w:rightChars="0" w:firstLine="640" w:firstLineChars="200"/>
        <w:textAlignment w:val="auto"/>
        <w:rPr>
          <w:rFonts w:hint="eastAsia"/>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六</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color w:val="auto"/>
          <w:sz w:val="32"/>
          <w:szCs w:val="32"/>
          <w:highlight w:val="none"/>
          <w:u w:val="none"/>
          <w:lang w:val="en-US" w:eastAsia="zh-CN"/>
        </w:rPr>
        <w:t>乙方</w:t>
      </w:r>
      <w:r>
        <w:rPr>
          <w:rFonts w:hint="eastAsia" w:ascii="仿宋_GB2312" w:hAnsi="仿宋_GB2312" w:eastAsia="仿宋_GB2312" w:cs="仿宋_GB2312"/>
          <w:b w:val="0"/>
          <w:color w:val="auto"/>
          <w:kern w:val="2"/>
          <w:sz w:val="32"/>
          <w:szCs w:val="32"/>
          <w:highlight w:val="none"/>
          <w:u w:val="none"/>
          <w:lang w:val="en-US" w:eastAsia="zh-CN" w:bidi="ar-SA"/>
        </w:rPr>
        <w:t>确保</w:t>
      </w:r>
      <w:r>
        <w:rPr>
          <w:rFonts w:hint="eastAsia" w:ascii="仿宋_GB2312" w:hAnsi="仿宋_GB2312" w:eastAsia="仿宋_GB2312" w:cs="仿宋_GB2312"/>
          <w:b w:val="0"/>
          <w:color w:val="auto"/>
          <w:sz w:val="32"/>
          <w:szCs w:val="32"/>
          <w:highlight w:val="none"/>
          <w:u w:val="none"/>
          <w:lang w:val="en-US" w:eastAsia="zh-CN"/>
        </w:rPr>
        <w:t>自身及引入的项目</w:t>
      </w:r>
      <w:r>
        <w:rPr>
          <w:rFonts w:hint="eastAsia" w:ascii="仿宋_GB2312" w:hAnsi="仿宋_GB2312" w:eastAsia="仿宋_GB2312" w:cs="仿宋_GB2312"/>
          <w:b w:val="0"/>
          <w:color w:val="auto"/>
          <w:kern w:val="2"/>
          <w:sz w:val="32"/>
          <w:szCs w:val="32"/>
          <w:highlight w:val="none"/>
          <w:u w:val="none"/>
          <w:lang w:val="en-US" w:eastAsia="zh-CN" w:bidi="ar-SA"/>
        </w:rPr>
        <w:t xml:space="preserve">工商注册地、税务征管关系、统计关系、唯一或主要经营办公地均在该地块发生，工业产值在南沙入统。  </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）本协议约定的项目建设用地</w:t>
      </w:r>
      <w:r>
        <w:rPr>
          <w:rFonts w:hint="eastAsia" w:ascii="仿宋_GB2312" w:hAnsi="仿宋_GB2312" w:eastAsia="仿宋_GB2312" w:cs="仿宋_GB2312"/>
          <w:color w:val="auto"/>
          <w:sz w:val="32"/>
          <w:szCs w:val="32"/>
          <w:highlight w:val="none"/>
        </w:rPr>
        <w:t>只能用于本协议约定的项目建设，除非经甲、乙双方协商一致并经过规划和自然资源行政主管部门（土地出让方）批准，乙方不得</w:t>
      </w:r>
      <w:r>
        <w:rPr>
          <w:rFonts w:hint="eastAsia" w:ascii="仿宋_GB2312" w:hAnsi="仿宋_GB2312" w:eastAsia="仿宋_GB2312" w:cs="仿宋_GB2312"/>
          <w:b w:val="0"/>
          <w:color w:val="auto"/>
          <w:sz w:val="32"/>
          <w:szCs w:val="32"/>
          <w:highlight w:val="none"/>
        </w:rPr>
        <w:t>以任何方式</w:t>
      </w:r>
      <w:r>
        <w:rPr>
          <w:rFonts w:hint="eastAsia" w:ascii="仿宋_GB2312" w:hAnsi="仿宋_GB2312" w:eastAsia="仿宋_GB2312" w:cs="仿宋_GB2312"/>
          <w:color w:val="auto"/>
          <w:sz w:val="32"/>
          <w:szCs w:val="32"/>
          <w:highlight w:val="none"/>
        </w:rPr>
        <w:t>转让</w:t>
      </w:r>
      <w:r>
        <w:rPr>
          <w:rFonts w:hint="eastAsia" w:ascii="仿宋_GB2312" w:hAnsi="仿宋_GB2312" w:eastAsia="仿宋_GB2312" w:cs="仿宋_GB2312"/>
          <w:color w:val="auto"/>
          <w:sz w:val="32"/>
          <w:szCs w:val="32"/>
          <w:highlight w:val="none"/>
          <w:lang w:eastAsia="zh-CN"/>
        </w:rPr>
        <w:t>意向项目用地</w:t>
      </w:r>
      <w:r>
        <w:rPr>
          <w:rFonts w:hint="eastAsia" w:ascii="仿宋_GB2312" w:hAnsi="仿宋_GB2312" w:eastAsia="仿宋_GB2312" w:cs="仿宋_GB2312"/>
          <w:color w:val="auto"/>
          <w:sz w:val="32"/>
          <w:szCs w:val="32"/>
          <w:highlight w:val="none"/>
        </w:rPr>
        <w:t>土地使用权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包含</w:t>
      </w:r>
      <w:r>
        <w:rPr>
          <w:rFonts w:hint="eastAsia" w:ascii="仿宋_GB2312" w:hAnsi="仿宋_GB2312" w:eastAsia="仿宋_GB2312" w:cs="仿宋_GB2312"/>
          <w:color w:val="auto"/>
          <w:sz w:val="32"/>
          <w:szCs w:val="32"/>
          <w:highlight w:val="none"/>
        </w:rPr>
        <w:t>不得通过股权转让</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方式变相转让</w:t>
      </w:r>
      <w:r>
        <w:rPr>
          <w:rFonts w:hint="eastAsia" w:ascii="仿宋_GB2312" w:hAnsi="仿宋_GB2312" w:eastAsia="仿宋_GB2312" w:cs="仿宋_GB2312"/>
          <w:color w:val="auto"/>
          <w:sz w:val="32"/>
          <w:szCs w:val="32"/>
          <w:highlight w:val="none"/>
          <w:lang w:eastAsia="zh-CN"/>
        </w:rPr>
        <w:t>意向项目用地</w:t>
      </w:r>
      <w:r>
        <w:rPr>
          <w:rFonts w:hint="eastAsia" w:ascii="仿宋_GB2312" w:hAnsi="仿宋_GB2312" w:eastAsia="仿宋_GB2312" w:cs="仿宋_GB2312"/>
          <w:color w:val="auto"/>
          <w:sz w:val="32"/>
          <w:szCs w:val="32"/>
          <w:highlight w:val="none"/>
        </w:rPr>
        <w:t>土地使用权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0" w:rightChars="0"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八</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乙方须在每年</w:t>
      </w:r>
      <w:r>
        <w:rPr>
          <w:rFonts w:hint="eastAsia" w:ascii="仿宋_GB2312" w:hAnsi="仿宋_GB2312" w:eastAsia="仿宋_GB2312" w:cs="仿宋_GB2312"/>
          <w:bCs/>
          <w:color w:val="auto"/>
          <w:sz w:val="32"/>
          <w:szCs w:val="32"/>
          <w:highlight w:val="none"/>
          <w:lang w:val="en-US" w:eastAsia="zh-CN"/>
        </w:rPr>
        <w:t>6月</w:t>
      </w:r>
      <w:r>
        <w:rPr>
          <w:rFonts w:hint="eastAsia" w:ascii="仿宋_GB2312" w:hAnsi="仿宋_GB2312" w:eastAsia="仿宋_GB2312" w:cs="仿宋_GB2312"/>
          <w:bCs/>
          <w:color w:val="auto"/>
          <w:sz w:val="32"/>
          <w:szCs w:val="32"/>
          <w:highlight w:val="none"/>
        </w:rPr>
        <w:t>前，向甲方提交上一年度项目财务报表、审计报告等经营数据相关佐证材料，</w:t>
      </w:r>
      <w:r>
        <w:rPr>
          <w:rFonts w:hint="eastAsia" w:ascii="仿宋_GB2312" w:hAnsi="仿宋_GB2312" w:eastAsia="仿宋_GB2312" w:cs="仿宋_GB2312"/>
          <w:bCs/>
          <w:color w:val="auto"/>
          <w:sz w:val="32"/>
          <w:szCs w:val="32"/>
          <w:highlight w:val="none"/>
          <w:lang w:val="en-US" w:eastAsia="zh-CN"/>
        </w:rPr>
        <w:t>汇总后报送甲方，作为甲方监管查验的佐证材料，</w:t>
      </w:r>
      <w:r>
        <w:rPr>
          <w:rFonts w:hint="eastAsia" w:ascii="仿宋_GB2312" w:hAnsi="仿宋_GB2312" w:eastAsia="仿宋_GB2312" w:cs="仿宋_GB2312"/>
          <w:bCs/>
          <w:color w:val="auto"/>
          <w:sz w:val="32"/>
          <w:szCs w:val="32"/>
          <w:highlight w:val="none"/>
        </w:rPr>
        <w:t>并确保所提供的材料真实、准确、完整。甲方会同相关部门在相关考核期对乙方承诺的相应年固定资产投资、工业产值、</w:t>
      </w:r>
      <w:r>
        <w:rPr>
          <w:rFonts w:hint="eastAsia" w:ascii="仿宋_GB2312" w:hAnsi="仿宋_GB2312" w:eastAsia="仿宋_GB2312" w:cs="仿宋_GB2312"/>
          <w:bCs/>
          <w:color w:val="auto"/>
          <w:sz w:val="32"/>
          <w:szCs w:val="32"/>
          <w:highlight w:val="none"/>
          <w:lang w:eastAsia="zh-CN"/>
        </w:rPr>
        <w:t>年度税收值</w:t>
      </w:r>
      <w:r>
        <w:rPr>
          <w:rFonts w:hint="eastAsia" w:ascii="仿宋_GB2312" w:hAnsi="仿宋_GB2312" w:eastAsia="仿宋_GB2312" w:cs="仿宋_GB2312"/>
          <w:bCs/>
          <w:color w:val="auto"/>
          <w:sz w:val="32"/>
          <w:szCs w:val="32"/>
          <w:highlight w:val="none"/>
        </w:rPr>
        <w:t>、项目建设情况等方面进行监管评估。</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3" w:firstLineChars="200"/>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四、违约责任</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1.</w:t>
      </w:r>
      <w:r>
        <w:rPr>
          <w:rFonts w:hint="eastAsia" w:ascii="仿宋_GB2312" w:hAnsi="仿宋_GB2312" w:eastAsia="仿宋_GB2312" w:cs="仿宋_GB2312"/>
          <w:b w:val="0"/>
          <w:color w:val="auto"/>
          <w:sz w:val="32"/>
          <w:szCs w:val="32"/>
          <w:highlight w:val="none"/>
        </w:rPr>
        <w:t>违反建设时序承诺的违约责任</w:t>
      </w:r>
    </w:p>
    <w:p>
      <w:pPr>
        <w:pStyle w:val="16"/>
        <w:keepNext w:val="0"/>
        <w:keepLines w:val="0"/>
        <w:pageBreakBefore w:val="0"/>
        <w:numPr>
          <w:ilvl w:val="0"/>
          <w:numId w:val="0"/>
        </w:numPr>
        <w:kinsoku/>
        <w:topLinePunct w:val="0"/>
        <w:bidi w:val="0"/>
        <w:spacing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以下任一情形下，</w:t>
      </w:r>
      <w:r>
        <w:rPr>
          <w:rFonts w:hint="eastAsia" w:ascii="仿宋_GB2312" w:hAnsi="仿宋_GB2312" w:eastAsia="仿宋_GB2312" w:cs="仿宋_GB2312"/>
          <w:bCs/>
          <w:color w:val="auto"/>
          <w:sz w:val="32"/>
          <w:szCs w:val="32"/>
          <w:highlight w:val="none"/>
        </w:rPr>
        <w:t>乙方</w:t>
      </w:r>
      <w:r>
        <w:rPr>
          <w:rFonts w:hint="eastAsia" w:ascii="仿宋_GB2312" w:hAnsi="仿宋_GB2312" w:eastAsia="仿宋_GB2312" w:cs="仿宋_GB2312"/>
          <w:color w:val="auto"/>
          <w:kern w:val="2"/>
          <w:sz w:val="32"/>
          <w:szCs w:val="32"/>
          <w:highlight w:val="none"/>
        </w:rPr>
        <w:t>未能按照本合同约定日期实现相应</w:t>
      </w:r>
      <w:r>
        <w:rPr>
          <w:rFonts w:hint="eastAsia" w:ascii="仿宋_GB2312" w:hAnsi="仿宋_GB2312" w:eastAsia="仿宋_GB2312" w:cs="仿宋_GB2312"/>
          <w:color w:val="auto"/>
          <w:kern w:val="2"/>
          <w:sz w:val="32"/>
          <w:szCs w:val="32"/>
          <w:highlight w:val="none"/>
          <w:lang w:val="en-US" w:eastAsia="zh-CN"/>
        </w:rPr>
        <w:t>建设</w:t>
      </w:r>
      <w:r>
        <w:rPr>
          <w:rFonts w:hint="eastAsia" w:ascii="仿宋_GB2312" w:hAnsi="仿宋_GB2312" w:eastAsia="仿宋_GB2312" w:cs="仿宋_GB2312"/>
          <w:color w:val="auto"/>
          <w:kern w:val="2"/>
          <w:sz w:val="32"/>
          <w:szCs w:val="32"/>
          <w:highlight w:val="none"/>
        </w:rPr>
        <w:t>承诺</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并未获得规划和自然资源行政主管部门（土地出让方）</w:t>
      </w:r>
      <w:r>
        <w:rPr>
          <w:rFonts w:hint="eastAsia" w:ascii="仿宋_GB2312" w:hAnsi="仿宋_GB2312" w:eastAsia="仿宋_GB2312" w:cs="仿宋_GB2312"/>
          <w:color w:val="auto"/>
          <w:sz w:val="32"/>
          <w:szCs w:val="32"/>
          <w:highlight w:val="none"/>
          <w:lang w:val="en-US" w:eastAsia="zh-CN"/>
        </w:rPr>
        <w:t>书面同意</w:t>
      </w:r>
      <w:r>
        <w:rPr>
          <w:rFonts w:hint="eastAsia" w:ascii="仿宋_GB2312" w:hAnsi="仿宋_GB2312" w:eastAsia="仿宋_GB2312" w:cs="仿宋_GB2312"/>
          <w:color w:val="auto"/>
          <w:kern w:val="2"/>
          <w:sz w:val="32"/>
          <w:szCs w:val="32"/>
          <w:highlight w:val="none"/>
        </w:rPr>
        <w:t>而需要延期的，每延期一日，</w:t>
      </w:r>
      <w:r>
        <w:rPr>
          <w:rFonts w:hint="eastAsia" w:ascii="仿宋_GB2312" w:hAnsi="仿宋_GB2312" w:eastAsia="仿宋_GB2312" w:cs="仿宋_GB2312"/>
          <w:color w:val="auto"/>
          <w:kern w:val="2"/>
          <w:sz w:val="32"/>
          <w:szCs w:val="32"/>
          <w:highlight w:val="none"/>
          <w:lang w:val="en-US" w:eastAsia="zh-CN"/>
        </w:rPr>
        <w:t>乙方</w:t>
      </w:r>
      <w:r>
        <w:rPr>
          <w:rFonts w:hint="eastAsia" w:ascii="仿宋_GB2312" w:hAnsi="仿宋_GB2312" w:eastAsia="仿宋_GB2312" w:cs="仿宋_GB2312"/>
          <w:color w:val="auto"/>
          <w:kern w:val="2"/>
          <w:sz w:val="32"/>
          <w:szCs w:val="32"/>
          <w:highlight w:val="none"/>
        </w:rPr>
        <w:t>应向甲方支付</w:t>
      </w:r>
      <w:r>
        <w:rPr>
          <w:rFonts w:hint="eastAsia" w:ascii="仿宋_GB2312" w:hAnsi="仿宋_GB2312" w:eastAsia="仿宋_GB2312" w:cs="仿宋_GB2312"/>
          <w:color w:val="auto"/>
          <w:sz w:val="32"/>
          <w:szCs w:val="32"/>
          <w:highlight w:val="none"/>
        </w:rPr>
        <w:t>国有建设用地使用权出让价款总额的</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‰作为违约金。如</w:t>
      </w:r>
      <w:r>
        <w:rPr>
          <w:rFonts w:hint="eastAsia" w:ascii="仿宋_GB2312" w:hAnsi="仿宋_GB2312" w:eastAsia="仿宋_GB2312" w:cs="仿宋_GB2312"/>
          <w:bCs/>
          <w:color w:val="auto"/>
          <w:sz w:val="32"/>
          <w:szCs w:val="32"/>
          <w:highlight w:val="none"/>
        </w:rPr>
        <w:t>乙方</w:t>
      </w:r>
      <w:r>
        <w:rPr>
          <w:rFonts w:hint="eastAsia" w:ascii="仿宋_GB2312" w:hAnsi="仿宋_GB2312" w:eastAsia="仿宋_GB2312" w:cs="仿宋_GB2312"/>
          <w:color w:val="auto"/>
          <w:sz w:val="32"/>
          <w:szCs w:val="32"/>
          <w:highlight w:val="none"/>
        </w:rPr>
        <w:t>已因延期开工或竣工被《国有建设用地使用权出让合同》的出让人收缴相关违约金，则甲方不重复</w:t>
      </w:r>
      <w:r>
        <w:rPr>
          <w:rFonts w:hint="eastAsia" w:ascii="仿宋_GB2312" w:hAnsi="仿宋_GB2312" w:eastAsia="仿宋_GB2312" w:cs="仿宋_GB2312"/>
          <w:color w:val="auto"/>
          <w:sz w:val="32"/>
          <w:szCs w:val="32"/>
          <w:highlight w:val="none"/>
          <w:lang w:val="en-US" w:eastAsia="zh-CN"/>
        </w:rPr>
        <w:t>惩罚</w:t>
      </w:r>
      <w:r>
        <w:rPr>
          <w:rFonts w:hint="eastAsia" w:ascii="仿宋_GB2312" w:hAnsi="仿宋_GB2312" w:eastAsia="仿宋_GB2312" w:cs="仿宋_GB2312"/>
          <w:color w:val="auto"/>
          <w:sz w:val="32"/>
          <w:szCs w:val="32"/>
          <w:highlight w:val="none"/>
        </w:rPr>
        <w:t>：</w:t>
      </w:r>
    </w:p>
    <w:p>
      <w:pPr>
        <w:pStyle w:val="16"/>
        <w:keepNext w:val="0"/>
        <w:keepLines w:val="0"/>
        <w:pageBreakBefore w:val="0"/>
        <w:numPr>
          <w:ilvl w:val="3"/>
          <w:numId w:val="0"/>
        </w:numPr>
        <w:kinsoku/>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乙方</w:t>
      </w:r>
      <w:r>
        <w:rPr>
          <w:rFonts w:hint="eastAsia" w:ascii="仿宋_GB2312" w:hAnsi="仿宋_GB2312" w:eastAsia="仿宋_GB2312" w:cs="仿宋_GB2312"/>
          <w:color w:val="auto"/>
          <w:sz w:val="32"/>
          <w:szCs w:val="32"/>
          <w:highlight w:val="none"/>
        </w:rPr>
        <w:t>自收到南沙区政府相关职能部门出具《土地移交确认书》，并在双方签章之日起</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个月内未启动项目开发建设</w:t>
      </w:r>
      <w:r>
        <w:rPr>
          <w:rFonts w:hint="eastAsia" w:ascii="仿宋_GB2312" w:hAnsi="仿宋_GB2312" w:eastAsia="仿宋_GB2312" w:cs="仿宋_GB2312"/>
          <w:color w:val="auto"/>
          <w:sz w:val="32"/>
          <w:szCs w:val="32"/>
          <w:highlight w:val="none"/>
          <w:lang w:val="en-US" w:eastAsia="zh-CN"/>
        </w:rPr>
        <w:t>的，甲方从约定项目开发建设启动时限届满次日起计收违约金。</w:t>
      </w:r>
    </w:p>
    <w:p>
      <w:pPr>
        <w:pStyle w:val="16"/>
        <w:keepNext w:val="0"/>
        <w:keepLines w:val="0"/>
        <w:pageBreakBefore w:val="0"/>
        <w:numPr>
          <w:ilvl w:val="3"/>
          <w:numId w:val="0"/>
        </w:numPr>
        <w:kinsoku/>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乙方</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val="en-US" w:eastAsia="zh-CN"/>
        </w:rPr>
        <w:t>开工</w:t>
      </w:r>
      <w:r>
        <w:rPr>
          <w:rFonts w:hint="eastAsia" w:ascii="仿宋_GB2312" w:hAnsi="仿宋_GB2312" w:eastAsia="仿宋_GB2312" w:cs="仿宋_GB2312"/>
          <w:color w:val="auto"/>
          <w:sz w:val="32"/>
          <w:szCs w:val="32"/>
          <w:highlight w:val="none"/>
        </w:rPr>
        <w:t>之日起</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个月内项目未竣工验收并投产</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，甲方从约定项目竣工验收并投产时限届满次日起计收违约金。</w:t>
      </w:r>
      <w:r>
        <w:rPr>
          <w:rFonts w:hint="eastAsia" w:ascii="仿宋_GB2312" w:hAnsi="仿宋_GB2312" w:eastAsia="仿宋_GB2312" w:cs="仿宋_GB2312"/>
          <w:color w:val="auto"/>
          <w:sz w:val="32"/>
          <w:szCs w:val="32"/>
          <w:highlight w:val="none"/>
        </w:rPr>
        <w:t>如因甲方或相关政府部门原因造成乙方不能履行投入产出承诺、建设期限等本协议约定的各项义务时，乙方须采用书面形式提出申请并经甲方同意后可顺延履行相关义务。</w:t>
      </w:r>
    </w:p>
    <w:p>
      <w:pPr>
        <w:keepNext w:val="0"/>
        <w:keepLines w:val="0"/>
        <w:pageBreakBefore w:val="0"/>
        <w:kinsoku/>
        <w:topLinePunct w:val="0"/>
        <w:bidi w:val="0"/>
        <w:adjustRightInd/>
        <w:snapToGrid/>
        <w:spacing w:beforeLines="0" w:afterLines="0" w:line="560" w:lineRule="exact"/>
        <w:ind w:firstLine="640" w:firstLineChars="200"/>
        <w:rPr>
          <w:rFonts w:hint="eastAsia" w:ascii="仿宋_GB2312" w:hAnsi="仿宋_GB2312" w:eastAsia="仿宋_GB2312" w:cs="仿宋_GB2312"/>
          <w:b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color w:val="auto"/>
          <w:sz w:val="32"/>
          <w:szCs w:val="32"/>
          <w:highlight w:val="none"/>
          <w:u w:val="none"/>
          <w:lang w:val="en-US" w:eastAsia="zh-CN"/>
        </w:rPr>
        <w:t>未按照土地出让合同约定的土地用途、容积率利用土地，擅自改变土地管理及规划等部门设定的土地开发指标开发项目土地，且在整改期内未完成整改的，甲方从整改期限届满次日起计收违约金。</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2.</w:t>
      </w:r>
      <w:r>
        <w:rPr>
          <w:rFonts w:hint="eastAsia" w:ascii="仿宋_GB2312" w:hAnsi="仿宋_GB2312" w:eastAsia="仿宋_GB2312" w:cs="仿宋_GB2312"/>
          <w:b w:val="0"/>
          <w:color w:val="auto"/>
          <w:sz w:val="32"/>
          <w:szCs w:val="32"/>
          <w:highlight w:val="none"/>
        </w:rPr>
        <w:t>违反固定资产投资额承诺值的违约责任</w:t>
      </w:r>
    </w:p>
    <w:p>
      <w:pPr>
        <w:pStyle w:val="16"/>
        <w:keepNext w:val="0"/>
        <w:keepLines w:val="0"/>
        <w:pageBreakBefore w:val="0"/>
        <w:numPr>
          <w:ilvl w:val="3"/>
          <w:numId w:val="0"/>
        </w:numPr>
        <w:kinsoku/>
        <w:topLinePunct w:val="0"/>
        <w:bidi w:val="0"/>
        <w:adjustRightInd/>
        <w:snapToGrid/>
        <w:spacing w:line="560" w:lineRule="exact"/>
        <w:ind w:firstLine="640" w:firstLineChars="200"/>
        <w:rPr>
          <w:rFonts w:hint="eastAsia" w:ascii="仿宋_GB2312" w:hAnsi="仿宋_GB2312" w:eastAsia="仿宋_GB2312" w:cs="仿宋_GB2312"/>
          <w:b w:val="0"/>
          <w:color w:val="auto"/>
          <w:kern w:val="21"/>
          <w:sz w:val="32"/>
          <w:szCs w:val="32"/>
          <w:highlight w:val="none"/>
          <w:lang w:val="en-US" w:eastAsia="zh-CN"/>
        </w:rPr>
      </w:pPr>
      <w:r>
        <w:rPr>
          <w:rFonts w:hint="eastAsia" w:ascii="仿宋_GB2312" w:hAnsi="仿宋_GB2312" w:eastAsia="仿宋_GB2312" w:cs="仿宋_GB2312"/>
          <w:color w:val="auto"/>
          <w:kern w:val="21"/>
          <w:sz w:val="32"/>
          <w:szCs w:val="32"/>
          <w:highlight w:val="none"/>
          <w:lang w:val="en-US" w:eastAsia="zh-CN"/>
        </w:rPr>
        <w:t>乙方承诺自本</w:t>
      </w:r>
      <w:r>
        <w:rPr>
          <w:rFonts w:hint="eastAsia" w:ascii="仿宋_GB2312" w:hAnsi="仿宋_GB2312" w:eastAsia="仿宋_GB2312" w:cs="仿宋_GB2312"/>
          <w:b w:val="0"/>
          <w:color w:val="auto"/>
          <w:sz w:val="32"/>
          <w:szCs w:val="32"/>
          <w:highlight w:val="none"/>
          <w:lang w:val="en-US" w:eastAsia="zh-CN"/>
        </w:rPr>
        <w:t>项目开工建设当年起</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lang w:val="en-US" w:eastAsia="zh-CN"/>
        </w:rPr>
        <w:t>动工年</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kern w:val="21"/>
          <w:sz w:val="32"/>
          <w:szCs w:val="32"/>
          <w:highlight w:val="none"/>
        </w:rPr>
        <w:t>乙方</w:t>
      </w:r>
      <w:r>
        <w:rPr>
          <w:rFonts w:hint="eastAsia" w:ascii="仿宋_GB2312" w:hAnsi="仿宋_GB2312" w:eastAsia="仿宋_GB2312" w:cs="仿宋_GB2312"/>
          <w:b w:val="0"/>
          <w:color w:val="auto"/>
          <w:kern w:val="21"/>
          <w:sz w:val="32"/>
          <w:szCs w:val="32"/>
          <w:highlight w:val="none"/>
          <w:lang w:val="en-US" w:eastAsia="zh-CN"/>
        </w:rPr>
        <w:t>在南沙入统固定资产投资</w:t>
      </w:r>
      <w:r>
        <w:rPr>
          <w:rFonts w:hint="eastAsia" w:ascii="仿宋_GB2312" w:hAnsi="仿宋_GB2312" w:eastAsia="仿宋_GB2312" w:cs="仿宋_GB2312"/>
          <w:color w:val="auto"/>
          <w:kern w:val="2"/>
          <w:sz w:val="32"/>
          <w:szCs w:val="32"/>
          <w:highlight w:val="none"/>
        </w:rPr>
        <w:t>未达到</w:t>
      </w:r>
      <w:r>
        <w:rPr>
          <w:rFonts w:hint="eastAsia" w:ascii="仿宋_GB2312" w:hAnsi="仿宋_GB2312" w:eastAsia="仿宋_GB2312" w:cs="仿宋_GB2312"/>
          <w:b w:val="0"/>
          <w:color w:val="auto"/>
          <w:kern w:val="21"/>
          <w:sz w:val="32"/>
          <w:szCs w:val="32"/>
          <w:highlight w:val="none"/>
          <w:lang w:val="en-US" w:eastAsia="zh-CN"/>
        </w:rPr>
        <w:t>年度</w:t>
      </w:r>
      <w:r>
        <w:rPr>
          <w:rFonts w:hint="eastAsia" w:ascii="仿宋_GB2312" w:hAnsi="仿宋_GB2312" w:eastAsia="仿宋_GB2312" w:cs="仿宋_GB2312"/>
          <w:color w:val="auto"/>
          <w:kern w:val="2"/>
          <w:sz w:val="32"/>
          <w:szCs w:val="32"/>
          <w:highlight w:val="none"/>
        </w:rPr>
        <w:t>承诺值的，</w:t>
      </w:r>
      <w:r>
        <w:rPr>
          <w:rFonts w:hint="eastAsia" w:ascii="仿宋_GB2312" w:hAnsi="仿宋_GB2312" w:eastAsia="仿宋_GB2312" w:cs="仿宋_GB2312"/>
          <w:b w:val="0"/>
          <w:bCs/>
          <w:color w:val="auto"/>
          <w:kern w:val="21"/>
          <w:sz w:val="32"/>
          <w:szCs w:val="32"/>
          <w:highlight w:val="none"/>
        </w:rPr>
        <w:t>甲方有权</w:t>
      </w:r>
      <w:r>
        <w:rPr>
          <w:rFonts w:hint="eastAsia" w:ascii="仿宋_GB2312" w:hAnsi="仿宋_GB2312" w:eastAsia="仿宋_GB2312" w:cs="仿宋_GB2312"/>
          <w:b w:val="0"/>
          <w:bCs/>
          <w:color w:val="auto"/>
          <w:kern w:val="21"/>
          <w:sz w:val="32"/>
          <w:szCs w:val="32"/>
          <w:highlight w:val="none"/>
          <w:lang w:val="en-US" w:eastAsia="zh-CN"/>
        </w:rPr>
        <w:t>向乙方</w:t>
      </w:r>
      <w:r>
        <w:rPr>
          <w:rFonts w:hint="eastAsia" w:ascii="仿宋_GB2312" w:hAnsi="仿宋_GB2312" w:eastAsia="仿宋_GB2312" w:cs="仿宋_GB2312"/>
          <w:color w:val="auto"/>
          <w:kern w:val="21"/>
          <w:sz w:val="32"/>
          <w:szCs w:val="32"/>
          <w:highlight w:val="none"/>
        </w:rPr>
        <w:t>出具整改</w:t>
      </w:r>
      <w:r>
        <w:rPr>
          <w:rFonts w:hint="eastAsia" w:ascii="仿宋_GB2312" w:hAnsi="仿宋_GB2312" w:eastAsia="仿宋_GB2312" w:cs="仿宋_GB2312"/>
          <w:color w:val="auto"/>
          <w:kern w:val="21"/>
          <w:sz w:val="32"/>
          <w:szCs w:val="32"/>
          <w:highlight w:val="none"/>
          <w:lang w:val="en-US" w:eastAsia="zh-CN"/>
        </w:rPr>
        <w:t>通知书</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要求</w:t>
      </w:r>
      <w:r>
        <w:rPr>
          <w:rFonts w:hint="eastAsia" w:ascii="仿宋_GB2312" w:hAnsi="仿宋_GB2312" w:eastAsia="仿宋_GB2312" w:cs="仿宋_GB2312"/>
          <w:b w:val="0"/>
          <w:bCs/>
          <w:color w:val="auto"/>
          <w:kern w:val="21"/>
          <w:sz w:val="32"/>
          <w:szCs w:val="32"/>
          <w:highlight w:val="none"/>
        </w:rPr>
        <w:t>乙方</w:t>
      </w:r>
      <w:r>
        <w:rPr>
          <w:rFonts w:hint="eastAsia" w:ascii="仿宋_GB2312" w:hAnsi="仿宋_GB2312" w:eastAsia="仿宋_GB2312" w:cs="仿宋_GB2312"/>
          <w:b w:val="0"/>
          <w:bCs/>
          <w:color w:val="auto"/>
          <w:kern w:val="21"/>
          <w:sz w:val="32"/>
          <w:szCs w:val="32"/>
          <w:highlight w:val="none"/>
          <w:lang w:val="en-US" w:eastAsia="zh-CN"/>
        </w:rPr>
        <w:t>进行</w:t>
      </w:r>
      <w:r>
        <w:rPr>
          <w:rFonts w:hint="eastAsia" w:ascii="仿宋_GB2312" w:hAnsi="仿宋_GB2312" w:eastAsia="仿宋_GB2312" w:cs="仿宋_GB2312"/>
          <w:b w:val="0"/>
          <w:bCs/>
          <w:color w:val="auto"/>
          <w:kern w:val="21"/>
          <w:sz w:val="32"/>
          <w:szCs w:val="32"/>
          <w:highlight w:val="none"/>
        </w:rPr>
        <w:t>整改</w:t>
      </w:r>
      <w:r>
        <w:rPr>
          <w:rFonts w:hint="eastAsia" w:ascii="仿宋_GB2312" w:hAnsi="仿宋_GB2312" w:eastAsia="仿宋_GB2312" w:cs="仿宋_GB2312"/>
          <w:b w:val="0"/>
          <w:bCs/>
          <w:color w:val="auto"/>
          <w:kern w:val="21"/>
          <w:sz w:val="32"/>
          <w:szCs w:val="32"/>
          <w:highlight w:val="none"/>
          <w:lang w:eastAsia="zh-CN"/>
        </w:rPr>
        <w:t>，</w:t>
      </w:r>
      <w:r>
        <w:rPr>
          <w:rFonts w:hint="eastAsia" w:ascii="仿宋_GB2312" w:hAnsi="仿宋_GB2312" w:eastAsia="仿宋_GB2312" w:cs="仿宋_GB2312"/>
          <w:b w:val="0"/>
          <w:bCs/>
          <w:color w:val="auto"/>
          <w:kern w:val="21"/>
          <w:sz w:val="32"/>
          <w:szCs w:val="32"/>
          <w:highlight w:val="none"/>
          <w:lang w:val="en-US" w:eastAsia="zh-CN"/>
        </w:rPr>
        <w:t>并</w:t>
      </w:r>
      <w:r>
        <w:rPr>
          <w:rFonts w:hint="eastAsia" w:ascii="仿宋_GB2312" w:hAnsi="仿宋_GB2312" w:eastAsia="仿宋_GB2312" w:cs="仿宋_GB2312"/>
          <w:color w:val="auto"/>
          <w:kern w:val="2"/>
          <w:sz w:val="32"/>
          <w:szCs w:val="32"/>
          <w:highlight w:val="none"/>
        </w:rPr>
        <w:t>按照以下规则处置</w:t>
      </w:r>
      <w:r>
        <w:rPr>
          <w:rFonts w:hint="eastAsia" w:ascii="仿宋_GB2312" w:hAnsi="仿宋_GB2312" w:eastAsia="仿宋_GB2312" w:cs="仿宋_GB2312"/>
          <w:b w:val="0"/>
          <w:color w:val="auto"/>
          <w:kern w:val="21"/>
          <w:sz w:val="32"/>
          <w:szCs w:val="3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（1）乙方在南沙区年度入统固定资产投资未达到协议承诺值的90%（含90%）的，甲方有权出具整改通知书。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乙方在南沙区年度入统固定资产投资未达到协议承诺值的80%（含80%）的，且自甲方出具整改通知书之日起满6个月，如乙方仍未达到年度承诺值，甲方有权通报全区相关职能部门取消乙方本年度申请及享受的有关固定资产补贴的产业扶持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乙方在南沙区年度入统固定资产投资低于协议承诺值的50%（含50%），且自甲方出具整改通知书之日起满6个月，如乙方仍未达到年度承诺值，甲方有权通报全区相关职能部门取消乙方有关固定资产补贴的产业扶持政策，并有权要求乙方支付违约金。</w:t>
      </w:r>
    </w:p>
    <w:p>
      <w:pPr>
        <w:keepNext w:val="0"/>
        <w:keepLines w:val="0"/>
        <w:pageBreakBefore w:val="0"/>
        <w:kinsoku/>
        <w:topLinePunct w:val="0"/>
        <w:bidi w:val="0"/>
        <w:adjustRightInd/>
        <w:snapToGrid/>
        <w:spacing w:beforeLines="0" w:afterLines="0" w:line="560" w:lineRule="exact"/>
        <w:ind w:firstLine="640" w:firstLineChars="200"/>
        <w:rPr>
          <w:rFonts w:hint="eastAsia" w:ascii="仿宋_GB2312" w:hAnsi="仿宋_GB2312" w:eastAsia="仿宋_GB2312" w:cs="仿宋_GB2312"/>
          <w:b w:val="0"/>
          <w:bCs/>
          <w:color w:val="auto"/>
          <w:kern w:val="21"/>
          <w:sz w:val="32"/>
          <w:szCs w:val="32"/>
          <w:highlight w:val="none"/>
          <w:lang w:val="en-US" w:eastAsia="zh-CN"/>
        </w:rPr>
      </w:pPr>
      <w:r>
        <w:rPr>
          <w:rFonts w:hint="eastAsia" w:ascii="仿宋_GB2312" w:hAnsi="仿宋_GB2312" w:eastAsia="仿宋_GB2312" w:cs="仿宋_GB2312"/>
          <w:b w:val="0"/>
          <w:bCs/>
          <w:color w:val="auto"/>
          <w:kern w:val="21"/>
          <w:sz w:val="32"/>
          <w:szCs w:val="32"/>
          <w:highlight w:val="none"/>
          <w:lang w:eastAsia="zh-CN"/>
        </w:rPr>
        <w:t>违约金</w:t>
      </w:r>
      <w:r>
        <w:rPr>
          <w:rFonts w:hint="eastAsia" w:ascii="仿宋_GB2312" w:hAnsi="仿宋_GB2312" w:eastAsia="仿宋_GB2312" w:cs="仿宋_GB2312"/>
          <w:b w:val="0"/>
          <w:bCs/>
          <w:color w:val="auto"/>
          <w:kern w:val="21"/>
          <w:sz w:val="32"/>
          <w:szCs w:val="32"/>
          <w:highlight w:val="none"/>
          <w:lang w:val="en-US" w:eastAsia="zh-CN"/>
        </w:rPr>
        <w:t>计算方式为项目固定资产投资承诺值与在南沙区入统固定投资实际值的差额的全部金额，乙方应自甲方出具整改通知书满6个月之日起30个自然日内缴纳违约金。</w:t>
      </w:r>
    </w:p>
    <w:p>
      <w:pPr>
        <w:pStyle w:val="16"/>
        <w:keepNext w:val="0"/>
        <w:keepLines w:val="0"/>
        <w:pageBreakBefore w:val="0"/>
        <w:numPr>
          <w:ilvl w:val="3"/>
          <w:numId w:val="0"/>
        </w:numPr>
        <w:kinsoku/>
        <w:topLinePunct w:val="0"/>
        <w:bidi w:val="0"/>
        <w:adjustRightInd/>
        <w:snapToGrid/>
        <w:spacing w:line="560" w:lineRule="exact"/>
        <w:ind w:firstLine="640" w:firstLineChars="200"/>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bCs w:val="0"/>
          <w:color w:val="auto"/>
          <w:kern w:val="44"/>
          <w:sz w:val="32"/>
          <w:szCs w:val="32"/>
          <w:highlight w:val="none"/>
          <w:lang w:val="en-US" w:eastAsia="zh-CN"/>
        </w:rPr>
        <w:t>3.</w:t>
      </w:r>
      <w:r>
        <w:rPr>
          <w:rFonts w:hint="eastAsia" w:ascii="仿宋_GB2312" w:hAnsi="仿宋_GB2312" w:eastAsia="仿宋_GB2312" w:cs="仿宋_GB2312"/>
          <w:b w:val="0"/>
          <w:bCs w:val="0"/>
          <w:color w:val="auto"/>
          <w:kern w:val="44"/>
          <w:sz w:val="32"/>
          <w:szCs w:val="32"/>
          <w:highlight w:val="none"/>
        </w:rPr>
        <w:t>违反</w:t>
      </w:r>
      <w:r>
        <w:rPr>
          <w:rFonts w:hint="eastAsia" w:ascii="仿宋_GB2312" w:hAnsi="仿宋_GB2312" w:eastAsia="仿宋_GB2312" w:cs="仿宋_GB2312"/>
          <w:b w:val="0"/>
          <w:bCs w:val="0"/>
          <w:color w:val="auto"/>
          <w:kern w:val="44"/>
          <w:sz w:val="32"/>
          <w:szCs w:val="32"/>
          <w:highlight w:val="none"/>
          <w:lang w:val="en-US" w:eastAsia="zh-CN"/>
        </w:rPr>
        <w:t>税收</w:t>
      </w:r>
      <w:r>
        <w:rPr>
          <w:rFonts w:hint="eastAsia" w:ascii="仿宋_GB2312" w:hAnsi="仿宋_GB2312" w:eastAsia="仿宋_GB2312" w:cs="仿宋_GB2312"/>
          <w:b w:val="0"/>
          <w:bCs w:val="0"/>
          <w:color w:val="auto"/>
          <w:kern w:val="44"/>
          <w:sz w:val="32"/>
          <w:szCs w:val="32"/>
          <w:highlight w:val="none"/>
        </w:rPr>
        <w:t>承诺值的违约责任</w:t>
      </w:r>
    </w:p>
    <w:p>
      <w:pPr>
        <w:pStyle w:val="16"/>
        <w:keepNext w:val="0"/>
        <w:keepLines w:val="0"/>
        <w:pageBreakBefore w:val="0"/>
        <w:numPr>
          <w:ilvl w:val="3"/>
          <w:numId w:val="0"/>
        </w:numPr>
        <w:kinsoku/>
        <w:topLinePunct w:val="0"/>
        <w:bidi w:val="0"/>
        <w:adjustRightInd/>
        <w:snapToGrid/>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1"/>
          <w:sz w:val="32"/>
          <w:szCs w:val="32"/>
          <w:highlight w:val="none"/>
          <w:u w:val="none"/>
          <w:lang w:val="en-US" w:eastAsia="zh-CN"/>
        </w:rPr>
        <w:t>自</w:t>
      </w:r>
      <w:r>
        <w:rPr>
          <w:rFonts w:hint="eastAsia" w:ascii="仿宋_GB2312" w:hAnsi="仿宋_GB2312" w:eastAsia="仿宋_GB2312" w:cs="仿宋_GB2312"/>
          <w:color w:val="auto"/>
          <w:sz w:val="32"/>
          <w:szCs w:val="32"/>
          <w:highlight w:val="none"/>
          <w:u w:val="none"/>
        </w:rPr>
        <w:t>项目投产</w:t>
      </w:r>
      <w:r>
        <w:rPr>
          <w:rFonts w:hint="eastAsia" w:ascii="仿宋_GB2312" w:hAnsi="仿宋_GB2312" w:eastAsia="仿宋_GB2312" w:cs="仿宋_GB2312"/>
          <w:color w:val="auto"/>
          <w:sz w:val="32"/>
          <w:szCs w:val="32"/>
          <w:highlight w:val="none"/>
        </w:rPr>
        <w:t>后第1个会计年度起（投产年）</w:t>
      </w:r>
      <w:r>
        <w:rPr>
          <w:rFonts w:hint="eastAsia" w:ascii="仿宋_GB2312" w:hAnsi="仿宋_GB2312" w:eastAsia="仿宋_GB2312" w:cs="仿宋_GB2312"/>
          <w:color w:val="auto"/>
          <w:sz w:val="32"/>
          <w:szCs w:val="32"/>
          <w:highlight w:val="none"/>
          <w:u w:val="none"/>
        </w:rPr>
        <w:t>，除因不可抗力外，</w:t>
      </w:r>
      <w:r>
        <w:rPr>
          <w:rFonts w:hint="eastAsia" w:ascii="仿宋_GB2312" w:hAnsi="仿宋_GB2312" w:eastAsia="仿宋_GB2312" w:cs="仿宋_GB2312"/>
          <w:color w:val="auto"/>
          <w:sz w:val="32"/>
          <w:szCs w:val="32"/>
          <w:highlight w:val="none"/>
          <w:u w:val="none"/>
          <w:lang w:val="en-US" w:eastAsia="zh-CN"/>
        </w:rPr>
        <w:t>本</w:t>
      </w:r>
      <w:r>
        <w:rPr>
          <w:rFonts w:hint="eastAsia" w:ascii="仿宋_GB2312" w:hAnsi="仿宋_GB2312" w:eastAsia="仿宋_GB2312" w:cs="仿宋_GB2312"/>
          <w:color w:val="auto"/>
          <w:kern w:val="2"/>
          <w:sz w:val="32"/>
          <w:szCs w:val="32"/>
          <w:highlight w:val="none"/>
          <w:u w:val="none"/>
        </w:rPr>
        <w:t>项目</w:t>
      </w:r>
      <w:r>
        <w:rPr>
          <w:rFonts w:hint="eastAsia" w:ascii="仿宋_GB2312" w:hAnsi="仿宋_GB2312" w:eastAsia="仿宋_GB2312" w:cs="仿宋_GB2312"/>
          <w:color w:val="auto"/>
          <w:kern w:val="2"/>
          <w:sz w:val="32"/>
          <w:szCs w:val="32"/>
          <w:highlight w:val="none"/>
          <w:u w:val="none"/>
          <w:lang w:val="en-US" w:eastAsia="zh-CN"/>
        </w:rPr>
        <w:t>年度</w:t>
      </w:r>
      <w:r>
        <w:rPr>
          <w:rFonts w:hint="eastAsia" w:ascii="仿宋_GB2312" w:hAnsi="仿宋_GB2312" w:eastAsia="仿宋_GB2312" w:cs="仿宋_GB2312"/>
          <w:b w:val="0"/>
          <w:bCs w:val="0"/>
          <w:color w:val="auto"/>
          <w:kern w:val="44"/>
          <w:sz w:val="32"/>
          <w:szCs w:val="32"/>
          <w:highlight w:val="none"/>
          <w:lang w:val="en-US" w:eastAsia="zh-CN"/>
        </w:rPr>
        <w:t>纳税</w:t>
      </w:r>
      <w:r>
        <w:rPr>
          <w:rFonts w:hint="eastAsia" w:ascii="仿宋_GB2312" w:hAnsi="仿宋_GB2312" w:eastAsia="仿宋_GB2312" w:cs="仿宋_GB2312"/>
          <w:color w:val="auto"/>
          <w:kern w:val="2"/>
          <w:sz w:val="32"/>
          <w:szCs w:val="32"/>
          <w:highlight w:val="none"/>
          <w:u w:val="none"/>
        </w:rPr>
        <w:t>实际值</w:t>
      </w:r>
      <w:r>
        <w:rPr>
          <w:rFonts w:hint="eastAsia" w:ascii="仿宋_GB2312" w:hAnsi="仿宋_GB2312" w:eastAsia="仿宋_GB2312" w:cs="仿宋_GB2312"/>
          <w:color w:val="auto"/>
          <w:kern w:val="2"/>
          <w:sz w:val="32"/>
          <w:szCs w:val="32"/>
          <w:highlight w:val="none"/>
          <w:u w:val="none"/>
          <w:lang w:eastAsia="zh-CN"/>
        </w:rPr>
        <w:t>低于</w:t>
      </w:r>
      <w:r>
        <w:rPr>
          <w:rFonts w:hint="eastAsia" w:ascii="仿宋_GB2312" w:hAnsi="仿宋_GB2312" w:eastAsia="仿宋_GB2312" w:cs="仿宋_GB2312"/>
          <w:color w:val="auto"/>
          <w:kern w:val="2"/>
          <w:sz w:val="32"/>
          <w:szCs w:val="32"/>
          <w:highlight w:val="none"/>
          <w:u w:val="none"/>
          <w:lang w:val="en-US" w:eastAsia="zh-CN"/>
        </w:rPr>
        <w:t>年度</w:t>
      </w:r>
      <w:r>
        <w:rPr>
          <w:rFonts w:hint="eastAsia" w:ascii="仿宋_GB2312" w:hAnsi="仿宋_GB2312" w:eastAsia="仿宋_GB2312" w:cs="仿宋_GB2312"/>
          <w:color w:val="auto"/>
          <w:kern w:val="2"/>
          <w:sz w:val="32"/>
          <w:szCs w:val="32"/>
          <w:highlight w:val="none"/>
          <w:u w:val="none"/>
        </w:rPr>
        <w:t>承诺值的，按照以下规则处置：</w:t>
      </w:r>
    </w:p>
    <w:p>
      <w:pPr>
        <w:keepNext w:val="0"/>
        <w:keepLines w:val="0"/>
        <w:pageBreakBefore w:val="0"/>
        <w:numPr>
          <w:ilvl w:val="3"/>
          <w:numId w:val="0"/>
        </w:numPr>
        <w:kinsoku/>
        <w:topLinePunct w:val="0"/>
        <w:bidi w:val="0"/>
        <w:adjustRightInd/>
        <w:snapToGrid/>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color w:val="auto"/>
          <w:kern w:val="21"/>
          <w:sz w:val="32"/>
          <w:szCs w:val="32"/>
          <w:highlight w:val="none"/>
          <w:lang w:val="en-US" w:eastAsia="zh-CN"/>
        </w:rPr>
        <w:t>（1）</w:t>
      </w:r>
      <w:r>
        <w:rPr>
          <w:rFonts w:hint="eastAsia" w:ascii="仿宋_GB2312" w:hAnsi="仿宋_GB2312" w:eastAsia="仿宋_GB2312" w:cs="仿宋_GB2312"/>
          <w:b w:val="0"/>
          <w:color w:val="auto"/>
          <w:kern w:val="21"/>
          <w:sz w:val="32"/>
          <w:szCs w:val="32"/>
          <w:highlight w:val="none"/>
          <w:lang w:val="en-US" w:eastAsia="zh-CN" w:bidi="ar-SA"/>
        </w:rPr>
        <w:t>乙方在南沙区</w:t>
      </w:r>
      <w:r>
        <w:rPr>
          <w:rFonts w:hint="eastAsia" w:ascii="仿宋_GB2312" w:hAnsi="仿宋_GB2312" w:eastAsia="仿宋_GB2312" w:cs="仿宋_GB2312"/>
          <w:color w:val="auto"/>
          <w:kern w:val="2"/>
          <w:sz w:val="32"/>
          <w:szCs w:val="32"/>
          <w:highlight w:val="none"/>
          <w:u w:val="none"/>
          <w:lang w:val="en-US" w:eastAsia="zh-CN"/>
        </w:rPr>
        <w:t>年度</w:t>
      </w:r>
      <w:r>
        <w:rPr>
          <w:rFonts w:hint="eastAsia" w:ascii="仿宋_GB2312" w:hAnsi="仿宋_GB2312" w:eastAsia="仿宋_GB2312" w:cs="仿宋_GB2312"/>
          <w:b w:val="0"/>
          <w:bCs w:val="0"/>
          <w:color w:val="auto"/>
          <w:kern w:val="44"/>
          <w:sz w:val="32"/>
          <w:szCs w:val="32"/>
          <w:highlight w:val="none"/>
          <w:lang w:val="en-US" w:eastAsia="zh-CN"/>
        </w:rPr>
        <w:t>税收</w:t>
      </w:r>
      <w:r>
        <w:rPr>
          <w:rFonts w:hint="eastAsia" w:ascii="仿宋_GB2312" w:hAnsi="仿宋_GB2312" w:eastAsia="仿宋_GB2312" w:cs="仿宋_GB2312"/>
          <w:b w:val="0"/>
          <w:color w:val="auto"/>
          <w:kern w:val="21"/>
          <w:sz w:val="32"/>
          <w:szCs w:val="32"/>
          <w:highlight w:val="none"/>
          <w:lang w:val="en-US" w:eastAsia="zh-CN" w:bidi="ar-SA"/>
        </w:rPr>
        <w:t>未达到协议承诺值的90%（含90%）的，甲方有权出具整改通知书。</w:t>
      </w:r>
    </w:p>
    <w:p>
      <w:pPr>
        <w:pStyle w:val="16"/>
        <w:keepNext w:val="0"/>
        <w:keepLines w:val="0"/>
        <w:pageBreakBefore w:val="0"/>
        <w:numPr>
          <w:ilvl w:val="3"/>
          <w:numId w:val="0"/>
        </w:numPr>
        <w:kinsoku/>
        <w:topLinePunct w:val="0"/>
        <w:bidi w:val="0"/>
        <w:adjustRightInd/>
        <w:snapToGrid/>
        <w:spacing w:beforeLines="0" w:afterLines="0" w:line="560" w:lineRule="exact"/>
        <w:ind w:firstLine="640" w:firstLineChars="200"/>
        <w:rPr>
          <w:rFonts w:hint="eastAsia" w:ascii="仿宋_GB2312" w:hAnsi="仿宋_GB2312" w:eastAsia="仿宋_GB2312" w:cs="仿宋_GB2312"/>
          <w:strike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（2）乙方年度税收未达到协议承诺值的80%（含80%）的，甲方有权通报全区相关职能部门取消乙方申</w:t>
      </w:r>
      <w:r>
        <w:rPr>
          <w:rFonts w:hint="eastAsia" w:ascii="仿宋_GB2312" w:hAnsi="仿宋_GB2312" w:eastAsia="仿宋_GB2312" w:cs="仿宋_GB2312"/>
          <w:strike w:val="0"/>
          <w:dstrike w:val="0"/>
          <w:color w:val="auto"/>
          <w:sz w:val="32"/>
          <w:szCs w:val="32"/>
          <w:highlight w:val="none"/>
          <w:lang w:val="en-US" w:eastAsia="zh-CN"/>
        </w:rPr>
        <w:t>请及享受的有关企业经营贡献奖励的产业政策扶持</w:t>
      </w:r>
      <w:r>
        <w:rPr>
          <w:rFonts w:hint="eastAsia" w:ascii="仿宋_GB2312" w:hAnsi="仿宋_GB2312" w:eastAsia="仿宋_GB2312" w:cs="仿宋_GB2312"/>
          <w:strike w:val="0"/>
          <w:color w:val="auto"/>
          <w:sz w:val="32"/>
          <w:szCs w:val="32"/>
          <w:highlight w:val="none"/>
          <w:lang w:val="en-US" w:eastAsia="zh-CN"/>
        </w:rPr>
        <w:t>，并有权要求乙方支付违约金。</w:t>
      </w:r>
    </w:p>
    <w:p>
      <w:pPr>
        <w:pStyle w:val="16"/>
        <w:keepNext w:val="0"/>
        <w:keepLines w:val="0"/>
        <w:pageBreakBefore w:val="0"/>
        <w:numPr>
          <w:ilvl w:val="3"/>
          <w:numId w:val="0"/>
        </w:numPr>
        <w:kinsoku/>
        <w:topLinePunct w:val="0"/>
        <w:bidi w:val="0"/>
        <w:adjustRightInd/>
        <w:snapToGrid/>
        <w:spacing w:beforeLines="0" w:afterLines="0" w:line="560" w:lineRule="exact"/>
        <w:ind w:firstLine="640" w:firstLineChars="200"/>
        <w:rPr>
          <w:rFonts w:hint="eastAsia" w:ascii="仿宋_GB2312" w:hAnsi="仿宋_GB2312" w:eastAsia="仿宋_GB2312" w:cs="仿宋_GB2312"/>
          <w:strike w:val="0"/>
          <w:color w:val="auto"/>
          <w:sz w:val="32"/>
          <w:szCs w:val="32"/>
          <w:highlight w:val="none"/>
          <w:lang w:val="en-US" w:eastAsia="zh-CN"/>
        </w:rPr>
      </w:pPr>
      <w:r>
        <w:rPr>
          <w:rFonts w:hint="eastAsia" w:ascii="仿宋_GB2312" w:hAnsi="仿宋_GB2312" w:eastAsia="仿宋_GB2312" w:cs="仿宋_GB2312"/>
          <w:strike w:val="0"/>
          <w:color w:val="auto"/>
          <w:sz w:val="32"/>
          <w:szCs w:val="32"/>
          <w:highlight w:val="none"/>
          <w:lang w:val="en-US" w:eastAsia="zh-CN"/>
        </w:rPr>
        <w:t>违约金计算方式为项目年度纳税承诺值与项目在南沙区实现年度纳税实际值的差额的全部金额，乙方应自甲方出具整改通知书之日起30个自然日内缴纳违约金。</w:t>
      </w:r>
    </w:p>
    <w:p>
      <w:pPr>
        <w:pStyle w:val="16"/>
        <w:keepNext w:val="0"/>
        <w:keepLines w:val="0"/>
        <w:pageBreakBefore w:val="0"/>
        <w:numPr>
          <w:ilvl w:val="3"/>
          <w:numId w:val="0"/>
        </w:numPr>
        <w:kinsoku/>
        <w:topLinePunct w:val="0"/>
        <w:bidi w:val="0"/>
        <w:adjustRightInd/>
        <w:snapToGrid/>
        <w:spacing w:beforeLines="0" w:afterLines="0"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val="0"/>
          <w:color w:val="auto"/>
          <w:kern w:val="21"/>
          <w:sz w:val="32"/>
          <w:szCs w:val="32"/>
          <w:highlight w:val="none"/>
          <w:lang w:eastAsia="zh-CN"/>
        </w:rPr>
        <w:t>（</w:t>
      </w:r>
      <w:r>
        <w:rPr>
          <w:rFonts w:hint="eastAsia" w:ascii="仿宋_GB2312" w:hAnsi="仿宋_GB2312" w:eastAsia="仿宋_GB2312" w:cs="仿宋_GB2312"/>
          <w:b w:val="0"/>
          <w:color w:val="auto"/>
          <w:kern w:val="21"/>
          <w:sz w:val="32"/>
          <w:szCs w:val="32"/>
          <w:highlight w:val="none"/>
          <w:lang w:val="en-US" w:eastAsia="zh-CN"/>
        </w:rPr>
        <w:t>3</w:t>
      </w:r>
      <w:r>
        <w:rPr>
          <w:rFonts w:hint="eastAsia" w:ascii="仿宋_GB2312" w:hAnsi="仿宋_GB2312" w:eastAsia="仿宋_GB2312" w:cs="仿宋_GB2312"/>
          <w:b w:val="0"/>
          <w:color w:val="auto"/>
          <w:kern w:val="21"/>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乙方达产后，任一个会计年度的亩均纳税低于标准值，甲方有权通报全区相关职能部门取消乙方申请及享受的有关企业经营贡献奖励的产业政策扶持，乙方无条件同意甲方随时提请规划和自然资源行政主管部门（土地出让方）单方解除本项目的土地出让合同，收回土地使用权。</w:t>
      </w:r>
    </w:p>
    <w:p>
      <w:pPr>
        <w:pStyle w:val="4"/>
        <w:keepNext w:val="0"/>
        <w:keepLines w:val="0"/>
        <w:pageBreakBefore w:val="0"/>
        <w:numPr>
          <w:ilvl w:val="-1"/>
          <w:numId w:val="0"/>
        </w:numPr>
        <w:kinsoku/>
        <w:topLinePunct w:val="0"/>
        <w:bidi w:val="0"/>
        <w:spacing w:beforeLines="0" w:afterLines="0" w:line="560" w:lineRule="exact"/>
        <w:ind w:left="0" w:leftChars="0" w:firstLine="640" w:firstLineChars="200"/>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bCs w:val="0"/>
          <w:color w:val="auto"/>
          <w:kern w:val="44"/>
          <w:sz w:val="32"/>
          <w:szCs w:val="32"/>
          <w:highlight w:val="none"/>
          <w:lang w:val="en-US" w:eastAsia="zh-CN"/>
        </w:rPr>
        <w:t>4.</w:t>
      </w:r>
      <w:r>
        <w:rPr>
          <w:rFonts w:hint="eastAsia" w:ascii="仿宋_GB2312" w:hAnsi="仿宋_GB2312" w:eastAsia="仿宋_GB2312" w:cs="仿宋_GB2312"/>
          <w:b w:val="0"/>
          <w:bCs w:val="0"/>
          <w:color w:val="auto"/>
          <w:kern w:val="44"/>
          <w:sz w:val="32"/>
          <w:szCs w:val="32"/>
          <w:highlight w:val="none"/>
        </w:rPr>
        <w:t>违反</w:t>
      </w:r>
      <w:r>
        <w:rPr>
          <w:rFonts w:hint="eastAsia" w:ascii="仿宋_GB2312" w:hAnsi="仿宋_GB2312" w:eastAsia="仿宋_GB2312" w:cs="仿宋_GB2312"/>
          <w:b w:val="0"/>
          <w:bCs w:val="0"/>
          <w:color w:val="auto"/>
          <w:kern w:val="44"/>
          <w:sz w:val="32"/>
          <w:szCs w:val="32"/>
          <w:highlight w:val="none"/>
          <w:lang w:val="en-US" w:eastAsia="zh-CN"/>
        </w:rPr>
        <w:t>工业产值</w:t>
      </w:r>
      <w:r>
        <w:rPr>
          <w:rFonts w:hint="eastAsia" w:ascii="仿宋_GB2312" w:hAnsi="仿宋_GB2312" w:eastAsia="仿宋_GB2312" w:cs="仿宋_GB2312"/>
          <w:b w:val="0"/>
          <w:bCs w:val="0"/>
          <w:color w:val="auto"/>
          <w:kern w:val="44"/>
          <w:sz w:val="32"/>
          <w:szCs w:val="32"/>
          <w:highlight w:val="none"/>
        </w:rPr>
        <w:t>承诺值的违约责任</w:t>
      </w:r>
    </w:p>
    <w:p>
      <w:pPr>
        <w:pStyle w:val="16"/>
        <w:keepNext w:val="0"/>
        <w:keepLines w:val="0"/>
        <w:pageBreakBefore w:val="0"/>
        <w:widowControl/>
        <w:numPr>
          <w:ilvl w:val="0"/>
          <w:numId w:val="0"/>
        </w:numPr>
        <w:kinsoku/>
        <w:wordWrap w:val="0"/>
        <w:overflowPunct w:val="0"/>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val="0"/>
          <w:color w:val="auto"/>
          <w:sz w:val="32"/>
          <w:szCs w:val="32"/>
          <w:highlight w:val="none"/>
          <w:lang w:val="en-US" w:eastAsia="zh-CN"/>
        </w:rPr>
        <w:t>乙方承诺</w:t>
      </w:r>
      <w:r>
        <w:rPr>
          <w:rFonts w:hint="eastAsia" w:ascii="仿宋_GB2312" w:hAnsi="仿宋_GB2312" w:eastAsia="仿宋_GB2312" w:cs="仿宋_GB2312"/>
          <w:color w:val="auto"/>
          <w:kern w:val="21"/>
          <w:sz w:val="32"/>
          <w:szCs w:val="32"/>
          <w:highlight w:val="none"/>
          <w:lang w:val="en-US" w:eastAsia="zh-CN"/>
        </w:rPr>
        <w:t>自</w:t>
      </w:r>
      <w:r>
        <w:rPr>
          <w:rFonts w:hint="eastAsia" w:ascii="仿宋_GB2312" w:hAnsi="仿宋_GB2312" w:eastAsia="仿宋_GB2312" w:cs="仿宋_GB2312"/>
          <w:color w:val="auto"/>
          <w:sz w:val="32"/>
          <w:szCs w:val="32"/>
          <w:highlight w:val="none"/>
        </w:rPr>
        <w:t>项目投产后第1个会计年度起（投产年），</w:t>
      </w:r>
      <w:r>
        <w:rPr>
          <w:rFonts w:hint="eastAsia" w:ascii="仿宋_GB2312" w:hAnsi="仿宋_GB2312" w:eastAsia="仿宋_GB2312" w:cs="仿宋_GB2312"/>
          <w:color w:val="auto"/>
          <w:kern w:val="2"/>
          <w:sz w:val="32"/>
          <w:szCs w:val="32"/>
          <w:highlight w:val="none"/>
        </w:rPr>
        <w:t>项目</w:t>
      </w:r>
      <w:r>
        <w:rPr>
          <w:rFonts w:hint="eastAsia" w:ascii="仿宋_GB2312" w:hAnsi="仿宋_GB2312" w:eastAsia="仿宋_GB2312" w:cs="仿宋_GB2312"/>
          <w:color w:val="auto"/>
          <w:kern w:val="2"/>
          <w:sz w:val="32"/>
          <w:szCs w:val="32"/>
          <w:highlight w:val="none"/>
          <w:lang w:val="en-US" w:eastAsia="zh-CN"/>
        </w:rPr>
        <w:t>年度</w:t>
      </w:r>
      <w:r>
        <w:rPr>
          <w:rFonts w:hint="eastAsia" w:ascii="仿宋_GB2312" w:hAnsi="仿宋_GB2312" w:eastAsia="仿宋_GB2312" w:cs="仿宋_GB2312"/>
          <w:b w:val="0"/>
          <w:color w:val="auto"/>
          <w:kern w:val="21"/>
          <w:sz w:val="32"/>
          <w:szCs w:val="32"/>
          <w:highlight w:val="none"/>
          <w:lang w:val="en-US" w:eastAsia="zh-CN"/>
        </w:rPr>
        <w:t>在南沙区</w:t>
      </w:r>
      <w:r>
        <w:rPr>
          <w:rFonts w:hint="eastAsia" w:ascii="仿宋_GB2312" w:hAnsi="仿宋_GB2312" w:eastAsia="仿宋_GB2312" w:cs="仿宋_GB2312"/>
          <w:color w:val="auto"/>
          <w:kern w:val="2"/>
          <w:sz w:val="32"/>
          <w:szCs w:val="32"/>
          <w:highlight w:val="none"/>
          <w:lang w:val="en-US" w:eastAsia="zh-CN"/>
        </w:rPr>
        <w:t>入统</w:t>
      </w:r>
      <w:r>
        <w:rPr>
          <w:rFonts w:hint="eastAsia" w:ascii="仿宋_GB2312" w:hAnsi="仿宋_GB2312" w:eastAsia="仿宋_GB2312" w:cs="仿宋_GB2312"/>
          <w:b w:val="0"/>
          <w:bCs w:val="0"/>
          <w:color w:val="auto"/>
          <w:kern w:val="44"/>
          <w:sz w:val="32"/>
          <w:szCs w:val="32"/>
          <w:highlight w:val="none"/>
          <w:lang w:val="en-US" w:eastAsia="zh-CN"/>
        </w:rPr>
        <w:t>工业产值</w:t>
      </w:r>
      <w:r>
        <w:rPr>
          <w:rFonts w:hint="eastAsia" w:ascii="仿宋_GB2312" w:hAnsi="仿宋_GB2312" w:eastAsia="仿宋_GB2312" w:cs="仿宋_GB2312"/>
          <w:color w:val="auto"/>
          <w:kern w:val="2"/>
          <w:sz w:val="32"/>
          <w:szCs w:val="32"/>
          <w:highlight w:val="none"/>
        </w:rPr>
        <w:t>实际值未达到</w:t>
      </w:r>
      <w:r>
        <w:rPr>
          <w:rFonts w:hint="eastAsia" w:ascii="仿宋_GB2312" w:hAnsi="仿宋_GB2312" w:eastAsia="仿宋_GB2312" w:cs="仿宋_GB2312"/>
          <w:color w:val="auto"/>
          <w:kern w:val="2"/>
          <w:sz w:val="32"/>
          <w:szCs w:val="32"/>
          <w:highlight w:val="none"/>
          <w:lang w:val="en-US" w:eastAsia="zh-CN"/>
        </w:rPr>
        <w:t>年度</w:t>
      </w:r>
      <w:r>
        <w:rPr>
          <w:rFonts w:hint="eastAsia" w:ascii="仿宋_GB2312" w:hAnsi="仿宋_GB2312" w:eastAsia="仿宋_GB2312" w:cs="仿宋_GB2312"/>
          <w:color w:val="auto"/>
          <w:kern w:val="2"/>
          <w:sz w:val="32"/>
          <w:szCs w:val="32"/>
          <w:highlight w:val="none"/>
        </w:rPr>
        <w:t>承诺值的，</w:t>
      </w:r>
      <w:r>
        <w:rPr>
          <w:rFonts w:hint="eastAsia" w:ascii="仿宋_GB2312" w:hAnsi="仿宋_GB2312" w:eastAsia="仿宋_GB2312" w:cs="仿宋_GB2312"/>
          <w:b w:val="0"/>
          <w:bCs/>
          <w:color w:val="auto"/>
          <w:kern w:val="21"/>
          <w:sz w:val="32"/>
          <w:szCs w:val="32"/>
          <w:highlight w:val="none"/>
        </w:rPr>
        <w:t>甲方有权</w:t>
      </w:r>
      <w:r>
        <w:rPr>
          <w:rFonts w:hint="eastAsia" w:ascii="仿宋_GB2312" w:hAnsi="仿宋_GB2312" w:eastAsia="仿宋_GB2312" w:cs="仿宋_GB2312"/>
          <w:b w:val="0"/>
          <w:bCs/>
          <w:color w:val="auto"/>
          <w:kern w:val="21"/>
          <w:sz w:val="32"/>
          <w:szCs w:val="32"/>
          <w:highlight w:val="none"/>
          <w:lang w:val="en-US" w:eastAsia="zh-CN"/>
        </w:rPr>
        <w:t>向乙方</w:t>
      </w:r>
      <w:r>
        <w:rPr>
          <w:rFonts w:hint="eastAsia" w:ascii="仿宋_GB2312" w:hAnsi="仿宋_GB2312" w:eastAsia="仿宋_GB2312" w:cs="仿宋_GB2312"/>
          <w:color w:val="auto"/>
          <w:kern w:val="21"/>
          <w:sz w:val="32"/>
          <w:szCs w:val="32"/>
          <w:highlight w:val="none"/>
        </w:rPr>
        <w:t>出具整改</w:t>
      </w:r>
      <w:r>
        <w:rPr>
          <w:rFonts w:hint="eastAsia" w:ascii="仿宋_GB2312" w:hAnsi="仿宋_GB2312" w:eastAsia="仿宋_GB2312" w:cs="仿宋_GB2312"/>
          <w:color w:val="auto"/>
          <w:kern w:val="21"/>
          <w:sz w:val="32"/>
          <w:szCs w:val="32"/>
          <w:highlight w:val="none"/>
          <w:lang w:val="en-US" w:eastAsia="zh-CN"/>
        </w:rPr>
        <w:t>通知书</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要求</w:t>
      </w:r>
      <w:r>
        <w:rPr>
          <w:rFonts w:hint="eastAsia" w:ascii="仿宋_GB2312" w:hAnsi="仿宋_GB2312" w:eastAsia="仿宋_GB2312" w:cs="仿宋_GB2312"/>
          <w:b w:val="0"/>
          <w:bCs/>
          <w:color w:val="auto"/>
          <w:kern w:val="21"/>
          <w:sz w:val="32"/>
          <w:szCs w:val="32"/>
          <w:highlight w:val="none"/>
        </w:rPr>
        <w:t>乙方</w:t>
      </w:r>
      <w:r>
        <w:rPr>
          <w:rFonts w:hint="eastAsia" w:ascii="仿宋_GB2312" w:hAnsi="仿宋_GB2312" w:eastAsia="仿宋_GB2312" w:cs="仿宋_GB2312"/>
          <w:b w:val="0"/>
          <w:bCs/>
          <w:color w:val="auto"/>
          <w:kern w:val="21"/>
          <w:sz w:val="32"/>
          <w:szCs w:val="32"/>
          <w:highlight w:val="none"/>
          <w:lang w:val="en-US" w:eastAsia="zh-CN"/>
        </w:rPr>
        <w:t>进行</w:t>
      </w:r>
      <w:r>
        <w:rPr>
          <w:rFonts w:hint="eastAsia" w:ascii="仿宋_GB2312" w:hAnsi="仿宋_GB2312" w:eastAsia="仿宋_GB2312" w:cs="仿宋_GB2312"/>
          <w:b w:val="0"/>
          <w:bCs/>
          <w:color w:val="auto"/>
          <w:kern w:val="21"/>
          <w:sz w:val="32"/>
          <w:szCs w:val="32"/>
          <w:highlight w:val="none"/>
        </w:rPr>
        <w:t>整改</w:t>
      </w:r>
      <w:r>
        <w:rPr>
          <w:rFonts w:hint="eastAsia" w:ascii="仿宋_GB2312" w:hAnsi="仿宋_GB2312" w:eastAsia="仿宋_GB2312" w:cs="仿宋_GB2312"/>
          <w:b w:val="0"/>
          <w:bCs/>
          <w:color w:val="auto"/>
          <w:kern w:val="21"/>
          <w:sz w:val="32"/>
          <w:szCs w:val="32"/>
          <w:highlight w:val="none"/>
          <w:lang w:eastAsia="zh-CN"/>
        </w:rPr>
        <w:t>，</w:t>
      </w:r>
      <w:r>
        <w:rPr>
          <w:rFonts w:hint="eastAsia" w:ascii="仿宋_GB2312" w:hAnsi="仿宋_GB2312" w:eastAsia="仿宋_GB2312" w:cs="仿宋_GB2312"/>
          <w:b w:val="0"/>
          <w:bCs/>
          <w:color w:val="auto"/>
          <w:kern w:val="21"/>
          <w:sz w:val="32"/>
          <w:szCs w:val="32"/>
          <w:highlight w:val="none"/>
          <w:lang w:val="en-US" w:eastAsia="zh-CN"/>
        </w:rPr>
        <w:t>并</w:t>
      </w:r>
      <w:r>
        <w:rPr>
          <w:rFonts w:hint="eastAsia" w:ascii="仿宋_GB2312" w:hAnsi="仿宋_GB2312" w:eastAsia="仿宋_GB2312" w:cs="仿宋_GB2312"/>
          <w:color w:val="auto"/>
          <w:kern w:val="2"/>
          <w:sz w:val="32"/>
          <w:szCs w:val="32"/>
          <w:highlight w:val="none"/>
        </w:rPr>
        <w:t>按照以下规则处置：</w:t>
      </w:r>
    </w:p>
    <w:p>
      <w:pPr>
        <w:pageBreakBefore w:val="0"/>
        <w:numPr>
          <w:ilvl w:val="3"/>
          <w:numId w:val="0"/>
        </w:numPr>
        <w:kinsoku/>
        <w:topLinePunct w:val="0"/>
        <w:bidi w:val="0"/>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color w:val="auto"/>
          <w:kern w:val="21"/>
          <w:sz w:val="32"/>
          <w:szCs w:val="32"/>
          <w:highlight w:val="none"/>
          <w:lang w:val="en-US" w:eastAsia="zh-CN"/>
        </w:rPr>
        <w:t>（1）</w:t>
      </w:r>
      <w:r>
        <w:rPr>
          <w:rFonts w:hint="eastAsia" w:ascii="仿宋_GB2312" w:hAnsi="仿宋_GB2312" w:eastAsia="仿宋_GB2312" w:cs="仿宋_GB2312"/>
          <w:b w:val="0"/>
          <w:color w:val="auto"/>
          <w:kern w:val="21"/>
          <w:sz w:val="32"/>
          <w:szCs w:val="32"/>
          <w:highlight w:val="none"/>
          <w:lang w:val="en-US" w:eastAsia="zh-CN" w:bidi="ar-SA"/>
        </w:rPr>
        <w:t>乙方在南沙区</w:t>
      </w:r>
      <w:r>
        <w:rPr>
          <w:rFonts w:hint="eastAsia" w:ascii="仿宋_GB2312" w:hAnsi="仿宋_GB2312" w:eastAsia="仿宋_GB2312" w:cs="仿宋_GB2312"/>
          <w:color w:val="auto"/>
          <w:kern w:val="2"/>
          <w:sz w:val="32"/>
          <w:szCs w:val="32"/>
          <w:highlight w:val="none"/>
          <w:u w:val="none"/>
          <w:lang w:val="en-US" w:eastAsia="zh-CN"/>
        </w:rPr>
        <w:t>年度</w:t>
      </w:r>
      <w:r>
        <w:rPr>
          <w:rFonts w:hint="eastAsia" w:ascii="仿宋_GB2312" w:hAnsi="仿宋_GB2312" w:eastAsia="仿宋_GB2312" w:cs="仿宋_GB2312"/>
          <w:b w:val="0"/>
          <w:bCs w:val="0"/>
          <w:color w:val="auto"/>
          <w:kern w:val="44"/>
          <w:sz w:val="32"/>
          <w:szCs w:val="32"/>
          <w:highlight w:val="none"/>
          <w:lang w:val="en-US" w:eastAsia="zh-CN"/>
        </w:rPr>
        <w:t>入统工业产值</w:t>
      </w:r>
      <w:r>
        <w:rPr>
          <w:rFonts w:hint="eastAsia" w:ascii="仿宋_GB2312" w:hAnsi="仿宋_GB2312" w:eastAsia="仿宋_GB2312" w:cs="仿宋_GB2312"/>
          <w:b w:val="0"/>
          <w:color w:val="auto"/>
          <w:kern w:val="21"/>
          <w:sz w:val="32"/>
          <w:szCs w:val="32"/>
          <w:highlight w:val="none"/>
          <w:lang w:val="en-US" w:eastAsia="zh-CN" w:bidi="ar-SA"/>
        </w:rPr>
        <w:t>未达到协议承诺值的90%（含90%）的，甲方有权出具整改通知书。</w:t>
      </w:r>
    </w:p>
    <w:p>
      <w:pPr>
        <w:pStyle w:val="16"/>
        <w:pageBreakBefore w:val="0"/>
        <w:numPr>
          <w:ilvl w:val="3"/>
          <w:numId w:val="0"/>
        </w:numPr>
        <w:kinsoku/>
        <w:topLinePunct w:val="0"/>
        <w:bidi w:val="0"/>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乙方在南沙区年度入统工业产值未达到协议承诺值的80%（含80%）的，自甲方出具整改通知书之日起满12个月，如乙方仍未达到年度承诺值，则甲方有权通报全区相关职能部门取消乙方申请及享受的有关企业经营贡献奖励的产业政策扶持。</w:t>
      </w:r>
    </w:p>
    <w:p>
      <w:pPr>
        <w:pStyle w:val="8"/>
        <w:keepNext w:val="0"/>
        <w:keepLines w:val="0"/>
        <w:pageBreakBefore w:val="0"/>
        <w:widowControl w:val="0"/>
        <w:kinsoku/>
        <w:wordWrap/>
        <w:overflowPunct/>
        <w:topLinePunct w:val="0"/>
        <w:autoSpaceDE/>
        <w:autoSpaceDN/>
        <w:bidi w:val="0"/>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乙方达产后任一个会计年度的亩均工业产值低于标准值，甲方有权通报全区相关职能部门取消乙方申请及享受的有关企业经营贡献奖励的产业政策扶持，乙方无条件同意甲方随时提请规划和自然资源行政主管部门（土地出让方）单方解除本项目的土地出让合同，收回土地使用权。</w:t>
      </w:r>
    </w:p>
    <w:p>
      <w:pPr>
        <w:pStyle w:val="16"/>
        <w:pageBreakBefore w:val="0"/>
        <w:numPr>
          <w:ilvl w:val="3"/>
          <w:numId w:val="0"/>
        </w:numPr>
        <w:kinsoku/>
        <w:topLinePunct w:val="0"/>
        <w:bidi w:val="0"/>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5.其他违约责任</w:t>
      </w:r>
    </w:p>
    <w:p>
      <w:pPr>
        <w:pStyle w:val="16"/>
        <w:pageBreakBefore w:val="0"/>
        <w:numPr>
          <w:ilvl w:val="3"/>
          <w:numId w:val="0"/>
        </w:numPr>
        <w:kinsoku/>
        <w:topLinePunct w:val="0"/>
        <w:bidi w:val="0"/>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除甲方过错外，出现以下任一情形，乙方构成根本违约，甲方有权向乙方出具整改通知书，通报全区相关职能部门停发乙方申请及享受的政策奖励，乙方无条件同意甲方随时自行提请规划和自然资源部门（土地出让方）单方解除本项目的土地出让合同，收回土地使用权：</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（1）在土地出让年期内，出现乙方注册地址或办公地址迁离南沙区，未将南沙项目作为总部或上市时未在南沙设立上市主体，或主管税务机关迁出南沙区，或迁出统计关系的任一情形。</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（2）因乙方主要经营地不在南沙（以上级统计部门认定意见为准）导致其统计关系被上级统计部门裁决划转至南沙区外的。</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乙方未按照协议规定，未经甲方书面同意，私自转让或与第三方合作开发建设项目用地及建（构）筑物，或在承诺经营期限内私自以收购、资产置换、转让公司股权等形式改变项目所有权、经营权，及转让项目土地使用权的。</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（4）乙方故意隐瞒真实情况，或存在以虚报信息、材料骗取优惠政策等不符合国家法律、法规、政策的。</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（5）乙方未按照本协议第四条违约责任，第1.建设时序、第2.固投、第3.税收的有关规定，连续6个月或总计12个月内未交齐违约金的。</w:t>
      </w:r>
    </w:p>
    <w:p>
      <w:pPr>
        <w:pStyle w:val="16"/>
        <w:pageBreakBefore w:val="0"/>
        <w:numPr>
          <w:ilvl w:val="3"/>
          <w:numId w:val="0"/>
        </w:numPr>
        <w:kinsoku/>
        <w:topLinePunct w:val="0"/>
        <w:bidi w:val="0"/>
        <w:spacing w:beforeLines="0" w:afterLines="0" w:line="560" w:lineRule="exact"/>
        <w:ind w:firstLine="640" w:firstLineChars="200"/>
        <w:rPr>
          <w:rFonts w:hint="eastAsia" w:ascii="仿宋_GB2312" w:hAnsi="仿宋_GB2312" w:eastAsia="仿宋_GB2312" w:cs="仿宋_GB2312"/>
          <w:b w:val="0"/>
          <w:bCs w:val="0"/>
          <w:color w:val="auto"/>
          <w:kern w:val="44"/>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按本协议约定解除土地出让合同的，收回土地使用权，按以下方式处理：按乙方原已支付的土地出让金扣除已使用土地年限，退回乙方部分土地出让金（退回土地出让金=总出让金-总出让金÷总使用年限×已使用年限），乙方契税、印花税等费用不予退回。甲方可以没收定金</w:t>
      </w:r>
      <w:r>
        <w:rPr>
          <w:rFonts w:hint="eastAsia" w:ascii="仿宋_GB2312" w:hAnsi="仿宋_GB2312" w:eastAsia="仿宋_GB2312" w:cs="仿宋_GB2312"/>
          <w:b w:val="0"/>
          <w:bCs w:val="0"/>
          <w:color w:val="auto"/>
          <w:kern w:val="44"/>
          <w:sz w:val="32"/>
          <w:szCs w:val="32"/>
          <w:highlight w:val="none"/>
          <w:lang w:val="en-US" w:eastAsia="zh-CN"/>
        </w:rPr>
        <w:t>，没收定金不足以弥补甲方损失的，乙方应赔偿甲方的损失。该宗地范围内已建的建筑物、构筑物及附属设施，可不予补偿，规划和自然资源行政主管部门（土地出让人）还可要求乙方清除已建建筑物、构筑物及附属设施，恢复场地平整；但土地出让人愿意继续利用该宗地范围内已建成的建筑物、构筑物及其附属设施的，由甲方聘请具备资质的评估机构进行评估，按照评估结果对乙方予以残值补偿。</w:t>
      </w:r>
    </w:p>
    <w:p>
      <w:pPr>
        <w:pStyle w:val="8"/>
        <w:keepNext w:val="0"/>
        <w:keepLines w:val="0"/>
        <w:pageBreakBefore w:val="0"/>
        <w:widowControl w:val="0"/>
        <w:kinsoku/>
        <w:wordWrap/>
        <w:overflowPunct/>
        <w:topLinePunct w:val="0"/>
        <w:autoSpaceDE/>
        <w:autoSpaceDN/>
        <w:bidi w:val="0"/>
        <w:spacing w:beforeLines="0" w:afterLines="0" w:line="560" w:lineRule="exact"/>
        <w:ind w:left="0" w:leftChars="0" w:firstLine="640" w:firstLineChars="200"/>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按本协议约定解除土地出让合同，甲方（或其他政府部门）无需对乙方进行上述约定外的其他赔偿、补偿等。</w:t>
      </w:r>
    </w:p>
    <w:p>
      <w:pPr>
        <w:pStyle w:val="8"/>
        <w:keepNext w:val="0"/>
        <w:keepLines w:val="0"/>
        <w:pageBreakBefore w:val="0"/>
        <w:widowControl w:val="0"/>
        <w:kinsoku/>
        <w:wordWrap/>
        <w:overflowPunct/>
        <w:topLinePunct w:val="0"/>
        <w:autoSpaceDE/>
        <w:autoSpaceDN/>
        <w:bidi w:val="0"/>
        <w:spacing w:beforeLines="0" w:afterLines="0" w:line="560" w:lineRule="exact"/>
        <w:ind w:left="0" w:leftChars="0" w:firstLine="640" w:firstLineChars="200"/>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如项目土地发生土地污染，乙方应承担土地污染修复的责任并承担由此产生的相关费用。</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643" w:firstLineChars="200"/>
        <w:textAlignment w:val="auto"/>
        <w:rPr>
          <w:rFonts w:hint="default"/>
          <w:b/>
          <w:bCs/>
          <w:color w:val="auto"/>
          <w:highlight w:val="none"/>
          <w:lang w:val="en-US" w:eastAsia="zh-CN"/>
        </w:rPr>
      </w:pPr>
      <w:r>
        <w:rPr>
          <w:rFonts w:hint="eastAsia" w:ascii="仿宋_GB2312" w:eastAsia="仿宋_GB2312"/>
          <w:b/>
          <w:bCs/>
          <w:color w:val="auto"/>
          <w:sz w:val="32"/>
          <w:szCs w:val="32"/>
          <w:highlight w:val="none"/>
          <w:lang w:val="en-US" w:eastAsia="zh-CN"/>
        </w:rPr>
        <w:t>五、其他条款</w:t>
      </w:r>
    </w:p>
    <w:p>
      <w:pPr>
        <w:keepNext w:val="0"/>
        <w:keepLines w:val="0"/>
        <w:pageBreakBefore w:val="0"/>
        <w:widowControl w:val="0"/>
        <w:suppressLineNumbers w:val="0"/>
        <w:kinsoku/>
        <w:topLinePunct w:val="0"/>
        <w:bidi w:val="0"/>
        <w:spacing w:before="0" w:beforeAutospacing="0" w:after="0" w:afterAutospacing="0" w:line="560" w:lineRule="exact"/>
        <w:ind w:left="0" w:righ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lang w:eastAsia="zh-CN"/>
        </w:rPr>
        <w:t>）</w:t>
      </w:r>
      <w:r>
        <w:rPr>
          <w:rFonts w:hint="eastAsia" w:ascii="仿宋_GB2312" w:hAnsi="仿宋" w:eastAsia="仿宋_GB2312"/>
          <w:color w:val="auto"/>
          <w:sz w:val="32"/>
          <w:szCs w:val="32"/>
          <w:highlight w:val="none"/>
        </w:rPr>
        <w:t>本协议的订立、效力、解释、履行及其争议的解决等，均适用中华人民共和国法律。</w:t>
      </w:r>
      <w:r>
        <w:rPr>
          <w:rFonts w:hint="eastAsia" w:ascii="仿宋_GB2312" w:eastAsia="仿宋_GB2312"/>
          <w:color w:val="auto"/>
          <w:sz w:val="32"/>
          <w:szCs w:val="32"/>
          <w:highlight w:val="none"/>
        </w:rPr>
        <w:t>因履行本协议或</w:t>
      </w:r>
      <w:r>
        <w:rPr>
          <w:rFonts w:hint="eastAsia" w:ascii="仿宋_GB2312" w:eastAsia="仿宋_GB2312"/>
          <w:color w:val="auto"/>
          <w:sz w:val="32"/>
          <w:szCs w:val="32"/>
          <w:highlight w:val="none"/>
          <w:lang w:eastAsia="zh-CN"/>
        </w:rPr>
        <w:t>与</w:t>
      </w:r>
      <w:r>
        <w:rPr>
          <w:rFonts w:hint="eastAsia" w:ascii="仿宋_GB2312" w:eastAsia="仿宋_GB2312"/>
          <w:color w:val="auto"/>
          <w:sz w:val="32"/>
          <w:szCs w:val="32"/>
          <w:highlight w:val="none"/>
        </w:rPr>
        <w:t>本协议有关的争议，双方应协商解决</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协商不成的，</w:t>
      </w:r>
      <w:r>
        <w:rPr>
          <w:rFonts w:hint="eastAsia" w:ascii="仿宋_GB2312" w:eastAsia="仿宋_GB2312"/>
          <w:color w:val="auto"/>
          <w:sz w:val="32"/>
          <w:szCs w:val="32"/>
          <w:highlight w:val="none"/>
          <w:lang w:val="en-US" w:eastAsia="zh-CN"/>
        </w:rPr>
        <w:t>可依法</w:t>
      </w:r>
      <w:r>
        <w:rPr>
          <w:rFonts w:hint="eastAsia" w:ascii="仿宋_GB2312" w:eastAsia="仿宋_GB2312"/>
          <w:color w:val="auto"/>
          <w:sz w:val="32"/>
          <w:szCs w:val="32"/>
          <w:highlight w:val="none"/>
        </w:rPr>
        <w:t>向</w:t>
      </w:r>
      <w:r>
        <w:rPr>
          <w:rFonts w:hint="eastAsia" w:ascii="仿宋_GB2312" w:hAnsi="Times New Roman" w:eastAsia="仿宋_GB2312" w:cs="仿宋_GB2312"/>
          <w:color w:val="auto"/>
          <w:kern w:val="2"/>
          <w:sz w:val="32"/>
          <w:szCs w:val="32"/>
          <w:highlight w:val="none"/>
          <w:lang w:val="en-US" w:eastAsia="zh-CN" w:bidi="ar"/>
        </w:rPr>
        <w:t>甲方所在地</w:t>
      </w:r>
      <w:r>
        <w:rPr>
          <w:rFonts w:hint="eastAsia" w:ascii="仿宋_GB2312" w:eastAsia="仿宋_GB2312"/>
          <w:color w:val="auto"/>
          <w:sz w:val="32"/>
          <w:szCs w:val="32"/>
          <w:highlight w:val="none"/>
        </w:rPr>
        <w:t>有管辖权的人民法院提起诉讼</w:t>
      </w:r>
      <w:r>
        <w:rPr>
          <w:rFonts w:hint="eastAsia" w:ascii="仿宋_GB2312" w:hAnsi="仿宋"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rPr>
        <w:t>本协议未尽事宜，由双方另行协商，签订补充协议，补充协议与本协议具有同等法律效力。</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本协议</w:t>
      </w:r>
      <w:r>
        <w:rPr>
          <w:rFonts w:hint="eastAsia" w:ascii="仿宋_GB2312" w:eastAsia="仿宋_GB2312"/>
          <w:color w:val="auto"/>
          <w:sz w:val="32"/>
          <w:szCs w:val="32"/>
          <w:highlight w:val="none"/>
          <w:lang w:eastAsia="zh-CN"/>
        </w:rPr>
        <w:t>自</w:t>
      </w:r>
      <w:r>
        <w:rPr>
          <w:rFonts w:hint="eastAsia" w:ascii="仿宋_GB2312" w:eastAsia="仿宋_GB2312"/>
          <w:color w:val="auto"/>
          <w:sz w:val="32"/>
          <w:szCs w:val="32"/>
          <w:highlight w:val="none"/>
        </w:rPr>
        <w:t>双方法定代表人或授权代表签字</w:t>
      </w:r>
      <w:r>
        <w:rPr>
          <w:rFonts w:hint="eastAsia" w:ascii="仿宋_GB2312" w:eastAsia="仿宋_GB2312"/>
          <w:color w:val="auto"/>
          <w:sz w:val="32"/>
          <w:szCs w:val="32"/>
          <w:highlight w:val="none"/>
          <w:lang w:val="en-US" w:eastAsia="zh-CN"/>
        </w:rPr>
        <w:t>并加盖公章之日起</w:t>
      </w:r>
      <w:r>
        <w:rPr>
          <w:rFonts w:hint="eastAsia" w:ascii="仿宋_GB2312" w:eastAsia="仿宋_GB2312"/>
          <w:color w:val="auto"/>
          <w:sz w:val="32"/>
          <w:szCs w:val="32"/>
          <w:highlight w:val="none"/>
        </w:rPr>
        <w:t>生效。</w:t>
      </w:r>
      <w:r>
        <w:rPr>
          <w:rFonts w:hint="eastAsia" w:ascii="仿宋_GB2312" w:eastAsia="仿宋_GB2312"/>
          <w:color w:val="auto"/>
          <w:sz w:val="32"/>
          <w:szCs w:val="32"/>
          <w:highlight w:val="none"/>
          <w:lang w:eastAsia="zh-CN"/>
        </w:rPr>
        <w:t>本协议</w:t>
      </w:r>
      <w:r>
        <w:rPr>
          <w:rFonts w:hint="eastAsia" w:ascii="仿宋_GB2312" w:eastAsia="仿宋_GB2312"/>
          <w:color w:val="auto"/>
          <w:sz w:val="32"/>
          <w:szCs w:val="32"/>
          <w:highlight w:val="none"/>
        </w:rPr>
        <w:t>一式</w:t>
      </w:r>
      <w:r>
        <w:rPr>
          <w:rFonts w:hint="eastAsia" w:ascii="仿宋_GB2312" w:eastAsia="仿宋_GB2312"/>
          <w:color w:val="auto"/>
          <w:sz w:val="32"/>
          <w:szCs w:val="32"/>
          <w:highlight w:val="none"/>
          <w:lang w:val="en-US" w:eastAsia="zh-CN"/>
        </w:rPr>
        <w:t>捌</w:t>
      </w:r>
      <w:r>
        <w:rPr>
          <w:rFonts w:hint="eastAsia" w:ascii="仿宋_GB2312" w:eastAsia="仿宋_GB2312"/>
          <w:color w:val="auto"/>
          <w:sz w:val="32"/>
          <w:szCs w:val="32"/>
          <w:highlight w:val="none"/>
        </w:rPr>
        <w:t>份，具有同等法律效力</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default"/>
          <w:color w:val="auto"/>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四）本协议签订地为广州市南沙区。</w:t>
      </w:r>
    </w:p>
    <w:p>
      <w:pPr>
        <w:snapToGrid w:val="0"/>
        <w:spacing w:line="600" w:lineRule="atLeast"/>
        <w:ind w:firstLine="320" w:firstLineChars="100"/>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snapToGrid w:val="0"/>
        <w:spacing w:line="600" w:lineRule="atLeast"/>
        <w:ind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此页</w:t>
      </w:r>
      <w:r>
        <w:rPr>
          <w:rFonts w:hint="eastAsia" w:ascii="仿宋_GB2312" w:eastAsia="仿宋_GB2312"/>
          <w:color w:val="auto"/>
          <w:sz w:val="32"/>
          <w:szCs w:val="32"/>
          <w:highlight w:val="none"/>
        </w:rPr>
        <w:t>无正文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为签署页</w:t>
      </w:r>
      <w:r>
        <w:rPr>
          <w:rFonts w:hint="eastAsia" w:ascii="仿宋_GB2312" w:eastAsia="仿宋_GB2312"/>
          <w:color w:val="auto"/>
          <w:sz w:val="32"/>
          <w:szCs w:val="32"/>
          <w:highlight w:val="none"/>
        </w:rPr>
        <w:t>）</w:t>
      </w:r>
    </w:p>
    <w:p>
      <w:pPr>
        <w:rPr>
          <w:color w:val="auto"/>
          <w:highlight w:val="none"/>
        </w:rPr>
      </w:pPr>
    </w:p>
    <w:p>
      <w:pPr>
        <w:snapToGrid w:val="0"/>
        <w:spacing w:line="600" w:lineRule="atLeast"/>
        <w:rPr>
          <w:rFonts w:ascii="仿宋_GB2312" w:hAnsi="仿宋" w:eastAsia="仿宋_GB2312" w:cs="仿宋_GB2312"/>
          <w:bCs/>
          <w:color w:val="auto"/>
          <w:sz w:val="32"/>
          <w:szCs w:val="32"/>
          <w:highlight w:val="none"/>
        </w:rPr>
      </w:pP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hAnsi="仿宋" w:eastAsia="仿宋_GB2312" w:cs="仿宋_GB2312"/>
          <w:bCs/>
          <w:color w:val="auto"/>
          <w:sz w:val="32"/>
          <w:szCs w:val="32"/>
          <w:highlight w:val="none"/>
        </w:rPr>
        <w:t>甲方</w:t>
      </w:r>
      <w:r>
        <w:rPr>
          <w:rFonts w:hint="eastAsia" w:ascii="仿宋_GB2312" w:hAnsi="仿宋_GB2312" w:eastAsia="仿宋_GB2312" w:cs="仿宋_GB2312"/>
          <w:bCs/>
          <w:color w:val="auto"/>
          <w:sz w:val="32"/>
          <w:szCs w:val="32"/>
          <w:highlight w:val="none"/>
        </w:rPr>
        <w:t>：广州</w:t>
      </w:r>
      <w:r>
        <w:rPr>
          <w:rFonts w:hint="eastAsia" w:ascii="仿宋_GB2312" w:hAnsi="仿宋_GB2312" w:eastAsia="仿宋_GB2312" w:cs="仿宋_GB2312"/>
          <w:bCs/>
          <w:color w:val="auto"/>
          <w:sz w:val="32"/>
          <w:szCs w:val="32"/>
          <w:highlight w:val="none"/>
          <w:lang w:val="en-US" w:eastAsia="zh-CN"/>
        </w:rPr>
        <w:t>南沙经济技术开发区投资促进</w:t>
      </w:r>
      <w:r>
        <w:rPr>
          <w:rFonts w:hint="eastAsia" w:ascii="仿宋_GB2312" w:hAnsi="仿宋_GB2312" w:eastAsia="仿宋_GB2312" w:cs="仿宋_GB2312"/>
          <w:bCs/>
          <w:color w:val="auto"/>
          <w:sz w:val="32"/>
          <w:szCs w:val="32"/>
          <w:highlight w:val="none"/>
        </w:rPr>
        <w:t>局</w:t>
      </w: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rPr>
        <w:t>法定代表人或授权代表</w:t>
      </w:r>
      <w:r>
        <w:rPr>
          <w:rFonts w:hint="eastAsia" w:ascii="仿宋_GB2312" w:hAnsi="仿宋_GB2312" w:eastAsia="仿宋_GB2312" w:cs="仿宋_GB2312"/>
          <w:bCs/>
          <w:color w:val="auto"/>
          <w:sz w:val="32"/>
          <w:szCs w:val="32"/>
          <w:highlight w:val="none"/>
        </w:rPr>
        <w:t>：</w:t>
      </w:r>
    </w:p>
    <w:p>
      <w:pPr>
        <w:snapToGrid w:val="0"/>
        <w:spacing w:line="600" w:lineRule="atLeast"/>
        <w:ind w:firstLine="790" w:firstLineChars="247"/>
        <w:rPr>
          <w:rFonts w:ascii="仿宋_GB2312" w:hAnsi="仿宋_GB2312" w:eastAsia="仿宋_GB2312" w:cs="仿宋_GB2312"/>
          <w:bCs/>
          <w:color w:val="auto"/>
          <w:sz w:val="32"/>
          <w:szCs w:val="32"/>
          <w:highlight w:val="none"/>
        </w:rPr>
      </w:pPr>
    </w:p>
    <w:p>
      <w:pPr>
        <w:pStyle w:val="8"/>
        <w:rPr>
          <w:color w:val="auto"/>
          <w:highlight w:val="none"/>
        </w:rPr>
      </w:pP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乙方：</w:t>
      </w:r>
      <w:r>
        <w:rPr>
          <w:rFonts w:hint="eastAsia" w:ascii="仿宋_GB2312" w:hAnsi="仿宋_GB2312" w:eastAsia="仿宋_GB2312" w:cs="仿宋_GB2312"/>
          <w:color w:val="auto"/>
          <w:sz w:val="32"/>
          <w:highlight w:val="none"/>
        </w:rPr>
        <w:t xml:space="preserve"> </w:t>
      </w:r>
      <w:r>
        <w:rPr>
          <w:rFonts w:hint="eastAsia" w:ascii="仿宋_GB2312" w:hAnsi="仿宋_GB2312" w:eastAsia="仿宋_GB2312" w:cs="仿宋_GB2312"/>
          <w:bCs/>
          <w:color w:val="auto"/>
          <w:sz w:val="32"/>
          <w:szCs w:val="32"/>
          <w:highlight w:val="none"/>
        </w:rPr>
        <w:t xml:space="preserve"> </w:t>
      </w: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rPr>
        <w:t>法定代表人或授权代表</w:t>
      </w:r>
      <w:r>
        <w:rPr>
          <w:rFonts w:hint="eastAsia" w:ascii="仿宋_GB2312" w:hAnsi="仿宋_GB2312" w:eastAsia="仿宋_GB2312" w:cs="仿宋_GB2312"/>
          <w:bCs/>
          <w:color w:val="auto"/>
          <w:sz w:val="32"/>
          <w:szCs w:val="32"/>
          <w:highlight w:val="none"/>
        </w:rPr>
        <w:t>：</w:t>
      </w:r>
    </w:p>
    <w:p>
      <w:pPr>
        <w:snapToGrid w:val="0"/>
        <w:spacing w:line="600" w:lineRule="atLeast"/>
        <w:rPr>
          <w:rFonts w:hint="eastAsia" w:ascii="仿宋_GB2312" w:hAnsi="仿宋_GB2312" w:eastAsia="仿宋_GB2312" w:cs="仿宋_GB2312"/>
          <w:bCs/>
          <w:color w:val="auto"/>
          <w:sz w:val="32"/>
          <w:szCs w:val="32"/>
          <w:highlight w:val="none"/>
        </w:rPr>
      </w:pP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签订日期：   年  月  日</w:t>
      </w:r>
    </w:p>
    <w:p>
      <w:pPr>
        <w:rPr>
          <w:color w:val="auto"/>
          <w:highlight w:val="none"/>
        </w:rPr>
      </w:pPr>
    </w:p>
    <w:sectPr>
      <w:headerReference r:id="rId3" w:type="first"/>
      <w:footerReference r:id="rId5" w:type="firs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pBdr>
      <w:jc w:val="right"/>
      <w:rPr>
        <w:rFonts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A6254"/>
    <w:multiLevelType w:val="multilevel"/>
    <w:tmpl w:val="0C1A6254"/>
    <w:lvl w:ilvl="0" w:tentative="0">
      <w:start w:val="1"/>
      <w:numFmt w:val="chineseCountingThousand"/>
      <w:suff w:val="space"/>
      <w:lvlText w:val="第%1章"/>
      <w:lvlJc w:val="left"/>
      <w:pPr>
        <w:ind w:left="1530" w:hanging="1530"/>
      </w:pPr>
      <w:rPr>
        <w:rFonts w:hint="default"/>
        <w:lang w:val="en-US"/>
      </w:rPr>
    </w:lvl>
    <w:lvl w:ilvl="1" w:tentative="0">
      <w:start w:val="1"/>
      <w:numFmt w:val="chineseCountingThousand"/>
      <w:pStyle w:val="18"/>
      <w:suff w:val="space"/>
      <w:lvlText w:val="第%2节"/>
      <w:lvlJc w:val="left"/>
      <w:pPr>
        <w:ind w:left="1500" w:hanging="1080"/>
      </w:pPr>
      <w:rPr>
        <w:rFonts w:hint="default"/>
      </w:rPr>
    </w:lvl>
    <w:lvl w:ilvl="2" w:tentative="0">
      <w:start w:val="1"/>
      <w:numFmt w:val="decimal"/>
      <w:pStyle w:val="17"/>
      <w:suff w:val="space"/>
      <w:lvlText w:val="%3"/>
      <w:lvlJc w:val="left"/>
      <w:pPr>
        <w:ind w:left="1560" w:hanging="720"/>
      </w:pPr>
      <w:rPr>
        <w:rFonts w:hint="default"/>
      </w:rPr>
    </w:lvl>
    <w:lvl w:ilvl="3" w:tentative="0">
      <w:start w:val="1"/>
      <w:numFmt w:val="decimal"/>
      <w:pStyle w:val="16"/>
      <w:suff w:val="space"/>
      <w:lvlText w:val="%3.%4"/>
      <w:lvlJc w:val="left"/>
      <w:pPr>
        <w:ind w:left="1680" w:hanging="420"/>
      </w:pPr>
      <w:rPr>
        <w:rFonts w:hint="eastAsia"/>
      </w:rPr>
    </w:lvl>
    <w:lvl w:ilvl="4" w:tentative="0">
      <w:start w:val="1"/>
      <w:numFmt w:val="decimal"/>
      <w:suff w:val="space"/>
      <w:lvlText w:val="%3.%4.%5"/>
      <w:lvlJc w:val="left"/>
      <w:pPr>
        <w:ind w:left="2400" w:hanging="720"/>
      </w:pPr>
      <w:rPr>
        <w:rFonts w:hint="default"/>
      </w:rPr>
    </w:lvl>
    <w:lvl w:ilvl="5" w:tentative="0">
      <w:start w:val="1"/>
      <w:numFmt w:val="decimal"/>
      <w:suff w:val="space"/>
      <w:lvlText w:val="%3.%4.%5.%6"/>
      <w:lvlJc w:val="left"/>
      <w:pPr>
        <w:ind w:left="2460" w:hanging="360"/>
      </w:pPr>
      <w:rPr>
        <w:rFonts w:hint="default"/>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08FF792"/>
    <w:multiLevelType w:val="singleLevel"/>
    <w:tmpl w:val="508FF792"/>
    <w:lvl w:ilvl="0" w:tentative="0">
      <w:start w:val="3"/>
      <w:numFmt w:val="decimal"/>
      <w:suff w:val="space"/>
      <w:lvlText w:val="%1."/>
      <w:lvlJc w:val="left"/>
    </w:lvl>
  </w:abstractNum>
  <w:abstractNum w:abstractNumId="2">
    <w:nsid w:val="591D1224"/>
    <w:multiLevelType w:val="multilevel"/>
    <w:tmpl w:val="591D1224"/>
    <w:lvl w:ilvl="0" w:tentative="0">
      <w:start w:val="1"/>
      <w:numFmt w:val="chineseCounting"/>
      <w:pStyle w:val="4"/>
      <w:suff w:val="nothing"/>
      <w:lvlText w:val="第%1条 "/>
      <w:lvlJc w:val="left"/>
      <w:pPr>
        <w:tabs>
          <w:tab w:val="left" w:pos="0"/>
        </w:tabs>
        <w:ind w:left="0" w:firstLine="0"/>
      </w:pPr>
      <w:rPr>
        <w:rFonts w:hint="eastAsia" w:ascii="宋体" w:hAnsi="宋体" w:eastAsia="宋体" w:cs="宋体"/>
      </w:rPr>
    </w:lvl>
    <w:lvl w:ilvl="1" w:tentative="0">
      <w:start w:val="1"/>
      <w:numFmt w:val="decimal"/>
      <w:suff w:val="nothing"/>
      <w:lvlText w:val="%2.1"/>
      <w:lvlJc w:val="left"/>
      <w:pPr>
        <w:ind w:left="0"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ZTg5ZWU4MjViZDhiNzdkYWY1ZGUxMmRjNjRjNGMifQ=="/>
  </w:docVars>
  <w:rsids>
    <w:rsidRoot w:val="6B4E251B"/>
    <w:rsid w:val="00C20B25"/>
    <w:rsid w:val="00C248EA"/>
    <w:rsid w:val="01A731C3"/>
    <w:rsid w:val="01D96B8C"/>
    <w:rsid w:val="0260323A"/>
    <w:rsid w:val="02D019F8"/>
    <w:rsid w:val="03D72A11"/>
    <w:rsid w:val="04097781"/>
    <w:rsid w:val="046F3869"/>
    <w:rsid w:val="049D365A"/>
    <w:rsid w:val="04AC6CFB"/>
    <w:rsid w:val="04DC00BF"/>
    <w:rsid w:val="060E51B4"/>
    <w:rsid w:val="06185C88"/>
    <w:rsid w:val="061F6062"/>
    <w:rsid w:val="06996077"/>
    <w:rsid w:val="07141A7F"/>
    <w:rsid w:val="07267E44"/>
    <w:rsid w:val="07815D59"/>
    <w:rsid w:val="078608E3"/>
    <w:rsid w:val="07900DAA"/>
    <w:rsid w:val="07BB26D7"/>
    <w:rsid w:val="08314303"/>
    <w:rsid w:val="08396D89"/>
    <w:rsid w:val="08531061"/>
    <w:rsid w:val="085B379F"/>
    <w:rsid w:val="0900047A"/>
    <w:rsid w:val="09804372"/>
    <w:rsid w:val="09CB6AD5"/>
    <w:rsid w:val="0A01393A"/>
    <w:rsid w:val="0A14724A"/>
    <w:rsid w:val="0A701F7E"/>
    <w:rsid w:val="0AD87B45"/>
    <w:rsid w:val="0B5F6F91"/>
    <w:rsid w:val="0BBF5BDB"/>
    <w:rsid w:val="0C931DFE"/>
    <w:rsid w:val="0D4D76DD"/>
    <w:rsid w:val="0DD16AC3"/>
    <w:rsid w:val="0E193D61"/>
    <w:rsid w:val="0E8F7E66"/>
    <w:rsid w:val="0E927D54"/>
    <w:rsid w:val="0EAC4449"/>
    <w:rsid w:val="0EBD27F6"/>
    <w:rsid w:val="0EC816B9"/>
    <w:rsid w:val="0F033C95"/>
    <w:rsid w:val="0F073E4C"/>
    <w:rsid w:val="0F164C1F"/>
    <w:rsid w:val="0F1D467B"/>
    <w:rsid w:val="0F792450"/>
    <w:rsid w:val="0F902FDC"/>
    <w:rsid w:val="0FE631B9"/>
    <w:rsid w:val="103E4252"/>
    <w:rsid w:val="10422EE0"/>
    <w:rsid w:val="10FB558F"/>
    <w:rsid w:val="115110C8"/>
    <w:rsid w:val="11692E43"/>
    <w:rsid w:val="11B96F30"/>
    <w:rsid w:val="11BD75F4"/>
    <w:rsid w:val="12073C98"/>
    <w:rsid w:val="1213289A"/>
    <w:rsid w:val="127D3553"/>
    <w:rsid w:val="12C84CE6"/>
    <w:rsid w:val="12D9053E"/>
    <w:rsid w:val="13016BE2"/>
    <w:rsid w:val="13901395"/>
    <w:rsid w:val="13C47418"/>
    <w:rsid w:val="141D25CF"/>
    <w:rsid w:val="14881589"/>
    <w:rsid w:val="14F67E0B"/>
    <w:rsid w:val="14F7441F"/>
    <w:rsid w:val="158D10F8"/>
    <w:rsid w:val="15B55B7D"/>
    <w:rsid w:val="172D59CF"/>
    <w:rsid w:val="176D5D55"/>
    <w:rsid w:val="177F12B5"/>
    <w:rsid w:val="182D6AAB"/>
    <w:rsid w:val="184A0A6E"/>
    <w:rsid w:val="18557447"/>
    <w:rsid w:val="18C93869"/>
    <w:rsid w:val="18EB1207"/>
    <w:rsid w:val="19B3108E"/>
    <w:rsid w:val="1A122CE0"/>
    <w:rsid w:val="1A364857"/>
    <w:rsid w:val="1A877E02"/>
    <w:rsid w:val="1A9016FF"/>
    <w:rsid w:val="1AD36C7F"/>
    <w:rsid w:val="1AFD6D14"/>
    <w:rsid w:val="1AFE202D"/>
    <w:rsid w:val="1B141909"/>
    <w:rsid w:val="1B1E6554"/>
    <w:rsid w:val="1B520DB0"/>
    <w:rsid w:val="1B921F16"/>
    <w:rsid w:val="1BCD67EC"/>
    <w:rsid w:val="1BDC2DF9"/>
    <w:rsid w:val="1C8818A0"/>
    <w:rsid w:val="1C8E5954"/>
    <w:rsid w:val="1C8E5F7E"/>
    <w:rsid w:val="1CB519E0"/>
    <w:rsid w:val="1CC3569E"/>
    <w:rsid w:val="1CEB026D"/>
    <w:rsid w:val="1E253994"/>
    <w:rsid w:val="1E4D5A2B"/>
    <w:rsid w:val="1EEC0003"/>
    <w:rsid w:val="1F023644"/>
    <w:rsid w:val="1F1534DE"/>
    <w:rsid w:val="1F3709E9"/>
    <w:rsid w:val="1F3870EB"/>
    <w:rsid w:val="1F771EEC"/>
    <w:rsid w:val="1FAF5498"/>
    <w:rsid w:val="1FCE7488"/>
    <w:rsid w:val="1FD63773"/>
    <w:rsid w:val="1FD723BE"/>
    <w:rsid w:val="200F21EA"/>
    <w:rsid w:val="20532C26"/>
    <w:rsid w:val="21A0785D"/>
    <w:rsid w:val="22153193"/>
    <w:rsid w:val="223502E5"/>
    <w:rsid w:val="227D1626"/>
    <w:rsid w:val="227F2FC9"/>
    <w:rsid w:val="229C4948"/>
    <w:rsid w:val="22B71159"/>
    <w:rsid w:val="234952D8"/>
    <w:rsid w:val="237A2559"/>
    <w:rsid w:val="23825D4C"/>
    <w:rsid w:val="24365919"/>
    <w:rsid w:val="243A0F68"/>
    <w:rsid w:val="25187A0E"/>
    <w:rsid w:val="252C12A6"/>
    <w:rsid w:val="25495812"/>
    <w:rsid w:val="2667377C"/>
    <w:rsid w:val="26842FF3"/>
    <w:rsid w:val="269D0178"/>
    <w:rsid w:val="269F37B8"/>
    <w:rsid w:val="276619EB"/>
    <w:rsid w:val="28337799"/>
    <w:rsid w:val="286C7DC8"/>
    <w:rsid w:val="28D4483D"/>
    <w:rsid w:val="2974070E"/>
    <w:rsid w:val="298A4DF2"/>
    <w:rsid w:val="29963779"/>
    <w:rsid w:val="2A0B015B"/>
    <w:rsid w:val="2A4633BC"/>
    <w:rsid w:val="2AB25F2C"/>
    <w:rsid w:val="2AB87717"/>
    <w:rsid w:val="2AC66725"/>
    <w:rsid w:val="2B202CEA"/>
    <w:rsid w:val="2B4B1E7D"/>
    <w:rsid w:val="2B8D16BD"/>
    <w:rsid w:val="2BB17842"/>
    <w:rsid w:val="2BFD6B16"/>
    <w:rsid w:val="2C030FD3"/>
    <w:rsid w:val="2C812BDF"/>
    <w:rsid w:val="2CA01B8F"/>
    <w:rsid w:val="2DC55778"/>
    <w:rsid w:val="2DFF597E"/>
    <w:rsid w:val="2E07789B"/>
    <w:rsid w:val="2E0A3F2F"/>
    <w:rsid w:val="2E495E85"/>
    <w:rsid w:val="2E722E25"/>
    <w:rsid w:val="2E976B8C"/>
    <w:rsid w:val="2F250054"/>
    <w:rsid w:val="2F710BC6"/>
    <w:rsid w:val="2F8C4219"/>
    <w:rsid w:val="2FC95362"/>
    <w:rsid w:val="30D03AB3"/>
    <w:rsid w:val="30D86165"/>
    <w:rsid w:val="30DC2B4C"/>
    <w:rsid w:val="31056983"/>
    <w:rsid w:val="31440EAB"/>
    <w:rsid w:val="31F207A7"/>
    <w:rsid w:val="32244B42"/>
    <w:rsid w:val="322D085C"/>
    <w:rsid w:val="324D28B2"/>
    <w:rsid w:val="330E4596"/>
    <w:rsid w:val="334021E7"/>
    <w:rsid w:val="338B234A"/>
    <w:rsid w:val="339E1F6C"/>
    <w:rsid w:val="33A71AE7"/>
    <w:rsid w:val="343E5895"/>
    <w:rsid w:val="35037F2A"/>
    <w:rsid w:val="35284C04"/>
    <w:rsid w:val="353C245D"/>
    <w:rsid w:val="35CF4106"/>
    <w:rsid w:val="35D064D0"/>
    <w:rsid w:val="35D964A6"/>
    <w:rsid w:val="36324826"/>
    <w:rsid w:val="36550386"/>
    <w:rsid w:val="36A839C5"/>
    <w:rsid w:val="36F752E9"/>
    <w:rsid w:val="37265BDD"/>
    <w:rsid w:val="37377B2E"/>
    <w:rsid w:val="37702EB7"/>
    <w:rsid w:val="379B370C"/>
    <w:rsid w:val="37A95DA4"/>
    <w:rsid w:val="37B76B13"/>
    <w:rsid w:val="37BF7375"/>
    <w:rsid w:val="382216D5"/>
    <w:rsid w:val="383035B7"/>
    <w:rsid w:val="386153BF"/>
    <w:rsid w:val="38EB1B25"/>
    <w:rsid w:val="38F4669B"/>
    <w:rsid w:val="39D35097"/>
    <w:rsid w:val="3A10576F"/>
    <w:rsid w:val="3A233B90"/>
    <w:rsid w:val="3A317B52"/>
    <w:rsid w:val="3A7D68D2"/>
    <w:rsid w:val="3B204FBA"/>
    <w:rsid w:val="3B2E2848"/>
    <w:rsid w:val="3B612B34"/>
    <w:rsid w:val="3C2F4FE6"/>
    <w:rsid w:val="3CDC1EE8"/>
    <w:rsid w:val="3D161ABA"/>
    <w:rsid w:val="3D2350D0"/>
    <w:rsid w:val="3D4B5517"/>
    <w:rsid w:val="3E320D89"/>
    <w:rsid w:val="3EF43BA1"/>
    <w:rsid w:val="3F1402B7"/>
    <w:rsid w:val="3F6168AE"/>
    <w:rsid w:val="3F72515E"/>
    <w:rsid w:val="3FC020BB"/>
    <w:rsid w:val="3FD504CA"/>
    <w:rsid w:val="3FEA526A"/>
    <w:rsid w:val="405D72B4"/>
    <w:rsid w:val="40D26909"/>
    <w:rsid w:val="416E6BB3"/>
    <w:rsid w:val="419E4400"/>
    <w:rsid w:val="42016E1F"/>
    <w:rsid w:val="420A7C04"/>
    <w:rsid w:val="420E5B04"/>
    <w:rsid w:val="422E0127"/>
    <w:rsid w:val="42466220"/>
    <w:rsid w:val="42776112"/>
    <w:rsid w:val="42806848"/>
    <w:rsid w:val="429B1DA2"/>
    <w:rsid w:val="42D86B55"/>
    <w:rsid w:val="43003BB7"/>
    <w:rsid w:val="431A7CF4"/>
    <w:rsid w:val="439E0787"/>
    <w:rsid w:val="44071C28"/>
    <w:rsid w:val="44653819"/>
    <w:rsid w:val="4497145E"/>
    <w:rsid w:val="44BF7269"/>
    <w:rsid w:val="44E22D06"/>
    <w:rsid w:val="454A473A"/>
    <w:rsid w:val="45D94BF5"/>
    <w:rsid w:val="46175E08"/>
    <w:rsid w:val="462C2765"/>
    <w:rsid w:val="466566D9"/>
    <w:rsid w:val="469A5E38"/>
    <w:rsid w:val="4732739E"/>
    <w:rsid w:val="473B2959"/>
    <w:rsid w:val="47B37E9F"/>
    <w:rsid w:val="47BB4D68"/>
    <w:rsid w:val="47EE0E61"/>
    <w:rsid w:val="48F90636"/>
    <w:rsid w:val="490C4E58"/>
    <w:rsid w:val="49287F12"/>
    <w:rsid w:val="49675177"/>
    <w:rsid w:val="49A70A31"/>
    <w:rsid w:val="49D23644"/>
    <w:rsid w:val="49F27B37"/>
    <w:rsid w:val="4A371240"/>
    <w:rsid w:val="4A4060F4"/>
    <w:rsid w:val="4A4E7404"/>
    <w:rsid w:val="4A500066"/>
    <w:rsid w:val="4A5F6C0D"/>
    <w:rsid w:val="4A801853"/>
    <w:rsid w:val="4AAE3E69"/>
    <w:rsid w:val="4AB50DD7"/>
    <w:rsid w:val="4AD16D6D"/>
    <w:rsid w:val="4B9D3A94"/>
    <w:rsid w:val="4BFD53A1"/>
    <w:rsid w:val="4C5B0F7D"/>
    <w:rsid w:val="4CAD16D4"/>
    <w:rsid w:val="4CF94D77"/>
    <w:rsid w:val="4D7B2B30"/>
    <w:rsid w:val="4D846763"/>
    <w:rsid w:val="4D972FEB"/>
    <w:rsid w:val="4DBF5A20"/>
    <w:rsid w:val="4DD612C0"/>
    <w:rsid w:val="4E6817BE"/>
    <w:rsid w:val="4EF54EFE"/>
    <w:rsid w:val="4F024EE8"/>
    <w:rsid w:val="4F34388D"/>
    <w:rsid w:val="4F995841"/>
    <w:rsid w:val="4FB033F6"/>
    <w:rsid w:val="4FBC49B8"/>
    <w:rsid w:val="50111790"/>
    <w:rsid w:val="50C61A83"/>
    <w:rsid w:val="51965A15"/>
    <w:rsid w:val="51AD729E"/>
    <w:rsid w:val="52F55A85"/>
    <w:rsid w:val="53847D93"/>
    <w:rsid w:val="540756D3"/>
    <w:rsid w:val="540B3BFF"/>
    <w:rsid w:val="54900729"/>
    <w:rsid w:val="5496745E"/>
    <w:rsid w:val="54CF26D0"/>
    <w:rsid w:val="55312D02"/>
    <w:rsid w:val="554031C1"/>
    <w:rsid w:val="5545219F"/>
    <w:rsid w:val="554D11B1"/>
    <w:rsid w:val="55C91BE6"/>
    <w:rsid w:val="55EE656B"/>
    <w:rsid w:val="561C7DCC"/>
    <w:rsid w:val="56590F72"/>
    <w:rsid w:val="56E66FAC"/>
    <w:rsid w:val="56F41EBD"/>
    <w:rsid w:val="570E4B3C"/>
    <w:rsid w:val="57740DBD"/>
    <w:rsid w:val="57857C72"/>
    <w:rsid w:val="57B621E9"/>
    <w:rsid w:val="57C52DA1"/>
    <w:rsid w:val="58235E75"/>
    <w:rsid w:val="583614A2"/>
    <w:rsid w:val="588209B4"/>
    <w:rsid w:val="58F032A3"/>
    <w:rsid w:val="5A164E68"/>
    <w:rsid w:val="5A6A1BBC"/>
    <w:rsid w:val="5A790228"/>
    <w:rsid w:val="5AFA7A99"/>
    <w:rsid w:val="5B3F7532"/>
    <w:rsid w:val="5BB23F66"/>
    <w:rsid w:val="5C174C4A"/>
    <w:rsid w:val="5C4E644E"/>
    <w:rsid w:val="5C5D2B35"/>
    <w:rsid w:val="5D445FEF"/>
    <w:rsid w:val="5D610403"/>
    <w:rsid w:val="5E567538"/>
    <w:rsid w:val="5E703E05"/>
    <w:rsid w:val="5F2B0D34"/>
    <w:rsid w:val="5F4A2F47"/>
    <w:rsid w:val="5FD079BC"/>
    <w:rsid w:val="605E34D5"/>
    <w:rsid w:val="607060D8"/>
    <w:rsid w:val="609B0E4A"/>
    <w:rsid w:val="60EA4E93"/>
    <w:rsid w:val="6101242E"/>
    <w:rsid w:val="614B7367"/>
    <w:rsid w:val="61500EBB"/>
    <w:rsid w:val="61AF552A"/>
    <w:rsid w:val="61BF67AC"/>
    <w:rsid w:val="61E1522A"/>
    <w:rsid w:val="61ED3455"/>
    <w:rsid w:val="623241B7"/>
    <w:rsid w:val="62DD052C"/>
    <w:rsid w:val="62E41092"/>
    <w:rsid w:val="62E7172B"/>
    <w:rsid w:val="63B22608"/>
    <w:rsid w:val="64414217"/>
    <w:rsid w:val="64672550"/>
    <w:rsid w:val="65174E9F"/>
    <w:rsid w:val="655422C1"/>
    <w:rsid w:val="659A2704"/>
    <w:rsid w:val="65C00BEB"/>
    <w:rsid w:val="65E051A8"/>
    <w:rsid w:val="66261EE0"/>
    <w:rsid w:val="6651293A"/>
    <w:rsid w:val="67571D08"/>
    <w:rsid w:val="681261A8"/>
    <w:rsid w:val="68306BE0"/>
    <w:rsid w:val="68394457"/>
    <w:rsid w:val="69AB7C0F"/>
    <w:rsid w:val="69E17375"/>
    <w:rsid w:val="6A025881"/>
    <w:rsid w:val="6A1F1D4F"/>
    <w:rsid w:val="6A220324"/>
    <w:rsid w:val="6A364DB3"/>
    <w:rsid w:val="6B467126"/>
    <w:rsid w:val="6B4E251B"/>
    <w:rsid w:val="6B6428C2"/>
    <w:rsid w:val="6BA53265"/>
    <w:rsid w:val="6BE91365"/>
    <w:rsid w:val="6BF32B6E"/>
    <w:rsid w:val="6C44515F"/>
    <w:rsid w:val="6CCE5AB0"/>
    <w:rsid w:val="6CF81AB6"/>
    <w:rsid w:val="6D074E53"/>
    <w:rsid w:val="6D09723B"/>
    <w:rsid w:val="6D352990"/>
    <w:rsid w:val="6D6262BA"/>
    <w:rsid w:val="6ECF4907"/>
    <w:rsid w:val="6F165887"/>
    <w:rsid w:val="6F520FC0"/>
    <w:rsid w:val="6F70401C"/>
    <w:rsid w:val="6F7436EA"/>
    <w:rsid w:val="6FA84056"/>
    <w:rsid w:val="6FBE2782"/>
    <w:rsid w:val="70130776"/>
    <w:rsid w:val="7042127A"/>
    <w:rsid w:val="71124F35"/>
    <w:rsid w:val="713A1016"/>
    <w:rsid w:val="71995088"/>
    <w:rsid w:val="71B467FB"/>
    <w:rsid w:val="7210126C"/>
    <w:rsid w:val="721F1073"/>
    <w:rsid w:val="722A16A6"/>
    <w:rsid w:val="72C709F5"/>
    <w:rsid w:val="72FA2B18"/>
    <w:rsid w:val="738713B7"/>
    <w:rsid w:val="739B68C7"/>
    <w:rsid w:val="73B510ED"/>
    <w:rsid w:val="742E696C"/>
    <w:rsid w:val="748A3C51"/>
    <w:rsid w:val="74936301"/>
    <w:rsid w:val="74D6556E"/>
    <w:rsid w:val="74F329BC"/>
    <w:rsid w:val="75423E65"/>
    <w:rsid w:val="75576CBB"/>
    <w:rsid w:val="75714702"/>
    <w:rsid w:val="75FA69EB"/>
    <w:rsid w:val="7687045F"/>
    <w:rsid w:val="76DA230E"/>
    <w:rsid w:val="77747281"/>
    <w:rsid w:val="77DF2BF1"/>
    <w:rsid w:val="77E51F5A"/>
    <w:rsid w:val="783C1039"/>
    <w:rsid w:val="78482447"/>
    <w:rsid w:val="796B14CB"/>
    <w:rsid w:val="79CA5D19"/>
    <w:rsid w:val="79D016AD"/>
    <w:rsid w:val="7A752CEE"/>
    <w:rsid w:val="7A8D2EC7"/>
    <w:rsid w:val="7AE95911"/>
    <w:rsid w:val="7B084684"/>
    <w:rsid w:val="7B2E47D0"/>
    <w:rsid w:val="7B996491"/>
    <w:rsid w:val="7BEC14CF"/>
    <w:rsid w:val="7CBE7829"/>
    <w:rsid w:val="7CF977A5"/>
    <w:rsid w:val="7D9A4608"/>
    <w:rsid w:val="7DF87F08"/>
    <w:rsid w:val="7DFC6011"/>
    <w:rsid w:val="7E720456"/>
    <w:rsid w:val="7E7830D6"/>
    <w:rsid w:val="7EBC7738"/>
    <w:rsid w:val="7EDB4B4D"/>
    <w:rsid w:val="7EF35D66"/>
    <w:rsid w:val="7F293A90"/>
    <w:rsid w:val="7F2C240D"/>
    <w:rsid w:val="7F4478D1"/>
    <w:rsid w:val="7F5849FB"/>
    <w:rsid w:val="7F7B11DA"/>
    <w:rsid w:val="7F9C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宋体"/>
    </w:rPr>
  </w:style>
  <w:style w:type="paragraph" w:styleId="3">
    <w:name w:val="Body Text"/>
    <w:basedOn w:val="1"/>
    <w:next w:val="1"/>
    <w:qFormat/>
    <w:uiPriority w:val="0"/>
    <w:pPr>
      <w:jc w:val="center"/>
    </w:pPr>
    <w:rPr>
      <w:kern w:val="0"/>
      <w:sz w:val="48"/>
      <w:szCs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keepNext w:val="0"/>
      <w:keepLines w:val="0"/>
      <w:widowControl w:val="0"/>
      <w:suppressLineNumbers w:val="0"/>
      <w:ind w:left="420" w:leftChars="200"/>
      <w:jc w:val="both"/>
    </w:pPr>
    <w:rPr>
      <w:rFonts w:hint="default" w:ascii="Times New Roman" w:hAnsi="Times New Roman" w:eastAsia="宋体" w:cs="Times New Roman"/>
      <w:kern w:val="2"/>
      <w:sz w:val="21"/>
      <w:szCs w:val="21"/>
      <w:lang w:val="en-US" w:eastAsia="zh-CN" w:bidi="ar"/>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qFormat/>
    <w:uiPriority w:val="0"/>
    <w:rPr>
      <w:color w:val="000000"/>
      <w:u w:val="single"/>
    </w:rPr>
  </w:style>
  <w:style w:type="character" w:styleId="14">
    <w:name w:val="Hyperlink"/>
    <w:basedOn w:val="11"/>
    <w:qFormat/>
    <w:uiPriority w:val="0"/>
    <w:rPr>
      <w:color w:val="000000"/>
      <w:u w:val="single"/>
    </w:rPr>
  </w:style>
  <w:style w:type="character" w:styleId="15">
    <w:name w:val="HTML Code"/>
    <w:basedOn w:val="11"/>
    <w:qFormat/>
    <w:uiPriority w:val="0"/>
    <w:rPr>
      <w:rFonts w:ascii="Courier New" w:hAnsi="Courier New"/>
      <w:sz w:val="20"/>
    </w:rPr>
  </w:style>
  <w:style w:type="paragraph" w:customStyle="1" w:styleId="16">
    <w:name w:val="附录二级条标题 Char"/>
    <w:basedOn w:val="17"/>
    <w:next w:val="1"/>
    <w:qFormat/>
    <w:uiPriority w:val="0"/>
    <w:pPr>
      <w:numPr>
        <w:ilvl w:val="3"/>
      </w:numPr>
      <w:outlineLvl w:val="3"/>
    </w:pPr>
  </w:style>
  <w:style w:type="paragraph" w:customStyle="1" w:styleId="17">
    <w:name w:val="附录一级条标题 Char"/>
    <w:basedOn w:val="18"/>
    <w:next w:val="1"/>
    <w:qFormat/>
    <w:uiPriority w:val="0"/>
    <w:pPr>
      <w:numPr>
        <w:ilvl w:val="2"/>
      </w:numPr>
      <w:autoSpaceDN w:val="0"/>
      <w:spacing w:beforeLines="0" w:afterLines="0"/>
      <w:outlineLvl w:val="2"/>
    </w:pPr>
  </w:style>
  <w:style w:type="paragraph" w:customStyle="1" w:styleId="18">
    <w:name w:val="附录章标题 Char"/>
    <w:next w:val="1"/>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19">
    <w:name w:val="active2"/>
    <w:basedOn w:val="11"/>
    <w:qFormat/>
    <w:uiPriority w:val="0"/>
    <w:rPr>
      <w:color w:val="333333"/>
    </w:rPr>
  </w:style>
  <w:style w:type="character" w:customStyle="1" w:styleId="20">
    <w:name w:val="active"/>
    <w:basedOn w:val="11"/>
    <w:qFormat/>
    <w:uiPriority w:val="0"/>
    <w:rPr>
      <w:color w:val="3333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4724</Words>
  <Characters>4820</Characters>
  <Lines>0</Lines>
  <Paragraphs>0</Paragraphs>
  <TotalTime>1</TotalTime>
  <ScaleCrop>false</ScaleCrop>
  <LinksUpToDate>false</LinksUpToDate>
  <CharactersWithSpaces>5255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2020-07-02T07:31:00Z</dcterms:created>
  <dc:creator>lcl</dc:creator>
  <cp:lastModifiedBy>黄丽娜</cp:lastModifiedBy>
  <cp:lastPrinted>2023-12-05T07:18:00Z</cp:lastPrinted>
  <dcterms:modified xsi:type="dcterms:W3CDTF">2024-09-06T09:04:27Z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53D6F0C4CAC94BF3AFECCCB10E95A9C6_13</vt:lpwstr>
  </property>
</Properties>
</file>